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567" w:type="dxa"/>
        <w:tblInd w:w="5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E0E0E0"/>
        <w:tblCellMar>
          <w:left w:w="56" w:type="dxa"/>
          <w:right w:w="56" w:type="dxa"/>
        </w:tblCellMar>
        <w:tblLook w:val="0000" w:firstRow="0" w:lastRow="0" w:firstColumn="0" w:lastColumn="0" w:noHBand="0" w:noVBand="0"/>
      </w:tblPr>
      <w:tblGrid>
        <w:gridCol w:w="1346"/>
        <w:gridCol w:w="1276"/>
        <w:gridCol w:w="6945"/>
      </w:tblGrid>
      <w:tr w:rsidR="00C85F96" w:rsidRPr="00C85F96" w14:paraId="169D968C" w14:textId="77777777" w:rsidTr="00C85F96">
        <w:trPr>
          <w:trHeight w:val="1361"/>
        </w:trPr>
        <w:tc>
          <w:tcPr>
            <w:tcW w:w="1346" w:type="dxa"/>
            <w:tcBorders>
              <w:top w:val="double" w:sz="4" w:space="0" w:color="auto"/>
              <w:bottom w:val="single" w:sz="4" w:space="0" w:color="auto"/>
              <w:right w:val="nil"/>
            </w:tcBorders>
            <w:vAlign w:val="center"/>
          </w:tcPr>
          <w:p w14:paraId="294A4A63" w14:textId="2A76D07E" w:rsidR="00C85F96" w:rsidRPr="00A06013" w:rsidRDefault="00C85F96" w:rsidP="00C85F96">
            <w:pPr>
              <w:pStyle w:val="TitleForm"/>
              <w:ind w:left="0"/>
              <w:rPr>
                <w:caps/>
                <w:noProof/>
                <w:lang w:val="de-DE"/>
              </w:rPr>
            </w:pPr>
            <w:bookmarkStart w:id="0" w:name="_Toc346039895"/>
            <w:bookmarkStart w:id="1" w:name="_Toc352521225"/>
            <w:bookmarkStart w:id="2" w:name="_Toc353201615"/>
            <w:bookmarkStart w:id="3" w:name="_Toc354405680"/>
            <w:bookmarkStart w:id="4" w:name="_Toc354405694"/>
            <w:bookmarkStart w:id="5" w:name="_Toc354503025"/>
            <w:r w:rsidRPr="00A06013">
              <w:rPr>
                <w:caps/>
                <w:noProof/>
                <w:lang w:val="de-DE"/>
              </w:rPr>
              <w:drawing>
                <wp:inline distT="0" distB="0" distL="0" distR="0" wp14:anchorId="2B2935CF" wp14:editId="1DB5FFAA">
                  <wp:extent cx="571500" cy="4572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1500" cy="457200"/>
                          </a:xfrm>
                          <a:prstGeom prst="rect">
                            <a:avLst/>
                          </a:prstGeom>
                          <a:noFill/>
                          <a:ln>
                            <a:noFill/>
                          </a:ln>
                        </pic:spPr>
                      </pic:pic>
                    </a:graphicData>
                  </a:graphic>
                </wp:inline>
              </w:drawing>
            </w:r>
          </w:p>
        </w:tc>
        <w:tc>
          <w:tcPr>
            <w:tcW w:w="8221" w:type="dxa"/>
            <w:gridSpan w:val="2"/>
            <w:tcBorders>
              <w:top w:val="double" w:sz="4" w:space="0" w:color="auto"/>
              <w:left w:val="nil"/>
              <w:bottom w:val="single" w:sz="4" w:space="0" w:color="auto"/>
            </w:tcBorders>
            <w:vAlign w:val="center"/>
          </w:tcPr>
          <w:p w14:paraId="2B41CE8C" w14:textId="798E6FFD" w:rsidR="00C85F96" w:rsidRPr="00A06013" w:rsidRDefault="00C85F96" w:rsidP="00C85F96">
            <w:pPr>
              <w:pStyle w:val="TitleForm"/>
              <w:ind w:left="85" w:right="87"/>
              <w:rPr>
                <w:caps/>
                <w:noProof/>
                <w:lang w:val="de-DE"/>
              </w:rPr>
            </w:pPr>
            <w:r>
              <w:rPr>
                <w:caps/>
                <w:lang w:val="en-US"/>
              </w:rPr>
              <w:t xml:space="preserve">PROPOSED </w:t>
            </w:r>
            <w:r w:rsidRPr="00335643">
              <w:rPr>
                <w:caps/>
                <w:lang w:val="en-US"/>
              </w:rPr>
              <w:t>New baseline and Monitoring methodology o</w:t>
            </w:r>
            <w:r>
              <w:rPr>
                <w:caps/>
                <w:lang w:val="en-US"/>
              </w:rPr>
              <w:t>R</w:t>
            </w:r>
            <w:r w:rsidRPr="00335643">
              <w:rPr>
                <w:caps/>
                <w:lang w:val="en-US"/>
              </w:rPr>
              <w:t xml:space="preserve"> methodological tool FORM</w:t>
            </w:r>
            <w:r>
              <w:rPr>
                <w:caps/>
                <w:lang w:val="en-US"/>
              </w:rPr>
              <w:t xml:space="preserve"> FOR EMISSION REDUCTIONS ACTIVITIES</w:t>
            </w:r>
            <w:r>
              <w:rPr>
                <w:caps/>
                <w:lang w:val="en-US"/>
              </w:rPr>
              <w:br/>
            </w:r>
            <w:r w:rsidRPr="00BE3555">
              <w:t xml:space="preserve">(Version </w:t>
            </w:r>
            <w:r w:rsidRPr="00C51599">
              <w:t>02.0</w:t>
            </w:r>
            <w:r w:rsidRPr="00BE3555">
              <w:t>)</w:t>
            </w:r>
          </w:p>
        </w:tc>
      </w:tr>
      <w:tr w:rsidR="00277C18" w:rsidRPr="00BF62F5" w14:paraId="3BA5A35A" w14:textId="77777777" w:rsidTr="00C85F96">
        <w:tblPrEx>
          <w:tblCellMar>
            <w:left w:w="28" w:type="dxa"/>
            <w:right w:w="28" w:type="dxa"/>
          </w:tblCellMar>
        </w:tblPrEx>
        <w:trPr>
          <w:trHeight w:val="454"/>
        </w:trPr>
        <w:tc>
          <w:tcPr>
            <w:tcW w:w="9567" w:type="dxa"/>
            <w:gridSpan w:val="3"/>
            <w:tcBorders>
              <w:top w:val="single" w:sz="4" w:space="0" w:color="auto"/>
            </w:tcBorders>
            <w:shd w:val="clear" w:color="auto" w:fill="CCCCCC"/>
            <w:vAlign w:val="center"/>
          </w:tcPr>
          <w:p w14:paraId="4F0987A5" w14:textId="77777777" w:rsidR="00277C18" w:rsidRPr="00BF62F5" w:rsidRDefault="00277C18" w:rsidP="00BE1AB5">
            <w:pPr>
              <w:pStyle w:val="SectionTitle"/>
            </w:pPr>
            <w:r>
              <w:t>Information to be completed by the secretariat and Methodologies Expert Panel</w:t>
            </w:r>
          </w:p>
        </w:tc>
      </w:tr>
      <w:tr w:rsidR="00277C18" w:rsidRPr="001C76F5" w14:paraId="6C7CB1DF" w14:textId="77777777">
        <w:tblPrEx>
          <w:tblCellMar>
            <w:left w:w="28" w:type="dxa"/>
            <w:right w:w="28" w:type="dxa"/>
          </w:tblCellMar>
        </w:tblPrEx>
        <w:tc>
          <w:tcPr>
            <w:tcW w:w="2622" w:type="dxa"/>
            <w:gridSpan w:val="2"/>
            <w:shd w:val="clear" w:color="auto" w:fill="E6E6E6"/>
            <w:vAlign w:val="center"/>
          </w:tcPr>
          <w:p w14:paraId="5C788870" w14:textId="77777777" w:rsidR="00277C18" w:rsidRDefault="00277C18">
            <w:pPr>
              <w:pStyle w:val="RegLeftInstructionCell"/>
            </w:pPr>
            <w:r>
              <w:t>Type of standard</w:t>
            </w:r>
          </w:p>
        </w:tc>
        <w:sdt>
          <w:sdtPr>
            <w:alias w:val="TypeStandard"/>
            <w:tag w:val="TypeStandard"/>
            <w:id w:val="-540289920"/>
            <w:placeholder>
              <w:docPart w:val="6000DF83309C4A5BBE13D0A622FC83B8"/>
            </w:placeholder>
            <w:showingPlcHdr/>
            <w:comboBox>
              <w:listItem w:displayText="New baseline and monitoring methodology" w:value="New baseline and monitoring methodology"/>
              <w:listItem w:displayText="New methodological tool" w:value="New methodological tool"/>
            </w:comboBox>
          </w:sdtPr>
          <w:sdtContent>
            <w:tc>
              <w:tcPr>
                <w:tcW w:w="6945" w:type="dxa"/>
                <w:vAlign w:val="center"/>
              </w:tcPr>
              <w:p w14:paraId="17171B3D" w14:textId="77777777" w:rsidR="00277C18" w:rsidRDefault="00277C18">
                <w:pPr>
                  <w:pStyle w:val="RegTypePara"/>
                  <w:spacing w:after="120"/>
                </w:pPr>
                <w:r w:rsidRPr="00197FA6">
                  <w:rPr>
                    <w:rStyle w:val="PlaceholderText"/>
                  </w:rPr>
                  <w:t>Choose an item.</w:t>
                </w:r>
              </w:p>
            </w:tc>
          </w:sdtContent>
        </w:sdt>
      </w:tr>
      <w:tr w:rsidR="00277C18" w:rsidRPr="001C76F5" w14:paraId="41DBD333" w14:textId="77777777">
        <w:tblPrEx>
          <w:tblCellMar>
            <w:left w:w="28" w:type="dxa"/>
            <w:right w:w="28" w:type="dxa"/>
          </w:tblCellMar>
        </w:tblPrEx>
        <w:tc>
          <w:tcPr>
            <w:tcW w:w="2622" w:type="dxa"/>
            <w:gridSpan w:val="2"/>
            <w:shd w:val="clear" w:color="auto" w:fill="E6E6E6"/>
            <w:vAlign w:val="center"/>
          </w:tcPr>
          <w:p w14:paraId="06C0B97E" w14:textId="77777777" w:rsidR="00277C18" w:rsidRDefault="00277C18">
            <w:pPr>
              <w:pStyle w:val="RegLeftInstructionCell"/>
            </w:pPr>
            <w:r>
              <w:t>Unique reference number and title of the proposed new methodology or new methodological tool</w:t>
            </w:r>
          </w:p>
        </w:tc>
        <w:tc>
          <w:tcPr>
            <w:tcW w:w="6945" w:type="dxa"/>
            <w:vAlign w:val="center"/>
          </w:tcPr>
          <w:p w14:paraId="2A98C575" w14:textId="77777777" w:rsidR="00277C18" w:rsidRDefault="00277C18">
            <w:pPr>
              <w:pStyle w:val="RegTypePara"/>
              <w:spacing w:after="120"/>
            </w:pPr>
            <w:r>
              <w:t>&gt;&gt;</w:t>
            </w:r>
          </w:p>
        </w:tc>
      </w:tr>
      <w:tr w:rsidR="00277C18" w:rsidRPr="001C76F5" w14:paraId="203B5556" w14:textId="77777777">
        <w:tblPrEx>
          <w:tblCellMar>
            <w:left w:w="28" w:type="dxa"/>
            <w:right w:w="28" w:type="dxa"/>
          </w:tblCellMar>
        </w:tblPrEx>
        <w:tc>
          <w:tcPr>
            <w:tcW w:w="2622" w:type="dxa"/>
            <w:gridSpan w:val="2"/>
            <w:shd w:val="clear" w:color="auto" w:fill="E6E6E6"/>
            <w:vAlign w:val="center"/>
          </w:tcPr>
          <w:p w14:paraId="29422020" w14:textId="77777777" w:rsidR="00277C18" w:rsidRDefault="00277C18">
            <w:pPr>
              <w:pStyle w:val="RegLeftInstructionCell"/>
            </w:pPr>
            <w:r w:rsidRPr="004B735F">
              <w:t>Date when th</w:t>
            </w:r>
            <w:r>
              <w:t>is</w:t>
            </w:r>
            <w:r w:rsidRPr="004B735F">
              <w:t xml:space="preserve"> form was received at UNFCCC secretariat:</w:t>
            </w:r>
          </w:p>
        </w:tc>
        <w:sdt>
          <w:sdtPr>
            <w:rPr>
              <w:bCs/>
            </w:rPr>
            <w:id w:val="2082486958"/>
            <w:placeholder>
              <w:docPart w:val="C701EF337F1D47EEB0DEF90BC4D24E41"/>
            </w:placeholder>
            <w:showingPlcHdr/>
            <w15:color w:val="000000"/>
            <w:date w:fullDate="2024-05-23T00:00:00Z">
              <w:dateFormat w:val="dd/MM/yyyy"/>
              <w:lid w:val="en-US"/>
              <w:storeMappedDataAs w:val="dateTime"/>
              <w:calendar w:val="gregorian"/>
            </w:date>
          </w:sdtPr>
          <w:sdtContent>
            <w:tc>
              <w:tcPr>
                <w:tcW w:w="6945" w:type="dxa"/>
                <w:vAlign w:val="center"/>
              </w:tcPr>
              <w:p w14:paraId="68D721DF" w14:textId="77777777" w:rsidR="00277C18" w:rsidRDefault="00277C18">
                <w:pPr>
                  <w:pStyle w:val="RegTypePara"/>
                  <w:spacing w:after="120"/>
                </w:pPr>
                <w:r w:rsidRPr="00EC7711">
                  <w:rPr>
                    <w:rStyle w:val="PlaceholderText"/>
                  </w:rPr>
                  <w:t>Click or tap to enter a date.</w:t>
                </w:r>
              </w:p>
            </w:tc>
          </w:sdtContent>
        </w:sdt>
      </w:tr>
      <w:tr w:rsidR="00277C18" w:rsidRPr="001C76F5" w14:paraId="1AF74994" w14:textId="77777777">
        <w:tblPrEx>
          <w:tblCellMar>
            <w:left w:w="28" w:type="dxa"/>
            <w:right w:w="28" w:type="dxa"/>
          </w:tblCellMar>
        </w:tblPrEx>
        <w:tc>
          <w:tcPr>
            <w:tcW w:w="2622" w:type="dxa"/>
            <w:gridSpan w:val="2"/>
            <w:shd w:val="clear" w:color="auto" w:fill="E6E6E6"/>
            <w:vAlign w:val="center"/>
          </w:tcPr>
          <w:p w14:paraId="1F45783F" w14:textId="77777777" w:rsidR="00277C18" w:rsidRPr="002B18D1" w:rsidRDefault="00277C18">
            <w:pPr>
              <w:pStyle w:val="RegLeftInstructionCell"/>
              <w:ind w:right="118"/>
            </w:pPr>
            <w:r w:rsidRPr="004B735F">
              <w:t xml:space="preserve">Date of posting in the UNFCCC </w:t>
            </w:r>
            <w:r>
              <w:t>A6.4</w:t>
            </w:r>
            <w:r w:rsidRPr="004B735F">
              <w:t xml:space="preserve"> web site</w:t>
            </w:r>
            <w:r>
              <w:t xml:space="preserve"> for global stakeholder consultation</w:t>
            </w:r>
          </w:p>
        </w:tc>
        <w:sdt>
          <w:sdtPr>
            <w:rPr>
              <w:bCs/>
            </w:rPr>
            <w:id w:val="35549929"/>
            <w:placeholder>
              <w:docPart w:val="4C324B6E18C04E128258A25613BD1A42"/>
            </w:placeholder>
            <w:showingPlcHdr/>
            <w15:color w:val="000000"/>
            <w:date w:fullDate="2024-05-23T00:00:00Z">
              <w:dateFormat w:val="dd/MM/yyyy"/>
              <w:lid w:val="en-US"/>
              <w:storeMappedDataAs w:val="dateTime"/>
              <w:calendar w:val="gregorian"/>
            </w:date>
          </w:sdtPr>
          <w:sdtContent>
            <w:tc>
              <w:tcPr>
                <w:tcW w:w="6945" w:type="dxa"/>
                <w:vAlign w:val="center"/>
              </w:tcPr>
              <w:p w14:paraId="4722BE9C" w14:textId="77777777" w:rsidR="00277C18" w:rsidRDefault="00277C18">
                <w:pPr>
                  <w:pStyle w:val="ParaTickBox"/>
                  <w:spacing w:before="120" w:after="120"/>
                </w:pPr>
                <w:r w:rsidRPr="00EC7711">
                  <w:rPr>
                    <w:rStyle w:val="PlaceholderText"/>
                  </w:rPr>
                  <w:t>Click or tap to enter a date.</w:t>
                </w:r>
              </w:p>
            </w:tc>
          </w:sdtContent>
        </w:sdt>
      </w:tr>
    </w:tbl>
    <w:p w14:paraId="46B46386" w14:textId="77777777" w:rsidR="007C10DA" w:rsidRDefault="00687E50">
      <w:pPr>
        <w:jc w:val="left"/>
      </w:pPr>
      <w:r>
        <w:br w:type="page"/>
      </w:r>
    </w:p>
    <w:tbl>
      <w:tblPr>
        <w:tblW w:w="9294" w:type="dxa"/>
        <w:tblInd w:w="57"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shd w:val="clear" w:color="auto" w:fill="E0E0E0"/>
        <w:tblCellMar>
          <w:left w:w="28" w:type="dxa"/>
          <w:right w:w="28" w:type="dxa"/>
        </w:tblCellMar>
        <w:tblLook w:val="0000" w:firstRow="0" w:lastRow="0" w:firstColumn="0" w:lastColumn="0" w:noHBand="0" w:noVBand="0"/>
      </w:tblPr>
      <w:tblGrid>
        <w:gridCol w:w="9294"/>
      </w:tblGrid>
      <w:tr w:rsidR="007C10DA" w:rsidRPr="00367BFD" w14:paraId="68C1DE5D" w14:textId="77777777" w:rsidTr="0052496F">
        <w:trPr>
          <w:trHeight w:val="454"/>
        </w:trPr>
        <w:tc>
          <w:tcPr>
            <w:tcW w:w="9294" w:type="dxa"/>
            <w:shd w:val="clear" w:color="auto" w:fill="CCCCCC"/>
            <w:vAlign w:val="center"/>
          </w:tcPr>
          <w:p w14:paraId="0CC1AAD8" w14:textId="77777777" w:rsidR="007C10DA" w:rsidRPr="005575DC" w:rsidRDefault="007C10DA" w:rsidP="00BE1AB5">
            <w:pPr>
              <w:pStyle w:val="SectionTitle"/>
              <w:rPr>
                <w:caps/>
                <w:smallCaps w:val="0"/>
                <w:sz w:val="22"/>
                <w:szCs w:val="22"/>
              </w:rPr>
            </w:pPr>
            <w:r w:rsidRPr="005575DC">
              <w:rPr>
                <w:caps/>
                <w:smallCaps w:val="0"/>
                <w:sz w:val="22"/>
                <w:szCs w:val="22"/>
              </w:rPr>
              <w:lastRenderedPageBreak/>
              <w:t>Information to be completed by the submitter</w:t>
            </w:r>
          </w:p>
          <w:p w14:paraId="115AF050" w14:textId="5F3ED4BC" w:rsidR="008B7E54" w:rsidRPr="00AE4860" w:rsidRDefault="008B7E54" w:rsidP="00BE1AB5">
            <w:pPr>
              <w:pStyle w:val="SectionTitle"/>
              <w:rPr>
                <w:caps/>
                <w:smallCaps w:val="0"/>
                <w:sz w:val="22"/>
                <w:szCs w:val="22"/>
              </w:rPr>
            </w:pPr>
            <w:r>
              <w:rPr>
                <w:caps/>
                <w:smallCaps w:val="0"/>
                <w:sz w:val="22"/>
              </w:rPr>
              <w:t>(read before filling the form)</w:t>
            </w:r>
          </w:p>
        </w:tc>
      </w:tr>
      <w:tr w:rsidR="007C10DA" w:rsidRPr="00367BFD" w14:paraId="73CFBC65" w14:textId="77777777" w:rsidTr="0052496F">
        <w:trPr>
          <w:trHeight w:val="454"/>
        </w:trPr>
        <w:tc>
          <w:tcPr>
            <w:tcW w:w="9294" w:type="dxa"/>
            <w:shd w:val="clear" w:color="auto" w:fill="CCCCCC"/>
            <w:vAlign w:val="center"/>
          </w:tcPr>
          <w:p w14:paraId="707C838D" w14:textId="77777777" w:rsidR="007C10DA" w:rsidRDefault="007C10DA" w:rsidP="00BE1AB5">
            <w:pPr>
              <w:pStyle w:val="SectionTitle"/>
            </w:pPr>
            <w:r w:rsidRPr="00613D41">
              <w:t>This form is required at the “submission of proposed new methodology or methodological tool” stage and is submitted together with ‘New baseline and monitoring methodology and methodological tool proposal form (</w:t>
            </w:r>
            <w:r>
              <w:t>A</w:t>
            </w:r>
            <w:r w:rsidRPr="00613D41">
              <w:t>6.4-FORM-METH-001).</w:t>
            </w:r>
          </w:p>
        </w:tc>
      </w:tr>
    </w:tbl>
    <w:p w14:paraId="037B586B" w14:textId="77777777" w:rsidR="007C10DA" w:rsidRPr="00B83FD2" w:rsidRDefault="007C10DA" w:rsidP="007C10DA">
      <w:pPr>
        <w:pStyle w:val="ParaTickBox"/>
        <w:jc w:val="both"/>
        <w:rPr>
          <w:bCs/>
          <w:szCs w:val="22"/>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9351"/>
      </w:tblGrid>
      <w:tr w:rsidR="007C10DA" w:rsidRPr="004B735F" w14:paraId="5EA91BCE" w14:textId="77777777" w:rsidTr="4D59ECB0">
        <w:tc>
          <w:tcPr>
            <w:tcW w:w="9351" w:type="dxa"/>
            <w:shd w:val="clear" w:color="auto" w:fill="D9D9D9" w:themeFill="background1" w:themeFillShade="D9"/>
          </w:tcPr>
          <w:p w14:paraId="2DFBBFBD" w14:textId="77777777" w:rsidR="007C10DA" w:rsidRPr="004B735F" w:rsidRDefault="007C10DA">
            <w:pPr>
              <w:spacing w:before="120" w:after="120"/>
              <w:ind w:left="57"/>
              <w:rPr>
                <w:rFonts w:cs="Arial"/>
                <w:b/>
                <w:bCs/>
                <w:sz w:val="20"/>
              </w:rPr>
            </w:pPr>
            <w:r w:rsidRPr="004B735F">
              <w:rPr>
                <w:rFonts w:cs="Arial"/>
                <w:b/>
                <w:bCs/>
                <w:sz w:val="20"/>
              </w:rPr>
              <w:t>Instructions for using this form</w:t>
            </w:r>
          </w:p>
          <w:p w14:paraId="2DF77859" w14:textId="77777777" w:rsidR="007C10DA" w:rsidRPr="004B735F" w:rsidRDefault="007C10DA">
            <w:pPr>
              <w:spacing w:before="120"/>
              <w:ind w:left="57"/>
              <w:rPr>
                <w:rFonts w:cs="Arial"/>
                <w:bCs/>
                <w:sz w:val="20"/>
              </w:rPr>
            </w:pPr>
            <w:r w:rsidRPr="004B735F">
              <w:rPr>
                <w:rFonts w:cs="Arial"/>
                <w:bCs/>
                <w:sz w:val="20"/>
              </w:rPr>
              <w:t>In using this form, please follow the guidance established in the following documents:</w:t>
            </w:r>
          </w:p>
          <w:p w14:paraId="09D0BB23" w14:textId="77777777" w:rsidR="007C10DA" w:rsidRDefault="007C10DA" w:rsidP="00620061">
            <w:pPr>
              <w:numPr>
                <w:ilvl w:val="0"/>
                <w:numId w:val="22"/>
              </w:numPr>
              <w:spacing w:before="120" w:after="60"/>
              <w:ind w:left="414" w:hanging="357"/>
              <w:jc w:val="left"/>
              <w:rPr>
                <w:rFonts w:cs="Arial"/>
                <w:bCs/>
                <w:sz w:val="20"/>
              </w:rPr>
            </w:pPr>
            <w:r>
              <w:rPr>
                <w:rFonts w:cs="Arial"/>
                <w:bCs/>
                <w:sz w:val="20"/>
              </w:rPr>
              <w:t>F</w:t>
            </w:r>
            <w:r w:rsidRPr="00E839E2">
              <w:rPr>
                <w:rFonts w:cs="Arial"/>
                <w:bCs/>
                <w:sz w:val="20"/>
              </w:rPr>
              <w:t xml:space="preserve">ill out all relevant sections of the form in clear print or </w:t>
            </w:r>
            <w:proofErr w:type="gramStart"/>
            <w:r w:rsidRPr="00E839E2">
              <w:rPr>
                <w:rFonts w:cs="Arial"/>
                <w:bCs/>
                <w:sz w:val="20"/>
              </w:rPr>
              <w:t>typing</w:t>
            </w:r>
            <w:r>
              <w:rPr>
                <w:rFonts w:cs="Arial"/>
                <w:bCs/>
                <w:sz w:val="20"/>
              </w:rPr>
              <w:t>;</w:t>
            </w:r>
            <w:proofErr w:type="gramEnd"/>
            <w:r>
              <w:rPr>
                <w:rFonts w:cs="Arial"/>
                <w:bCs/>
                <w:sz w:val="20"/>
              </w:rPr>
              <w:t xml:space="preserve"> </w:t>
            </w:r>
          </w:p>
          <w:p w14:paraId="27A7E829" w14:textId="5DC5B57F" w:rsidR="007C10DA" w:rsidRDefault="007C10DA" w:rsidP="00620061">
            <w:pPr>
              <w:numPr>
                <w:ilvl w:val="0"/>
                <w:numId w:val="22"/>
              </w:numPr>
              <w:spacing w:before="120" w:after="60"/>
              <w:ind w:left="414" w:hanging="357"/>
              <w:jc w:val="left"/>
              <w:rPr>
                <w:rFonts w:cs="Arial"/>
                <w:bCs/>
                <w:sz w:val="20"/>
              </w:rPr>
            </w:pPr>
            <w:r w:rsidRPr="00E839E2">
              <w:rPr>
                <w:rFonts w:cs="Arial"/>
                <w:bCs/>
                <w:sz w:val="20"/>
              </w:rPr>
              <w:t xml:space="preserve">Provide your input after the &gt;&gt; indicator in the space </w:t>
            </w:r>
            <w:proofErr w:type="gramStart"/>
            <w:r w:rsidRPr="00E839E2">
              <w:rPr>
                <w:rFonts w:cs="Arial"/>
                <w:bCs/>
                <w:sz w:val="20"/>
              </w:rPr>
              <w:t>provided</w:t>
            </w:r>
            <w:r>
              <w:rPr>
                <w:rFonts w:cs="Arial"/>
                <w:bCs/>
                <w:sz w:val="20"/>
              </w:rPr>
              <w:t>;</w:t>
            </w:r>
            <w:proofErr w:type="gramEnd"/>
            <w:r>
              <w:rPr>
                <w:rFonts w:cs="Arial"/>
                <w:bCs/>
                <w:sz w:val="20"/>
              </w:rPr>
              <w:t xml:space="preserve"> </w:t>
            </w:r>
          </w:p>
          <w:p w14:paraId="6F823A71" w14:textId="77777777" w:rsidR="007C10DA" w:rsidRPr="002702AA" w:rsidRDefault="007C10DA" w:rsidP="00620061">
            <w:pPr>
              <w:numPr>
                <w:ilvl w:val="0"/>
                <w:numId w:val="22"/>
              </w:numPr>
              <w:spacing w:before="120" w:after="60"/>
              <w:ind w:left="414" w:hanging="357"/>
              <w:jc w:val="left"/>
              <w:rPr>
                <w:rFonts w:cs="Arial"/>
                <w:bCs/>
                <w:sz w:val="20"/>
              </w:rPr>
            </w:pPr>
            <w:r w:rsidRPr="002702AA">
              <w:rPr>
                <w:rFonts w:cs="Arial"/>
                <w:bCs/>
                <w:sz w:val="20"/>
              </w:rPr>
              <w:t>Leave blank sections which are found to be not applicable.</w:t>
            </w:r>
          </w:p>
          <w:p w14:paraId="7209012D" w14:textId="77777777" w:rsidR="007C10DA" w:rsidRPr="009C0A4B" w:rsidRDefault="007C10DA">
            <w:pPr>
              <w:spacing w:before="120" w:after="120"/>
              <w:ind w:left="57"/>
              <w:rPr>
                <w:rFonts w:cs="Arial"/>
                <w:b/>
                <w:bCs/>
                <w:sz w:val="20"/>
              </w:rPr>
            </w:pPr>
            <w:r w:rsidRPr="009C0A4B">
              <w:rPr>
                <w:rFonts w:cs="Arial"/>
                <w:b/>
                <w:bCs/>
                <w:sz w:val="20"/>
              </w:rPr>
              <w:t>Formatting Instructions:</w:t>
            </w:r>
          </w:p>
          <w:p w14:paraId="5E7F0C90" w14:textId="77777777" w:rsidR="007C10DA" w:rsidRPr="004B735F" w:rsidRDefault="007C10DA" w:rsidP="00620061">
            <w:pPr>
              <w:numPr>
                <w:ilvl w:val="0"/>
                <w:numId w:val="22"/>
              </w:numPr>
              <w:spacing w:before="120" w:after="60"/>
              <w:ind w:left="414" w:hanging="357"/>
              <w:jc w:val="left"/>
              <w:rPr>
                <w:rFonts w:cs="Arial"/>
                <w:bCs/>
                <w:sz w:val="20"/>
              </w:rPr>
            </w:pPr>
            <w:r>
              <w:rPr>
                <w:rFonts w:cs="Arial"/>
                <w:bCs/>
                <w:sz w:val="20"/>
              </w:rPr>
              <w:t>Do</w:t>
            </w:r>
            <w:r w:rsidRPr="004B735F">
              <w:rPr>
                <w:rFonts w:cs="Arial"/>
                <w:bCs/>
                <w:sz w:val="20"/>
              </w:rPr>
              <w:t xml:space="preserve"> not </w:t>
            </w:r>
            <w:r>
              <w:rPr>
                <w:rFonts w:cs="Arial"/>
                <w:bCs/>
                <w:sz w:val="20"/>
              </w:rPr>
              <w:t>modify any part of this form, including</w:t>
            </w:r>
            <w:r w:rsidRPr="004B735F">
              <w:rPr>
                <w:rFonts w:cs="Arial"/>
                <w:bCs/>
                <w:sz w:val="20"/>
              </w:rPr>
              <w:t xml:space="preserve"> headings</w:t>
            </w:r>
            <w:r>
              <w:rPr>
                <w:rFonts w:cs="Arial"/>
                <w:bCs/>
                <w:sz w:val="20"/>
              </w:rPr>
              <w:t>,</w:t>
            </w:r>
            <w:r w:rsidRPr="004B735F">
              <w:rPr>
                <w:rFonts w:cs="Arial"/>
                <w:bCs/>
                <w:sz w:val="20"/>
              </w:rPr>
              <w:t xml:space="preserve"> logo, format or </w:t>
            </w:r>
            <w:proofErr w:type="gramStart"/>
            <w:r w:rsidRPr="004B735F">
              <w:rPr>
                <w:rFonts w:cs="Arial"/>
                <w:bCs/>
                <w:sz w:val="20"/>
              </w:rPr>
              <w:t>font</w:t>
            </w:r>
            <w:r>
              <w:rPr>
                <w:rFonts w:cs="Arial"/>
                <w:bCs/>
                <w:sz w:val="20"/>
              </w:rPr>
              <w:t>;</w:t>
            </w:r>
            <w:proofErr w:type="gramEnd"/>
          </w:p>
          <w:p w14:paraId="4B11DBD6" w14:textId="77777777" w:rsidR="007C10DA" w:rsidRPr="004B735F" w:rsidRDefault="007C10DA" w:rsidP="00620061">
            <w:pPr>
              <w:numPr>
                <w:ilvl w:val="0"/>
                <w:numId w:val="22"/>
              </w:numPr>
              <w:spacing w:before="120" w:after="60"/>
              <w:ind w:left="414" w:hanging="357"/>
              <w:jc w:val="left"/>
              <w:rPr>
                <w:rFonts w:cs="Arial"/>
                <w:bCs/>
                <w:sz w:val="20"/>
              </w:rPr>
            </w:pPr>
            <w:r w:rsidRPr="004B735F">
              <w:rPr>
                <w:rFonts w:cs="Arial"/>
                <w:bCs/>
                <w:sz w:val="20"/>
              </w:rPr>
              <w:t xml:space="preserve">The form provides the formatted headings which should be used throughout the </w:t>
            </w:r>
            <w:proofErr w:type="gramStart"/>
            <w:r w:rsidRPr="004B735F">
              <w:rPr>
                <w:rFonts w:cs="Arial"/>
                <w:bCs/>
                <w:sz w:val="20"/>
              </w:rPr>
              <w:t>document;</w:t>
            </w:r>
            <w:proofErr w:type="gramEnd"/>
          </w:p>
          <w:p w14:paraId="072B6D53" w14:textId="77777777" w:rsidR="007C10DA" w:rsidRPr="004B735F" w:rsidRDefault="007C10DA" w:rsidP="00620061">
            <w:pPr>
              <w:numPr>
                <w:ilvl w:val="0"/>
                <w:numId w:val="22"/>
              </w:numPr>
              <w:spacing w:before="120" w:after="60"/>
              <w:ind w:left="414" w:hanging="357"/>
              <w:jc w:val="left"/>
              <w:rPr>
                <w:rFonts w:cs="Arial"/>
                <w:bCs/>
                <w:sz w:val="20"/>
              </w:rPr>
            </w:pPr>
            <w:r w:rsidRPr="004B735F">
              <w:rPr>
                <w:rFonts w:cs="Arial"/>
                <w:bCs/>
                <w:sz w:val="20"/>
              </w:rPr>
              <w:t xml:space="preserve">Please use word equation editor to write </w:t>
            </w:r>
            <w:proofErr w:type="gramStart"/>
            <w:r w:rsidRPr="004B735F">
              <w:rPr>
                <w:rFonts w:cs="Arial"/>
                <w:bCs/>
                <w:sz w:val="20"/>
              </w:rPr>
              <w:t>equations;</w:t>
            </w:r>
            <w:proofErr w:type="gramEnd"/>
          </w:p>
          <w:p w14:paraId="280DAEB1" w14:textId="77777777" w:rsidR="007C10DA" w:rsidRPr="004B735F" w:rsidRDefault="007C10DA" w:rsidP="00620061">
            <w:pPr>
              <w:numPr>
                <w:ilvl w:val="0"/>
                <w:numId w:val="22"/>
              </w:numPr>
              <w:spacing w:before="120" w:after="60"/>
              <w:ind w:left="414" w:hanging="357"/>
              <w:jc w:val="left"/>
              <w:rPr>
                <w:rFonts w:cs="Arial"/>
                <w:bCs/>
                <w:sz w:val="20"/>
              </w:rPr>
            </w:pPr>
            <w:r w:rsidRPr="004B735F">
              <w:rPr>
                <w:rFonts w:cs="Arial"/>
                <w:bCs/>
                <w:sz w:val="20"/>
              </w:rPr>
              <w:t xml:space="preserve">Please format figures, tables and footnotes to update </w:t>
            </w:r>
            <w:proofErr w:type="gramStart"/>
            <w:r w:rsidRPr="004B735F">
              <w:rPr>
                <w:rFonts w:cs="Arial"/>
                <w:bCs/>
                <w:sz w:val="20"/>
              </w:rPr>
              <w:t>automatically;</w:t>
            </w:r>
            <w:proofErr w:type="gramEnd"/>
          </w:p>
          <w:p w14:paraId="2FF39637" w14:textId="12ADB535" w:rsidR="007C10DA" w:rsidRDefault="007C10DA" w:rsidP="00620061">
            <w:pPr>
              <w:numPr>
                <w:ilvl w:val="0"/>
                <w:numId w:val="22"/>
              </w:numPr>
              <w:spacing w:before="120" w:after="60"/>
              <w:ind w:left="414" w:hanging="357"/>
              <w:jc w:val="left"/>
              <w:rPr>
                <w:rFonts w:cs="Arial"/>
                <w:bCs/>
                <w:sz w:val="20"/>
              </w:rPr>
            </w:pPr>
            <w:r w:rsidRPr="004B735F">
              <w:rPr>
                <w:rFonts w:cs="Arial"/>
                <w:bCs/>
                <w:sz w:val="20"/>
              </w:rPr>
              <w:t>Please note the footnotes have a separate format (Times New Roman - size 10).</w:t>
            </w:r>
            <w:r w:rsidRPr="004B735F">
              <w:rPr>
                <w:rFonts w:cs="Arial"/>
                <w:sz w:val="20"/>
                <w:vertAlign w:val="superscript"/>
              </w:rPr>
              <w:footnoteReference w:id="2"/>
            </w:r>
          </w:p>
          <w:p w14:paraId="2ED6949F" w14:textId="77777777" w:rsidR="007C10DA" w:rsidRDefault="007C10DA" w:rsidP="00620061">
            <w:pPr>
              <w:numPr>
                <w:ilvl w:val="0"/>
                <w:numId w:val="22"/>
              </w:numPr>
              <w:spacing w:before="120" w:after="60"/>
              <w:ind w:left="414" w:hanging="357"/>
              <w:jc w:val="left"/>
              <w:rPr>
                <w:rFonts w:cs="Arial"/>
                <w:bCs/>
                <w:sz w:val="20"/>
              </w:rPr>
            </w:pPr>
            <w:r>
              <w:rPr>
                <w:rFonts w:cs="Arial"/>
                <w:bCs/>
                <w:sz w:val="20"/>
              </w:rPr>
              <w:t xml:space="preserve">Please clearly distinguish between proper methodology text, tables and equations and explanatory notes, using the following colour coding: </w:t>
            </w:r>
          </w:p>
          <w:p w14:paraId="79106D07" w14:textId="77777777" w:rsidR="007C10DA" w:rsidRDefault="007C10DA" w:rsidP="00620061">
            <w:pPr>
              <w:numPr>
                <w:ilvl w:val="1"/>
                <w:numId w:val="22"/>
              </w:numPr>
              <w:spacing w:before="120" w:after="60"/>
              <w:jc w:val="left"/>
              <w:rPr>
                <w:rFonts w:cs="Arial"/>
                <w:bCs/>
                <w:sz w:val="20"/>
              </w:rPr>
            </w:pPr>
            <w:r>
              <w:rPr>
                <w:rFonts w:cs="Arial"/>
                <w:bCs/>
                <w:sz w:val="20"/>
              </w:rPr>
              <w:t xml:space="preserve">Methodology text shall be written in </w:t>
            </w:r>
            <w:r w:rsidRPr="009C0A4B">
              <w:rPr>
                <w:rFonts w:cs="Arial"/>
                <w:b/>
                <w:sz w:val="20"/>
              </w:rPr>
              <w:t>black</w:t>
            </w:r>
            <w:r>
              <w:rPr>
                <w:rFonts w:cs="Arial"/>
                <w:bCs/>
                <w:sz w:val="20"/>
              </w:rPr>
              <w:t xml:space="preserve"> fonts. </w:t>
            </w:r>
          </w:p>
          <w:p w14:paraId="52DD0330" w14:textId="0E7587D6" w:rsidR="007C10DA" w:rsidRDefault="007C10DA" w:rsidP="00620061">
            <w:pPr>
              <w:numPr>
                <w:ilvl w:val="1"/>
                <w:numId w:val="22"/>
              </w:numPr>
              <w:spacing w:before="120" w:after="60"/>
              <w:jc w:val="left"/>
              <w:rPr>
                <w:rFonts w:cs="Arial"/>
                <w:sz w:val="20"/>
              </w:rPr>
            </w:pPr>
            <w:r w:rsidRPr="4D59ECB0">
              <w:rPr>
                <w:rFonts w:cs="Arial"/>
                <w:sz w:val="20"/>
              </w:rPr>
              <w:t>Guidance from the UNFCCC is provide</w:t>
            </w:r>
            <w:r w:rsidR="136108B7" w:rsidRPr="4D59ECB0">
              <w:rPr>
                <w:rFonts w:cs="Arial"/>
                <w:sz w:val="20"/>
              </w:rPr>
              <w:t>d</w:t>
            </w:r>
            <w:r w:rsidRPr="4D59ECB0">
              <w:rPr>
                <w:rFonts w:cs="Arial"/>
                <w:sz w:val="20"/>
              </w:rPr>
              <w:t xml:space="preserve"> in </w:t>
            </w:r>
            <w:r w:rsidRPr="4D59ECB0">
              <w:rPr>
                <w:rFonts w:cs="Arial"/>
                <w:b/>
                <w:bCs/>
                <w:color w:val="4F81BD" w:themeColor="accent1"/>
                <w:sz w:val="20"/>
              </w:rPr>
              <w:t>blue</w:t>
            </w:r>
            <w:r w:rsidRPr="4D59ECB0">
              <w:rPr>
                <w:rFonts w:cs="Arial"/>
                <w:sz w:val="20"/>
              </w:rPr>
              <w:t xml:space="preserve"> fonts and can be deleted.</w:t>
            </w:r>
          </w:p>
          <w:p w14:paraId="1D01871D" w14:textId="522C9EB9" w:rsidR="007C10DA" w:rsidRPr="00A94742" w:rsidRDefault="007C10DA" w:rsidP="00620061">
            <w:pPr>
              <w:numPr>
                <w:ilvl w:val="1"/>
                <w:numId w:val="22"/>
              </w:numPr>
              <w:spacing w:before="120" w:after="60"/>
              <w:jc w:val="left"/>
              <w:rPr>
                <w:rFonts w:cs="Arial"/>
                <w:sz w:val="20"/>
              </w:rPr>
            </w:pPr>
            <w:r w:rsidRPr="4D59ECB0">
              <w:rPr>
                <w:rFonts w:cs="Arial"/>
                <w:sz w:val="20"/>
              </w:rPr>
              <w:t xml:space="preserve">Explanatory notes shall be written in </w:t>
            </w:r>
            <w:r w:rsidR="00F56F63" w:rsidRPr="00F56F63">
              <w:rPr>
                <w:rFonts w:cs="Arial"/>
                <w:b/>
                <w:bCs/>
                <w:color w:val="808080" w:themeColor="background1" w:themeShade="80"/>
                <w:sz w:val="20"/>
              </w:rPr>
              <w:t>grey</w:t>
            </w:r>
            <w:r w:rsidRPr="4D59ECB0">
              <w:rPr>
                <w:rFonts w:cs="Arial"/>
                <w:sz w:val="20"/>
              </w:rPr>
              <w:t xml:space="preserve"> fonts. </w:t>
            </w:r>
            <w:r w:rsidR="000D56B4" w:rsidRPr="4D59ECB0">
              <w:rPr>
                <w:rFonts w:cs="Arial"/>
                <w:sz w:val="20"/>
              </w:rPr>
              <w:t>Please note that explanatory notes are solely for the sake of methodology submission and consideration</w:t>
            </w:r>
            <w:r w:rsidR="00170648" w:rsidRPr="4D59ECB0">
              <w:rPr>
                <w:rFonts w:cs="Arial"/>
                <w:sz w:val="20"/>
              </w:rPr>
              <w:t xml:space="preserve">. Do not include guidance to </w:t>
            </w:r>
            <w:r w:rsidR="006D644A" w:rsidRPr="4D59ECB0">
              <w:rPr>
                <w:rFonts w:cs="Arial"/>
                <w:sz w:val="20"/>
              </w:rPr>
              <w:t>activity participant in explanatory notes. Please note upon methodology approval, explanatory notes will be deleted</w:t>
            </w:r>
            <w:r w:rsidR="71FF2E09" w:rsidRPr="4D59ECB0">
              <w:rPr>
                <w:rFonts w:cs="Arial"/>
                <w:sz w:val="20"/>
              </w:rPr>
              <w:t>.</w:t>
            </w:r>
          </w:p>
        </w:tc>
      </w:tr>
    </w:tbl>
    <w:p w14:paraId="46138ECA" w14:textId="77777777" w:rsidR="00074232" w:rsidRPr="00631F3D" w:rsidRDefault="00074232">
      <w:pPr>
        <w:jc w:val="left"/>
      </w:pPr>
    </w:p>
    <w:p w14:paraId="46EC047E" w14:textId="77777777" w:rsidR="00074232" w:rsidRPr="00631F3D" w:rsidRDefault="00074232">
      <w:pPr>
        <w:jc w:val="left"/>
      </w:pPr>
      <w:r w:rsidRPr="00631F3D">
        <w:br w:type="page"/>
      </w:r>
    </w:p>
    <w:tbl>
      <w:tblPr>
        <w:tblW w:w="9294" w:type="dxa"/>
        <w:tblInd w:w="57" w:type="dxa"/>
        <w:tblBorders>
          <w:top w:val="single" w:sz="4" w:space="0" w:color="auto"/>
          <w:left w:val="single" w:sz="4" w:space="0" w:color="auto"/>
          <w:bottom w:val="single" w:sz="4" w:space="0" w:color="auto"/>
          <w:right w:val="single" w:sz="4" w:space="0" w:color="auto"/>
        </w:tblBorders>
        <w:shd w:val="clear" w:color="auto" w:fill="E0E0E0"/>
        <w:tblCellMar>
          <w:left w:w="28" w:type="dxa"/>
          <w:right w:w="28" w:type="dxa"/>
        </w:tblCellMar>
        <w:tblLook w:val="0000" w:firstRow="0" w:lastRow="0" w:firstColumn="0" w:lastColumn="0" w:noHBand="0" w:noVBand="0"/>
      </w:tblPr>
      <w:tblGrid>
        <w:gridCol w:w="9294"/>
      </w:tblGrid>
      <w:tr w:rsidR="00074232" w:rsidRPr="00367BFD" w14:paraId="348F6849" w14:textId="77777777" w:rsidTr="00373561">
        <w:trPr>
          <w:trHeight w:val="454"/>
        </w:trPr>
        <w:tc>
          <w:tcPr>
            <w:tcW w:w="9294" w:type="dxa"/>
            <w:shd w:val="clear" w:color="auto" w:fill="CCCCCC"/>
            <w:vAlign w:val="center"/>
          </w:tcPr>
          <w:p w14:paraId="554E368B" w14:textId="77777777" w:rsidR="00074232" w:rsidRPr="00367BFD" w:rsidRDefault="00074232" w:rsidP="00620061">
            <w:pPr>
              <w:pStyle w:val="SDMPDDPoASection"/>
              <w:numPr>
                <w:ilvl w:val="1"/>
                <w:numId w:val="19"/>
              </w:numPr>
              <w:tabs>
                <w:tab w:val="clear" w:pos="1729"/>
              </w:tabs>
              <w:spacing w:before="120" w:after="120"/>
              <w:ind w:left="1730" w:hanging="1690"/>
              <w:outlineLvl w:val="0"/>
              <w:rPr>
                <w:sz w:val="22"/>
                <w:szCs w:val="22"/>
              </w:rPr>
            </w:pPr>
            <w:r w:rsidRPr="00367BFD">
              <w:rPr>
                <w:sz w:val="22"/>
                <w:szCs w:val="22"/>
              </w:rPr>
              <w:lastRenderedPageBreak/>
              <w:tab/>
            </w:r>
            <w:r>
              <w:rPr>
                <w:sz w:val="22"/>
                <w:szCs w:val="22"/>
              </w:rPr>
              <w:t>Summary and applicability of the baseline and monitoring methodology or methodological tool</w:t>
            </w:r>
          </w:p>
        </w:tc>
      </w:tr>
    </w:tbl>
    <w:p w14:paraId="7CA080AC" w14:textId="77777777" w:rsidR="00074232" w:rsidRPr="00A25524" w:rsidRDefault="00074232" w:rsidP="00074232">
      <w:pPr>
        <w:rPr>
          <w:b/>
          <w:sz w:val="8"/>
          <w:szCs w:val="8"/>
        </w:rPr>
      </w:pPr>
    </w:p>
    <w:tbl>
      <w:tblPr>
        <w:tblW w:w="9294" w:type="dxa"/>
        <w:tblInd w:w="57" w:type="dxa"/>
        <w:tblBorders>
          <w:top w:val="single" w:sz="4" w:space="0" w:color="auto"/>
          <w:left w:val="single" w:sz="4" w:space="0" w:color="auto"/>
          <w:bottom w:val="single" w:sz="4" w:space="0" w:color="auto"/>
          <w:right w:val="single" w:sz="4" w:space="0" w:color="auto"/>
        </w:tblBorders>
        <w:shd w:val="clear" w:color="auto" w:fill="E0E0E0"/>
        <w:tblCellMar>
          <w:left w:w="28" w:type="dxa"/>
          <w:right w:w="28" w:type="dxa"/>
        </w:tblCellMar>
        <w:tblLook w:val="0000" w:firstRow="0" w:lastRow="0" w:firstColumn="0" w:lastColumn="0" w:noHBand="0" w:noVBand="0"/>
      </w:tblPr>
      <w:tblGrid>
        <w:gridCol w:w="9294"/>
      </w:tblGrid>
      <w:tr w:rsidR="00074232" w:rsidRPr="00367BFD" w14:paraId="11AFC511" w14:textId="77777777" w:rsidTr="00373561">
        <w:trPr>
          <w:trHeight w:val="454"/>
        </w:trPr>
        <w:tc>
          <w:tcPr>
            <w:tcW w:w="9294" w:type="dxa"/>
            <w:shd w:val="clear" w:color="auto" w:fill="E6E6E6"/>
            <w:vAlign w:val="center"/>
          </w:tcPr>
          <w:p w14:paraId="3475439E" w14:textId="77777777" w:rsidR="00074232" w:rsidRPr="00367BFD" w:rsidRDefault="00074232">
            <w:pPr>
              <w:pStyle w:val="RegSectionLevel2"/>
              <w:spacing w:before="120" w:after="120"/>
              <w:ind w:left="40"/>
              <w:rPr>
                <w:rFonts w:asciiTheme="minorBidi" w:hAnsiTheme="minorBidi" w:cstheme="minorBidi"/>
              </w:rPr>
            </w:pPr>
            <w:r>
              <w:rPr>
                <w:rFonts w:asciiTheme="minorBidi" w:hAnsiTheme="minorBidi" w:cstheme="minorBidi"/>
              </w:rPr>
              <w:t>Title, submission date and version</w:t>
            </w:r>
          </w:p>
        </w:tc>
      </w:tr>
    </w:tbl>
    <w:p w14:paraId="1F27C74A" w14:textId="05A652AD" w:rsidR="00074232" w:rsidRPr="00196131" w:rsidRDefault="002A1B7C" w:rsidP="00196131">
      <w:pPr>
        <w:pStyle w:val="ParaTickBox"/>
      </w:pPr>
      <w:r>
        <w:rPr>
          <w:szCs w:val="20"/>
        </w:rPr>
        <w:t xml:space="preserve">Title: </w:t>
      </w:r>
      <w:r w:rsidR="00196131" w:rsidRPr="00196131">
        <w:t>Comprehensive Lowered Emission Assessment and Reporting (CLEAR) Methodology for Cooking Energy Transitions</w:t>
      </w:r>
    </w:p>
    <w:p w14:paraId="54151881" w14:textId="5F7DB118" w:rsidR="00074232" w:rsidRPr="007E372F" w:rsidRDefault="002A1B7C" w:rsidP="00074232">
      <w:pPr>
        <w:pStyle w:val="ParaTickBox"/>
        <w:jc w:val="both"/>
        <w:rPr>
          <w:szCs w:val="20"/>
        </w:rPr>
      </w:pPr>
      <w:r>
        <w:rPr>
          <w:szCs w:val="20"/>
        </w:rPr>
        <w:t xml:space="preserve">Submission date: </w:t>
      </w:r>
      <w:r w:rsidR="00A2018A">
        <w:rPr>
          <w:szCs w:val="20"/>
        </w:rPr>
        <w:t xml:space="preserve">August </w:t>
      </w:r>
      <w:r w:rsidR="00BE7757">
        <w:rPr>
          <w:szCs w:val="20"/>
        </w:rPr>
        <w:t>28</w:t>
      </w:r>
      <w:r w:rsidR="00A2018A">
        <w:rPr>
          <w:szCs w:val="20"/>
        </w:rPr>
        <w:t>, 2025</w:t>
      </w:r>
    </w:p>
    <w:p w14:paraId="4859F6A9" w14:textId="58644C87" w:rsidR="00074232" w:rsidRPr="007E372F" w:rsidRDefault="002A1B7C" w:rsidP="00074232">
      <w:pPr>
        <w:pStyle w:val="ParaTickBox"/>
        <w:jc w:val="both"/>
        <w:rPr>
          <w:szCs w:val="20"/>
        </w:rPr>
      </w:pPr>
      <w:r>
        <w:rPr>
          <w:szCs w:val="20"/>
        </w:rPr>
        <w:t xml:space="preserve">Version: </w:t>
      </w:r>
      <w:r w:rsidR="00886F0D">
        <w:rPr>
          <w:szCs w:val="20"/>
        </w:rPr>
        <w:t>CLEAR v2</w:t>
      </w:r>
    </w:p>
    <w:p w14:paraId="3E589D84" w14:textId="77777777" w:rsidR="00074232" w:rsidRPr="007E372F" w:rsidRDefault="00074232" w:rsidP="00074232">
      <w:pPr>
        <w:pStyle w:val="ParaTickBox"/>
        <w:jc w:val="both"/>
        <w:rPr>
          <w:szCs w:val="20"/>
        </w:rPr>
      </w:pPr>
    </w:p>
    <w:tbl>
      <w:tblPr>
        <w:tblW w:w="9294" w:type="dxa"/>
        <w:tblInd w:w="57" w:type="dxa"/>
        <w:tblBorders>
          <w:top w:val="single" w:sz="4" w:space="0" w:color="auto"/>
          <w:left w:val="single" w:sz="4" w:space="0" w:color="auto"/>
          <w:bottom w:val="single" w:sz="4" w:space="0" w:color="auto"/>
          <w:right w:val="single" w:sz="4" w:space="0" w:color="auto"/>
        </w:tblBorders>
        <w:shd w:val="clear" w:color="auto" w:fill="E0E0E0"/>
        <w:tblCellMar>
          <w:left w:w="28" w:type="dxa"/>
          <w:right w:w="28" w:type="dxa"/>
        </w:tblCellMar>
        <w:tblLook w:val="0000" w:firstRow="0" w:lastRow="0" w:firstColumn="0" w:lastColumn="0" w:noHBand="0" w:noVBand="0"/>
      </w:tblPr>
      <w:tblGrid>
        <w:gridCol w:w="9294"/>
      </w:tblGrid>
      <w:tr w:rsidR="00074232" w:rsidRPr="00367BFD" w14:paraId="5106184E" w14:textId="77777777" w:rsidTr="00373561">
        <w:trPr>
          <w:trHeight w:val="454"/>
        </w:trPr>
        <w:tc>
          <w:tcPr>
            <w:tcW w:w="9294" w:type="dxa"/>
            <w:shd w:val="clear" w:color="auto" w:fill="E6E6E6"/>
            <w:vAlign w:val="center"/>
          </w:tcPr>
          <w:p w14:paraId="689FAEE9" w14:textId="77777777" w:rsidR="00074232" w:rsidRPr="00367BFD" w:rsidRDefault="00074232">
            <w:pPr>
              <w:pStyle w:val="RegSectionLevel2"/>
              <w:spacing w:before="120" w:after="120"/>
              <w:ind w:left="40"/>
              <w:rPr>
                <w:rFonts w:asciiTheme="minorBidi" w:hAnsiTheme="minorBidi" w:cstheme="minorBidi"/>
              </w:rPr>
            </w:pPr>
            <w:r w:rsidRPr="007E0060">
              <w:rPr>
                <w:rFonts w:asciiTheme="minorBidi" w:hAnsiTheme="minorBidi" w:cstheme="minorBidi"/>
              </w:rPr>
              <w:t xml:space="preserve">If this methodology </w:t>
            </w:r>
            <w:r>
              <w:rPr>
                <w:rFonts w:asciiTheme="minorBidi" w:hAnsiTheme="minorBidi" w:cstheme="minorBidi"/>
              </w:rPr>
              <w:t>or methodological tool</w:t>
            </w:r>
            <w:r w:rsidRPr="007E0060">
              <w:rPr>
                <w:rFonts w:asciiTheme="minorBidi" w:hAnsiTheme="minorBidi" w:cstheme="minorBidi"/>
              </w:rPr>
              <w:t xml:space="preserve"> is based on a previous submission or an approved Article 6.4 mechanism methodology</w:t>
            </w:r>
            <w:r>
              <w:rPr>
                <w:rFonts w:asciiTheme="minorBidi" w:hAnsiTheme="minorBidi" w:cstheme="minorBidi"/>
              </w:rPr>
              <w:t xml:space="preserve"> or methodological tool</w:t>
            </w:r>
            <w:r w:rsidRPr="007E0060">
              <w:rPr>
                <w:rFonts w:asciiTheme="minorBidi" w:hAnsiTheme="minorBidi" w:cstheme="minorBidi"/>
              </w:rPr>
              <w:t>, please state the reference numbers here. Explain briefly the main differences and their rationale.</w:t>
            </w:r>
          </w:p>
        </w:tc>
      </w:tr>
    </w:tbl>
    <w:p w14:paraId="71DF453F" w14:textId="649F5C65" w:rsidR="00074232" w:rsidRDefault="00074232" w:rsidP="00074232">
      <w:pPr>
        <w:pStyle w:val="ParaTickBox"/>
        <w:jc w:val="both"/>
        <w:rPr>
          <w:szCs w:val="20"/>
        </w:rPr>
      </w:pPr>
      <w:r>
        <w:rPr>
          <w:szCs w:val="20"/>
        </w:rPr>
        <w:t>&gt;&gt;</w:t>
      </w:r>
      <w:r w:rsidR="00BC2B78">
        <w:rPr>
          <w:szCs w:val="20"/>
        </w:rPr>
        <w:t xml:space="preserve"> N/A</w:t>
      </w:r>
    </w:p>
    <w:p w14:paraId="1D7064B8" w14:textId="77777777" w:rsidR="00074232" w:rsidRDefault="00074232" w:rsidP="00074232">
      <w:pPr>
        <w:pStyle w:val="ParaTickBox"/>
        <w:jc w:val="both"/>
        <w:rPr>
          <w:szCs w:val="20"/>
        </w:rPr>
      </w:pPr>
    </w:p>
    <w:tbl>
      <w:tblPr>
        <w:tblW w:w="9294" w:type="dxa"/>
        <w:tblInd w:w="57" w:type="dxa"/>
        <w:tblBorders>
          <w:top w:val="single" w:sz="4" w:space="0" w:color="auto"/>
          <w:left w:val="single" w:sz="4" w:space="0" w:color="auto"/>
          <w:bottom w:val="single" w:sz="4" w:space="0" w:color="auto"/>
          <w:right w:val="single" w:sz="4" w:space="0" w:color="auto"/>
        </w:tblBorders>
        <w:shd w:val="clear" w:color="auto" w:fill="E0E0E0"/>
        <w:tblCellMar>
          <w:left w:w="28" w:type="dxa"/>
          <w:right w:w="28" w:type="dxa"/>
        </w:tblCellMar>
        <w:tblLook w:val="0000" w:firstRow="0" w:lastRow="0" w:firstColumn="0" w:lastColumn="0" w:noHBand="0" w:noVBand="0"/>
      </w:tblPr>
      <w:tblGrid>
        <w:gridCol w:w="9294"/>
      </w:tblGrid>
      <w:tr w:rsidR="00074232" w:rsidRPr="00367BFD" w14:paraId="298F66AA" w14:textId="77777777" w:rsidTr="00373561">
        <w:trPr>
          <w:trHeight w:val="454"/>
        </w:trPr>
        <w:tc>
          <w:tcPr>
            <w:tcW w:w="9294" w:type="dxa"/>
            <w:shd w:val="clear" w:color="auto" w:fill="E6E6E6"/>
            <w:vAlign w:val="center"/>
          </w:tcPr>
          <w:p w14:paraId="7BD4B0CB" w14:textId="089612CF" w:rsidR="00074232" w:rsidRPr="00367BFD" w:rsidRDefault="00074232">
            <w:pPr>
              <w:pStyle w:val="RegSectionLevel2"/>
              <w:spacing w:before="120" w:after="120"/>
              <w:ind w:left="40"/>
              <w:rPr>
                <w:rFonts w:asciiTheme="minorBidi" w:hAnsiTheme="minorBidi" w:cstheme="minorBidi"/>
              </w:rPr>
            </w:pPr>
            <w:r w:rsidRPr="00CF0D0A">
              <w:rPr>
                <w:rFonts w:asciiTheme="minorBidi" w:hAnsiTheme="minorBidi" w:cstheme="minorBidi"/>
              </w:rPr>
              <w:t>Summary description of the methodology</w:t>
            </w:r>
            <w:r>
              <w:rPr>
                <w:rFonts w:asciiTheme="minorBidi" w:hAnsiTheme="minorBidi" w:cstheme="minorBidi"/>
              </w:rPr>
              <w:t xml:space="preserve"> or methodological tool</w:t>
            </w:r>
            <w:r w:rsidRPr="00CF0D0A">
              <w:rPr>
                <w:rFonts w:asciiTheme="minorBidi" w:hAnsiTheme="minorBidi" w:cstheme="minorBidi"/>
              </w:rPr>
              <w:t>, including major baseline and monitoring methodological steps</w:t>
            </w:r>
            <w:r w:rsidR="064FD399" w:rsidRPr="4D59ECB0">
              <w:rPr>
                <w:rFonts w:asciiTheme="minorBidi" w:hAnsiTheme="minorBidi" w:cstheme="minorBidi"/>
              </w:rPr>
              <w:t>.</w:t>
            </w:r>
          </w:p>
        </w:tc>
      </w:tr>
    </w:tbl>
    <w:p w14:paraId="520B1A8E" w14:textId="77777777" w:rsidR="00AD1F84" w:rsidRPr="00AD1F84" w:rsidRDefault="00074232" w:rsidP="00AD1F84">
      <w:pPr>
        <w:rPr>
          <w:rFonts w:eastAsia="Arial Nova" w:cs="Arial"/>
          <w:szCs w:val="22"/>
        </w:rPr>
      </w:pPr>
      <w:r>
        <w:t>&gt;&gt;</w:t>
      </w:r>
      <w:r w:rsidR="00F10A74">
        <w:t xml:space="preserve"> </w:t>
      </w:r>
      <w:r w:rsidR="00AD1F84" w:rsidRPr="00AD1F84">
        <w:rPr>
          <w:rFonts w:eastAsia="Arial Nova" w:cs="Arial"/>
          <w:szCs w:val="22"/>
        </w:rPr>
        <w:t xml:space="preserve">The CLEAR methodology defines emission reductions as total project emissions subtracted from total baseline emissions, adjusted for leakage. Both baseline and project emissions must account for fuel consumption, renewability, and upstream emissions. </w:t>
      </w:r>
    </w:p>
    <w:p w14:paraId="0F06900E" w14:textId="77777777" w:rsidR="00AD1F84" w:rsidRPr="00AD1F84" w:rsidRDefault="00AD1F84" w:rsidP="00AD1F84">
      <w:pPr>
        <w:rPr>
          <w:rFonts w:eastAsia="Arial Nova" w:cs="Arial"/>
          <w:szCs w:val="22"/>
        </w:rPr>
      </w:pPr>
      <w:r w:rsidRPr="00AD1F84">
        <w:rPr>
          <w:rFonts w:eastAsia="Arial Nova" w:cs="Arial"/>
          <w:szCs w:val="22"/>
        </w:rPr>
        <w:t xml:space="preserve"> </w:t>
      </w:r>
    </w:p>
    <w:p w14:paraId="09D13418" w14:textId="77777777" w:rsidR="00AD1F84" w:rsidRPr="00AD1F84" w:rsidRDefault="00AD1F84" w:rsidP="00AD1F84">
      <w:pPr>
        <w:rPr>
          <w:rFonts w:eastAsia="Arial Nova" w:cs="Arial"/>
          <w:b/>
          <w:szCs w:val="22"/>
        </w:rPr>
      </w:pPr>
      <w:r w:rsidRPr="00AD1F84">
        <w:rPr>
          <w:rFonts w:eastAsia="Arial Nova" w:cs="Arial"/>
          <w:b/>
          <w:szCs w:val="22"/>
        </w:rPr>
        <w:t xml:space="preserve">Energy consumption </w:t>
      </w:r>
    </w:p>
    <w:p w14:paraId="39C82960" w14:textId="77777777" w:rsidR="00AD1F84" w:rsidRPr="00AD1F84" w:rsidRDefault="00AD1F84" w:rsidP="00AD1F84">
      <w:pPr>
        <w:rPr>
          <w:rFonts w:eastAsia="Arial Nova" w:cs="Arial"/>
          <w:szCs w:val="22"/>
        </w:rPr>
      </w:pPr>
      <w:r w:rsidRPr="00AD1F84">
        <w:rPr>
          <w:rFonts w:eastAsia="Arial Nova" w:cs="Arial"/>
          <w:szCs w:val="22"/>
        </w:rPr>
        <w:t xml:space="preserve">Energy consumption is calculated differently for Continuously Tracked Energy Consumption (CTEC) and non-CTEC projects. CTEC projects continuously measure fuel or energy consumption on all project technologies and in all project households (no sampling allowed) using built-in or external data loggers (also known as metering), or through fuel sales records. Non-CTEC projects are those that measure project cookstoves energy consumption at only a subset of sites. </w:t>
      </w:r>
    </w:p>
    <w:p w14:paraId="4EE82B9B" w14:textId="77777777" w:rsidR="00AD1F84" w:rsidRPr="00AD1F84" w:rsidRDefault="00AD1F84" w:rsidP="00AD1F84">
      <w:pPr>
        <w:rPr>
          <w:rFonts w:eastAsia="Arial Nova" w:cs="Arial"/>
          <w:szCs w:val="22"/>
        </w:rPr>
      </w:pPr>
    </w:p>
    <w:p w14:paraId="3BDDAA15" w14:textId="77777777" w:rsidR="00AD1F84" w:rsidRPr="00AD1F84" w:rsidRDefault="00AD1F84" w:rsidP="00AD1F84">
      <w:pPr>
        <w:rPr>
          <w:rFonts w:eastAsia="Arial Nova" w:cs="Arial"/>
          <w:szCs w:val="22"/>
        </w:rPr>
      </w:pPr>
      <w:r w:rsidRPr="00AD1F84">
        <w:rPr>
          <w:rFonts w:eastAsia="Arial Nova" w:cs="Arial"/>
          <w:szCs w:val="22"/>
        </w:rPr>
        <w:t xml:space="preserve">Usage cannot be used as a substitute for direct fuel consumption measurements, which are required for calculating all project emissions and emission reductions. </w:t>
      </w:r>
    </w:p>
    <w:p w14:paraId="41D2BA20" w14:textId="77777777" w:rsidR="00AD1F84" w:rsidRPr="00AD1F84" w:rsidRDefault="00AD1F84" w:rsidP="00AD1F84">
      <w:pPr>
        <w:rPr>
          <w:rFonts w:eastAsia="Arial Nova" w:cs="Arial"/>
          <w:szCs w:val="22"/>
        </w:rPr>
      </w:pPr>
    </w:p>
    <w:p w14:paraId="4C3B36F0" w14:textId="77777777" w:rsidR="00AD1F84" w:rsidRPr="00AD1F84" w:rsidRDefault="00AD1F84" w:rsidP="00AD1F84">
      <w:pPr>
        <w:rPr>
          <w:rFonts w:eastAsia="Arial Nova" w:cs="Arial"/>
          <w:szCs w:val="22"/>
          <w:u w:val="single"/>
        </w:rPr>
      </w:pPr>
      <w:r w:rsidRPr="00AD1F84">
        <w:rPr>
          <w:rFonts w:eastAsia="Arial Nova" w:cs="Arial"/>
          <w:szCs w:val="22"/>
          <w:u w:val="single"/>
        </w:rPr>
        <w:t xml:space="preserve">Non-CTEC projects </w:t>
      </w:r>
    </w:p>
    <w:p w14:paraId="16B782CF" w14:textId="77777777" w:rsidR="00AD1F84" w:rsidRPr="00AD1F84" w:rsidRDefault="00AD1F84" w:rsidP="00AD1F84">
      <w:pPr>
        <w:rPr>
          <w:rFonts w:eastAsia="Arial Nova" w:cs="Arial"/>
          <w:szCs w:val="22"/>
        </w:rPr>
      </w:pPr>
      <w:r w:rsidRPr="00AD1F84">
        <w:rPr>
          <w:rFonts w:eastAsia="Arial Nova" w:cs="Arial"/>
          <w:szCs w:val="22"/>
        </w:rPr>
        <w:t xml:space="preserve">The CLEAR methodology provides two options to determine baseline fuel consumption for non-CTEC projects. The first option is using a conservative global default that represents the minimum level of energy service required for household cooking, and the second option is conducting a baseline Kitchen Performance Test (KPT), subject to caps and flags if outside of the expected consumption range. </w:t>
      </w:r>
    </w:p>
    <w:p w14:paraId="19220F13" w14:textId="77777777" w:rsidR="00AD1F84" w:rsidRPr="00AD1F84" w:rsidRDefault="00AD1F84" w:rsidP="00AD1F84">
      <w:pPr>
        <w:rPr>
          <w:rFonts w:eastAsia="Arial Nova" w:cs="Arial"/>
          <w:szCs w:val="22"/>
        </w:rPr>
      </w:pPr>
      <w:r w:rsidRPr="00AD1F84">
        <w:rPr>
          <w:rFonts w:eastAsia="Arial Nova" w:cs="Arial"/>
          <w:szCs w:val="22"/>
        </w:rPr>
        <w:t xml:space="preserve"> </w:t>
      </w:r>
    </w:p>
    <w:p w14:paraId="4AA91781" w14:textId="43BD4769" w:rsidR="00AD1F84" w:rsidRPr="00AD1F84" w:rsidRDefault="00AD1F84" w:rsidP="00AD1F84">
      <w:pPr>
        <w:rPr>
          <w:rFonts w:eastAsia="Arial Nova" w:cs="Arial"/>
          <w:szCs w:val="22"/>
        </w:rPr>
      </w:pPr>
      <w:r w:rsidRPr="00AD1F84">
        <w:rPr>
          <w:rFonts w:eastAsia="Arial Nova" w:cs="Arial"/>
          <w:szCs w:val="22"/>
        </w:rPr>
        <w:t>To determine project fuel consumption, non-CTEC project proponents must conduct a project KPT. To adjust for the Hawthorne effect, projects can either (</w:t>
      </w:r>
      <w:proofErr w:type="spellStart"/>
      <w:r w:rsidRPr="00AD1F84">
        <w:rPr>
          <w:rFonts w:eastAsia="Arial Nova" w:cs="Arial"/>
          <w:szCs w:val="22"/>
        </w:rPr>
        <w:t>i</w:t>
      </w:r>
      <w:proofErr w:type="spellEnd"/>
      <w:r w:rsidRPr="00AD1F84">
        <w:rPr>
          <w:rFonts w:eastAsia="Arial Nova" w:cs="Arial"/>
          <w:szCs w:val="22"/>
        </w:rPr>
        <w:t xml:space="preserve">) cap their emission reductions (ERs) at 75% of what the project KPT-based estimate would be, or (ii) directly measure any effects using stove use monitors (SUMs), by comparing cookstove use during the KPT to the month before or </w:t>
      </w:r>
      <w:proofErr w:type="gramStart"/>
      <w:r w:rsidRPr="00AD1F84">
        <w:rPr>
          <w:rFonts w:eastAsia="Arial Nova" w:cs="Arial"/>
          <w:szCs w:val="22"/>
        </w:rPr>
        <w:t>after, and</w:t>
      </w:r>
      <w:proofErr w:type="gramEnd"/>
      <w:r w:rsidRPr="00AD1F84">
        <w:rPr>
          <w:rFonts w:eastAsia="Arial Nova" w:cs="Arial"/>
          <w:szCs w:val="22"/>
        </w:rPr>
        <w:t xml:space="preserve"> making the appropriate downward adjustment. </w:t>
      </w:r>
      <w:r w:rsidRPr="00AD1F84">
        <w:rPr>
          <w:rFonts w:eastAsia="Montserrat" w:cs="Arial"/>
          <w:szCs w:val="22"/>
        </w:rPr>
        <w:t>For methodological consistency, this adjustment is applied directly in the project emissions calculation.</w:t>
      </w:r>
    </w:p>
    <w:p w14:paraId="53F79444" w14:textId="77777777" w:rsidR="00AD1F84" w:rsidRPr="00AD1F84" w:rsidRDefault="00AD1F84" w:rsidP="00AD1F84">
      <w:pPr>
        <w:rPr>
          <w:rFonts w:eastAsia="Arial Nova" w:cs="Arial"/>
          <w:szCs w:val="22"/>
        </w:rPr>
      </w:pPr>
      <w:r w:rsidRPr="00AD1F84">
        <w:rPr>
          <w:rFonts w:eastAsia="Arial Nova" w:cs="Arial"/>
          <w:szCs w:val="22"/>
        </w:rPr>
        <w:t xml:space="preserve"> </w:t>
      </w:r>
    </w:p>
    <w:p w14:paraId="5BFFDDD3" w14:textId="77777777" w:rsidR="00AD1F84" w:rsidRPr="00AD1F84" w:rsidRDefault="00AD1F84" w:rsidP="00AD1F84">
      <w:pPr>
        <w:rPr>
          <w:rFonts w:eastAsia="Arial Nova" w:cs="Arial"/>
          <w:szCs w:val="22"/>
        </w:rPr>
      </w:pPr>
      <w:r w:rsidRPr="00AD1F84">
        <w:rPr>
          <w:rFonts w:eastAsia="Arial Nova" w:cs="Arial"/>
          <w:szCs w:val="22"/>
          <w:u w:val="single"/>
        </w:rPr>
        <w:t>CTEC projects</w:t>
      </w:r>
      <w:r w:rsidRPr="00AD1F84">
        <w:rPr>
          <w:rFonts w:eastAsia="Arial Nova" w:cs="Arial"/>
          <w:szCs w:val="22"/>
        </w:rPr>
        <w:t xml:space="preserve"> </w:t>
      </w:r>
    </w:p>
    <w:p w14:paraId="01EDE1CA" w14:textId="77777777" w:rsidR="00AD1F84" w:rsidRPr="00AD1F84" w:rsidRDefault="00AD1F84" w:rsidP="00AD1F84">
      <w:pPr>
        <w:spacing w:line="259" w:lineRule="auto"/>
        <w:rPr>
          <w:rFonts w:eastAsia="Arial Nova" w:cs="Arial"/>
          <w:szCs w:val="22"/>
        </w:rPr>
      </w:pPr>
      <w:r w:rsidRPr="00AD1F84">
        <w:rPr>
          <w:rFonts w:eastAsia="Arial Nova" w:cs="Arial"/>
          <w:szCs w:val="22"/>
        </w:rPr>
        <w:lastRenderedPageBreak/>
        <w:t xml:space="preserve">The CLEAR methodology provides two options for determining energy consumption for CTEC projects. Under the first option, tracked project cookstove energy consumption data is used to back-calculate baseline energy consumption using annual usage surveys and specific fuel consumption ratios of the baseline and project cookstoves, determined via Controlled Cooking Tests (CCTs) performed on each cookstove model. Under the second option, a baseline KPT is used to estimate the emission reductions produced per TJ of the continuously tracked project technology energy consumption and then scaled by the total tracked project energy consumption to determine the total emission reductions. In both cases, fuel consumption is continuously measured directly </w:t>
      </w:r>
      <w:proofErr w:type="gramStart"/>
      <w:r w:rsidRPr="00AD1F84">
        <w:rPr>
          <w:rFonts w:eastAsia="Arial Nova" w:cs="Arial"/>
          <w:szCs w:val="22"/>
        </w:rPr>
        <w:t>through the use of</w:t>
      </w:r>
      <w:proofErr w:type="gramEnd"/>
      <w:r w:rsidRPr="00AD1F84">
        <w:rPr>
          <w:rFonts w:eastAsia="Arial Nova" w:cs="Arial"/>
          <w:szCs w:val="22"/>
        </w:rPr>
        <w:t xml:space="preserve"> built-in or external data loggers, or through fuel sales records, to determine the total energy use for all project cookstoves in all project households. </w:t>
      </w:r>
      <w:r w:rsidRPr="00AD1F84">
        <w:rPr>
          <w:rStyle w:val="normaltextrun"/>
          <w:rFonts w:cs="Arial"/>
          <w:color w:val="000000" w:themeColor="text1"/>
          <w:szCs w:val="22"/>
        </w:rPr>
        <w:t xml:space="preserve">Fuel sales records can only be used in CTEC projects and must be tracked at the household level. As a control on potential fuel diversion, household fuel consumption tracked through fuel sale records must be cross-checked against average project energy consumption values. </w:t>
      </w:r>
    </w:p>
    <w:p w14:paraId="1DFBB8B5" w14:textId="77777777" w:rsidR="00AD1F84" w:rsidRPr="00AD1F84" w:rsidRDefault="00AD1F84" w:rsidP="00AD1F84">
      <w:pPr>
        <w:rPr>
          <w:rFonts w:eastAsia="Arial Nova" w:cs="Arial"/>
          <w:szCs w:val="22"/>
        </w:rPr>
      </w:pPr>
      <w:r w:rsidRPr="00AD1F84">
        <w:rPr>
          <w:rFonts w:eastAsia="Arial Nova" w:cs="Arial"/>
          <w:szCs w:val="22"/>
        </w:rPr>
        <w:t xml:space="preserve"> </w:t>
      </w:r>
    </w:p>
    <w:p w14:paraId="5CE9C5AE" w14:textId="182D9B8F" w:rsidR="00AD1F84" w:rsidRPr="00AD1F84" w:rsidRDefault="00AD1F84" w:rsidP="00AD1F84">
      <w:pPr>
        <w:rPr>
          <w:rFonts w:eastAsia="Arial Nova" w:cs="Arial"/>
          <w:b/>
          <w:szCs w:val="22"/>
        </w:rPr>
      </w:pPr>
      <w:r w:rsidRPr="00AD1F84">
        <w:rPr>
          <w:rFonts w:eastAsia="Arial Nova" w:cs="Arial"/>
          <w:b/>
          <w:szCs w:val="22"/>
        </w:rPr>
        <w:t>User households and Project Technology Days (PTDs)</w:t>
      </w:r>
    </w:p>
    <w:p w14:paraId="0F519176" w14:textId="28B57A18" w:rsidR="00AD1F84" w:rsidRPr="00AD1F84" w:rsidRDefault="00AD1F84" w:rsidP="00AD1F84">
      <w:pPr>
        <w:rPr>
          <w:rFonts w:eastAsia="Arial Nova" w:cs="Arial"/>
          <w:szCs w:val="22"/>
        </w:rPr>
      </w:pPr>
      <w:r w:rsidRPr="00AD1F84">
        <w:rPr>
          <w:rFonts w:eastAsia="Arial Nova" w:cs="Arial"/>
          <w:szCs w:val="22"/>
        </w:rPr>
        <w:t>CLEAR defines user households as project households with a functioning cookstove that is in use on average once or more per week during a given monitoring period, confirmed through both self-reporting (annual usage surveys) and visual inspection, or through SUMs. Households that do not meet these criteria must be excluded from the project.</w:t>
      </w:r>
    </w:p>
    <w:p w14:paraId="474608E6" w14:textId="77777777" w:rsidR="00AD1F84" w:rsidRPr="00AD1F84" w:rsidRDefault="00AD1F84" w:rsidP="00AD1F84">
      <w:pPr>
        <w:rPr>
          <w:rFonts w:eastAsia="Arial Nova" w:cs="Arial"/>
          <w:szCs w:val="22"/>
        </w:rPr>
      </w:pPr>
    </w:p>
    <w:p w14:paraId="64D03FC3" w14:textId="7B2169C4" w:rsidR="00AD1F84" w:rsidRPr="00AD1F84" w:rsidRDefault="00AD1F84" w:rsidP="00AD1F84">
      <w:pPr>
        <w:rPr>
          <w:rFonts w:eastAsia="Arial Nova" w:cs="Arial"/>
          <w:szCs w:val="22"/>
        </w:rPr>
      </w:pPr>
      <w:r w:rsidRPr="00AD1F84">
        <w:rPr>
          <w:rFonts w:eastAsia="Arial Nova" w:cs="Arial"/>
          <w:szCs w:val="22"/>
        </w:rPr>
        <w:t xml:space="preserve">CLEAR also incorporates the use of </w:t>
      </w:r>
      <w:r w:rsidRPr="00AD1F84">
        <w:rPr>
          <w:rFonts w:eastAsia="Arial Nova" w:cs="Arial"/>
          <w:szCs w:val="22"/>
          <w:lang w:val="en-US"/>
        </w:rPr>
        <w:t xml:space="preserve">PTDs, which indicate the number of days for which project technologies are available (at the project household, within the project boundary, and functioning) and in regular use (once or more per week on average) during a given monitoring period. This parameter is used for non-CTEC projects only. </w:t>
      </w:r>
      <w:r w:rsidRPr="00AD1F84">
        <w:rPr>
          <w:rFonts w:eastAsia="Arial Nova" w:cs="Arial"/>
          <w:szCs w:val="22"/>
        </w:rPr>
        <w:t xml:space="preserve">The number of PTDs is capped based on whether the project provides certain customer support actions described in the methodology. For a non-CTEC project to be eligible to claim up to 90% of maximum PTDs, the project proponent must take the customer support actions described in the methodology and provide details of how each condition has or will be met on the </w:t>
      </w:r>
      <w:hyperlink w:anchor="A1" w:history="1">
        <w:r w:rsidRPr="00850906">
          <w:rPr>
            <w:rStyle w:val="Hyperlink"/>
            <w:rFonts w:eastAsia="Arial Nova" w:cs="Arial"/>
            <w:szCs w:val="22"/>
          </w:rPr>
          <w:t>Project Information Cover Sheet</w:t>
        </w:r>
      </w:hyperlink>
      <w:r w:rsidRPr="00AD1F84">
        <w:rPr>
          <w:rFonts w:eastAsia="Arial Nova" w:cs="Arial"/>
          <w:szCs w:val="22"/>
        </w:rPr>
        <w:t xml:space="preserve"> during the design phase of the project. Project proponents who do not undertake all three of these customer support actions may claim up to 75% of maximum PTDs. These caps are waived when PTDs are estimated with SUMs.</w:t>
      </w:r>
    </w:p>
    <w:p w14:paraId="242AFE5F" w14:textId="77777777" w:rsidR="00AD1F84" w:rsidRPr="00AD1F84" w:rsidRDefault="00AD1F84" w:rsidP="00AD1F84">
      <w:pPr>
        <w:rPr>
          <w:rFonts w:eastAsia="Arial Nova" w:cs="Arial"/>
          <w:szCs w:val="22"/>
        </w:rPr>
      </w:pPr>
      <w:r w:rsidRPr="00AD1F84">
        <w:rPr>
          <w:rFonts w:eastAsia="Arial Nova" w:cs="Arial"/>
          <w:szCs w:val="22"/>
        </w:rPr>
        <w:t xml:space="preserve"> </w:t>
      </w:r>
    </w:p>
    <w:p w14:paraId="206D56E2" w14:textId="77777777" w:rsidR="00AD1F84" w:rsidRPr="00AD1F84" w:rsidRDefault="00AD1F84" w:rsidP="00AD1F84">
      <w:pPr>
        <w:rPr>
          <w:rFonts w:eastAsia="Arial Nova" w:cs="Arial"/>
          <w:b/>
          <w:szCs w:val="22"/>
        </w:rPr>
      </w:pPr>
      <w:r w:rsidRPr="00AD1F84">
        <w:rPr>
          <w:rFonts w:eastAsia="Arial Nova" w:cs="Arial"/>
          <w:b/>
          <w:szCs w:val="22"/>
        </w:rPr>
        <w:t>Fraction of non-renewable biomass (</w:t>
      </w:r>
      <w:proofErr w:type="spellStart"/>
      <w:r w:rsidRPr="00AD1F84">
        <w:rPr>
          <w:rFonts w:eastAsia="Arial Nova" w:cs="Arial"/>
          <w:b/>
          <w:szCs w:val="22"/>
        </w:rPr>
        <w:t>fNRB</w:t>
      </w:r>
      <w:proofErr w:type="spellEnd"/>
      <w:r w:rsidRPr="00AD1F84">
        <w:rPr>
          <w:rFonts w:eastAsia="Arial Nova" w:cs="Arial"/>
          <w:b/>
          <w:szCs w:val="22"/>
        </w:rPr>
        <w:t xml:space="preserve">) </w:t>
      </w:r>
    </w:p>
    <w:p w14:paraId="1DAAE3CF" w14:textId="77777777" w:rsidR="00AD1F84" w:rsidRPr="00AD1F84" w:rsidRDefault="00AD1F84" w:rsidP="00AD1F84">
      <w:pPr>
        <w:rPr>
          <w:rFonts w:eastAsia="Arial Nova" w:cs="Arial"/>
          <w:szCs w:val="22"/>
        </w:rPr>
      </w:pPr>
      <w:r w:rsidRPr="00AD1F84">
        <w:rPr>
          <w:rFonts w:eastAsia="Arial Nova" w:cs="Arial"/>
          <w:szCs w:val="22"/>
        </w:rPr>
        <w:t xml:space="preserve">The CLEAR methodology requires the use of </w:t>
      </w:r>
      <w:proofErr w:type="spellStart"/>
      <w:r w:rsidRPr="00AD1F84">
        <w:rPr>
          <w:rFonts w:eastAsia="Arial Nova" w:cs="Arial"/>
          <w:szCs w:val="22"/>
        </w:rPr>
        <w:t>fNRB</w:t>
      </w:r>
      <w:proofErr w:type="spellEnd"/>
      <w:r w:rsidRPr="00AD1F84">
        <w:rPr>
          <w:rFonts w:eastAsia="Arial Nova" w:cs="Arial"/>
          <w:szCs w:val="22"/>
        </w:rPr>
        <w:t xml:space="preserve"> values derived from the </w:t>
      </w:r>
      <w:proofErr w:type="spellStart"/>
      <w:r w:rsidRPr="00AD1F84">
        <w:rPr>
          <w:rFonts w:eastAsia="Arial Nova" w:cs="Arial"/>
          <w:szCs w:val="22"/>
        </w:rPr>
        <w:t>MoFuSS</w:t>
      </w:r>
      <w:proofErr w:type="spellEnd"/>
      <w:r w:rsidRPr="00AD1F84">
        <w:rPr>
          <w:rFonts w:eastAsia="Arial Nova" w:cs="Arial"/>
          <w:szCs w:val="22"/>
        </w:rPr>
        <w:t xml:space="preserve"> model and disallows the use of CDM TOOL30. Project proponents have three options to determine </w:t>
      </w:r>
      <w:proofErr w:type="spellStart"/>
      <w:r w:rsidRPr="00AD1F84">
        <w:rPr>
          <w:rFonts w:eastAsia="Arial Nova" w:cs="Arial"/>
          <w:szCs w:val="22"/>
        </w:rPr>
        <w:t>fNRB</w:t>
      </w:r>
      <w:proofErr w:type="spellEnd"/>
      <w:r w:rsidRPr="00AD1F84">
        <w:rPr>
          <w:rFonts w:eastAsia="Arial Nova" w:cs="Arial"/>
          <w:szCs w:val="22"/>
        </w:rPr>
        <w:t xml:space="preserve"> under the CLEAR methodology, all using the </w:t>
      </w:r>
      <w:proofErr w:type="spellStart"/>
      <w:r w:rsidRPr="00AD1F84">
        <w:rPr>
          <w:rFonts w:eastAsia="Arial Nova" w:cs="Arial"/>
          <w:szCs w:val="22"/>
        </w:rPr>
        <w:t>MoFuSS</w:t>
      </w:r>
      <w:proofErr w:type="spellEnd"/>
      <w:r w:rsidRPr="00AD1F84">
        <w:rPr>
          <w:rFonts w:eastAsia="Arial Nova" w:cs="Arial"/>
          <w:szCs w:val="22"/>
        </w:rPr>
        <w:t xml:space="preserve"> model: </w:t>
      </w:r>
    </w:p>
    <w:p w14:paraId="3FF24F85" w14:textId="77777777" w:rsidR="00AD1F84" w:rsidRPr="00AD1F84" w:rsidRDefault="00AD1F84" w:rsidP="00AD1F84">
      <w:pPr>
        <w:rPr>
          <w:rFonts w:eastAsia="Arial Nova" w:cs="Arial"/>
          <w:szCs w:val="22"/>
        </w:rPr>
      </w:pPr>
      <w:r w:rsidRPr="00AD1F84">
        <w:rPr>
          <w:rFonts w:eastAsia="Arial Nova" w:cs="Arial"/>
          <w:szCs w:val="22"/>
        </w:rPr>
        <w:t xml:space="preserve"> </w:t>
      </w:r>
    </w:p>
    <w:p w14:paraId="4DE17A8E" w14:textId="77777777" w:rsidR="00AD1F84" w:rsidRPr="00AD1F84" w:rsidRDefault="00AD1F84" w:rsidP="00620061">
      <w:pPr>
        <w:pStyle w:val="ListParagraph"/>
        <w:numPr>
          <w:ilvl w:val="0"/>
          <w:numId w:val="23"/>
        </w:numPr>
        <w:spacing w:line="276" w:lineRule="auto"/>
        <w:contextualSpacing w:val="0"/>
        <w:jc w:val="left"/>
        <w:rPr>
          <w:rFonts w:eastAsia="Arial Nova" w:cs="Arial"/>
          <w:szCs w:val="22"/>
        </w:rPr>
      </w:pPr>
      <w:r w:rsidRPr="00AD1F84">
        <w:rPr>
          <w:rFonts w:eastAsia="Arial Nova" w:cs="Arial"/>
          <w:szCs w:val="22"/>
        </w:rPr>
        <w:t>National or sub-national default values from CDM TOOL33 (version 3.0</w:t>
      </w:r>
      <w:proofErr w:type="gramStart"/>
      <w:r w:rsidRPr="00AD1F84">
        <w:rPr>
          <w:rFonts w:eastAsia="Arial Nova" w:cs="Arial"/>
          <w:szCs w:val="22"/>
        </w:rPr>
        <w:t>);</w:t>
      </w:r>
      <w:proofErr w:type="gramEnd"/>
    </w:p>
    <w:p w14:paraId="5E27803C" w14:textId="77777777" w:rsidR="00AD1F84" w:rsidRPr="00AD1F84" w:rsidRDefault="00AD1F84" w:rsidP="00620061">
      <w:pPr>
        <w:pStyle w:val="ListParagraph"/>
        <w:numPr>
          <w:ilvl w:val="0"/>
          <w:numId w:val="23"/>
        </w:numPr>
        <w:spacing w:line="276" w:lineRule="auto"/>
        <w:contextualSpacing w:val="0"/>
        <w:jc w:val="left"/>
        <w:rPr>
          <w:rFonts w:eastAsia="Arial Nova" w:cs="Arial"/>
          <w:szCs w:val="22"/>
        </w:rPr>
      </w:pPr>
      <w:r w:rsidRPr="00AD1F84">
        <w:rPr>
          <w:rFonts w:eastAsia="Arial Nova" w:cs="Arial"/>
          <w:szCs w:val="22"/>
        </w:rPr>
        <w:t xml:space="preserve">Customized project area (not aligned with national or subnational boundaries) using the online </w:t>
      </w:r>
      <w:proofErr w:type="spellStart"/>
      <w:r w:rsidRPr="00AD1F84">
        <w:rPr>
          <w:rFonts w:eastAsia="Arial Nova" w:cs="Arial"/>
          <w:szCs w:val="22"/>
        </w:rPr>
        <w:t>MoFuSS</w:t>
      </w:r>
      <w:proofErr w:type="spellEnd"/>
      <w:r w:rsidRPr="00AD1F84">
        <w:rPr>
          <w:rFonts w:eastAsia="Arial Nova" w:cs="Arial"/>
          <w:szCs w:val="22"/>
        </w:rPr>
        <w:t xml:space="preserve"> Default Scenarios (</w:t>
      </w:r>
      <w:proofErr w:type="spellStart"/>
      <w:r w:rsidRPr="00AD1F84">
        <w:rPr>
          <w:rFonts w:eastAsia="Arial Nova" w:cs="Arial"/>
          <w:szCs w:val="22"/>
        </w:rPr>
        <w:t>MoFuSS</w:t>
      </w:r>
      <w:proofErr w:type="spellEnd"/>
      <w:r w:rsidRPr="00AD1F84">
        <w:rPr>
          <w:rFonts w:eastAsia="Arial Nova" w:cs="Arial"/>
          <w:szCs w:val="22"/>
        </w:rPr>
        <w:t xml:space="preserve">-DS) interface; or </w:t>
      </w:r>
    </w:p>
    <w:p w14:paraId="2C6F7828" w14:textId="77777777" w:rsidR="00AD1F84" w:rsidRPr="00AD1F84" w:rsidRDefault="00AD1F84" w:rsidP="00620061">
      <w:pPr>
        <w:pStyle w:val="ListParagraph"/>
        <w:numPr>
          <w:ilvl w:val="0"/>
          <w:numId w:val="23"/>
        </w:numPr>
        <w:spacing w:after="200" w:line="276" w:lineRule="auto"/>
        <w:contextualSpacing w:val="0"/>
        <w:jc w:val="left"/>
        <w:rPr>
          <w:rFonts w:eastAsia="Arial Nova" w:cs="Arial"/>
          <w:szCs w:val="22"/>
        </w:rPr>
      </w:pPr>
      <w:r w:rsidRPr="00AD1F84">
        <w:rPr>
          <w:rFonts w:eastAsia="Arial Nova" w:cs="Arial"/>
          <w:szCs w:val="22"/>
        </w:rPr>
        <w:t xml:space="preserve">Where applicable, project proponents may run the </w:t>
      </w:r>
      <w:proofErr w:type="spellStart"/>
      <w:r w:rsidRPr="00AD1F84">
        <w:rPr>
          <w:rFonts w:eastAsia="Arial Nova" w:cs="Arial"/>
          <w:szCs w:val="22"/>
        </w:rPr>
        <w:t>MoFuSS</w:t>
      </w:r>
      <w:proofErr w:type="spellEnd"/>
      <w:r w:rsidRPr="00AD1F84">
        <w:rPr>
          <w:rFonts w:eastAsia="Arial Nova" w:cs="Arial"/>
          <w:szCs w:val="22"/>
        </w:rPr>
        <w:t xml:space="preserve"> model using their own rigorously validated inputs. For demand-side parameters like per capita fuel consumption, input data from population-representative surveys meeting the 95/10 rule or national datasets are acceptable. For supply-side data like land cover, biomass stock, or biomass growth maps, validated maps from reputed international sources or national remote sensing agencies are acceptable. </w:t>
      </w:r>
    </w:p>
    <w:p w14:paraId="4B6161C2" w14:textId="77777777" w:rsidR="00AD1F84" w:rsidRPr="00AD1F84" w:rsidRDefault="00AD1F84" w:rsidP="00AD1F84">
      <w:pPr>
        <w:rPr>
          <w:rFonts w:eastAsia="Arial Nova" w:cs="Arial"/>
          <w:szCs w:val="22"/>
        </w:rPr>
      </w:pPr>
      <w:r w:rsidRPr="00AD1F84">
        <w:rPr>
          <w:rFonts w:eastAsia="Arial Nova" w:cs="Arial"/>
          <w:szCs w:val="22"/>
        </w:rPr>
        <w:lastRenderedPageBreak/>
        <w:t xml:space="preserve">If UNFCCC determines that a marginal approach to calculating </w:t>
      </w:r>
      <w:proofErr w:type="spellStart"/>
      <w:r w:rsidRPr="00AD1F84">
        <w:rPr>
          <w:rFonts w:eastAsia="Arial Nova" w:cs="Arial"/>
          <w:szCs w:val="22"/>
        </w:rPr>
        <w:t>fNRB</w:t>
      </w:r>
      <w:proofErr w:type="spellEnd"/>
      <w:r w:rsidRPr="00AD1F84">
        <w:rPr>
          <w:rFonts w:eastAsia="Arial Nova" w:cs="Arial"/>
          <w:szCs w:val="22"/>
        </w:rPr>
        <w:t xml:space="preserve"> is allowable, </w:t>
      </w:r>
      <w:proofErr w:type="spellStart"/>
      <w:r w:rsidRPr="00AD1F84">
        <w:rPr>
          <w:rFonts w:eastAsia="Arial Nova" w:cs="Arial"/>
          <w:szCs w:val="22"/>
        </w:rPr>
        <w:t>MoFuSS</w:t>
      </w:r>
      <w:proofErr w:type="spellEnd"/>
      <w:r w:rsidRPr="00AD1F84">
        <w:rPr>
          <w:rFonts w:eastAsia="Arial Nova" w:cs="Arial"/>
          <w:szCs w:val="22"/>
        </w:rPr>
        <w:t xml:space="preserve"> may be used to calculate marginal </w:t>
      </w:r>
      <w:proofErr w:type="spellStart"/>
      <w:r w:rsidRPr="00AD1F84">
        <w:rPr>
          <w:rFonts w:eastAsia="Arial Nova" w:cs="Arial"/>
          <w:szCs w:val="22"/>
        </w:rPr>
        <w:t>fNRB</w:t>
      </w:r>
      <w:proofErr w:type="spellEnd"/>
      <w:r w:rsidRPr="00AD1F84">
        <w:rPr>
          <w:rFonts w:eastAsia="Arial Nova" w:cs="Arial"/>
          <w:szCs w:val="22"/>
        </w:rPr>
        <w:t xml:space="preserve"> for a given project under the CLEAR methodology. </w:t>
      </w:r>
    </w:p>
    <w:p w14:paraId="71F03766" w14:textId="77777777" w:rsidR="00AD1F84" w:rsidRPr="00AD1F84" w:rsidRDefault="00AD1F84" w:rsidP="00AD1F84">
      <w:pPr>
        <w:rPr>
          <w:rFonts w:eastAsia="Arial Nova" w:cs="Arial"/>
          <w:szCs w:val="22"/>
        </w:rPr>
      </w:pPr>
      <w:r w:rsidRPr="00AD1F84">
        <w:rPr>
          <w:rFonts w:eastAsia="Arial Nova" w:cs="Arial"/>
          <w:szCs w:val="22"/>
        </w:rPr>
        <w:t xml:space="preserve"> </w:t>
      </w:r>
    </w:p>
    <w:p w14:paraId="278A41C9" w14:textId="77777777" w:rsidR="00AD1F84" w:rsidRPr="00AD1F84" w:rsidRDefault="00AD1F84" w:rsidP="00AD1F84">
      <w:pPr>
        <w:rPr>
          <w:rFonts w:eastAsia="Arial Nova" w:cs="Arial"/>
          <w:b/>
          <w:szCs w:val="22"/>
        </w:rPr>
      </w:pPr>
      <w:r w:rsidRPr="00AD1F84">
        <w:rPr>
          <w:rFonts w:eastAsia="Arial Nova" w:cs="Arial"/>
          <w:b/>
          <w:szCs w:val="22"/>
        </w:rPr>
        <w:t xml:space="preserve">Wood to charcoal conversion </w:t>
      </w:r>
    </w:p>
    <w:p w14:paraId="7E0A8E10" w14:textId="77777777" w:rsidR="00AD1F84" w:rsidRPr="00AD1F84" w:rsidRDefault="00AD1F84" w:rsidP="00AD1F84">
      <w:pPr>
        <w:rPr>
          <w:rFonts w:eastAsia="Arial Nova" w:cs="Arial"/>
          <w:szCs w:val="22"/>
        </w:rPr>
      </w:pPr>
      <w:r w:rsidRPr="00AD1F84">
        <w:rPr>
          <w:rFonts w:eastAsia="Arial Nova" w:cs="Arial"/>
          <w:szCs w:val="22"/>
        </w:rPr>
        <w:t xml:space="preserve">Based on the latest scientific evidence, the CLEAR methodology uses a 6:1 conversion factor, which is incorporated into upstream emission factor values and </w:t>
      </w:r>
      <w:proofErr w:type="spellStart"/>
      <w:r w:rsidRPr="00AD1F84">
        <w:rPr>
          <w:rFonts w:eastAsia="Arial Nova" w:cs="Arial"/>
          <w:szCs w:val="22"/>
        </w:rPr>
        <w:t>fNRB</w:t>
      </w:r>
      <w:proofErr w:type="spellEnd"/>
      <w:r w:rsidRPr="00AD1F84">
        <w:rPr>
          <w:rFonts w:eastAsia="Arial Nova" w:cs="Arial"/>
          <w:szCs w:val="22"/>
        </w:rPr>
        <w:t>.</w:t>
      </w:r>
      <w:r w:rsidR="00800141">
        <w:rPr>
          <w:rFonts w:eastAsia="Arial Nova" w:cs="Arial"/>
          <w:szCs w:val="22"/>
        </w:rPr>
        <w:t xml:space="preserve"> </w:t>
      </w:r>
      <w:r w:rsidRPr="00AD1F84">
        <w:rPr>
          <w:rFonts w:eastAsia="Arial Nova" w:cs="Arial"/>
          <w:szCs w:val="22"/>
        </w:rPr>
        <w:t xml:space="preserve">Nonetheless, the methodology also includes emission factors based on a 4:1 conversion factor, to enable ICVCM Core Carbon Principles (CCP) eligibility. </w:t>
      </w:r>
    </w:p>
    <w:p w14:paraId="75F8F80A" w14:textId="77777777" w:rsidR="00AD1F84" w:rsidRPr="00AD1F84" w:rsidRDefault="00AD1F84" w:rsidP="00AD1F84">
      <w:pPr>
        <w:rPr>
          <w:rFonts w:eastAsia="Arial Nova" w:cs="Arial"/>
          <w:b/>
          <w:szCs w:val="22"/>
        </w:rPr>
      </w:pPr>
    </w:p>
    <w:p w14:paraId="6B509E20" w14:textId="77777777" w:rsidR="00AD1F84" w:rsidRPr="00AD1F84" w:rsidRDefault="00AD1F84" w:rsidP="00AD1F84">
      <w:pPr>
        <w:rPr>
          <w:rFonts w:eastAsia="Arial Nova" w:cs="Arial"/>
          <w:b/>
          <w:szCs w:val="22"/>
        </w:rPr>
      </w:pPr>
      <w:r w:rsidRPr="00AD1F84">
        <w:rPr>
          <w:rFonts w:eastAsia="Arial Nova" w:cs="Arial"/>
          <w:b/>
          <w:szCs w:val="22"/>
        </w:rPr>
        <w:t xml:space="preserve">Upstream emissions </w:t>
      </w:r>
    </w:p>
    <w:p w14:paraId="0ECF33A1" w14:textId="77777777" w:rsidR="00AD1F84" w:rsidRPr="00AD1F84" w:rsidRDefault="00AD1F84" w:rsidP="00AD1F84">
      <w:pPr>
        <w:rPr>
          <w:rFonts w:eastAsia="Arial Nova" w:cs="Arial"/>
        </w:rPr>
      </w:pPr>
      <w:r w:rsidRPr="5808F709">
        <w:rPr>
          <w:rFonts w:eastAsia="Arial Nova" w:cs="Arial"/>
        </w:rPr>
        <w:t>Upstream emissions from the production, processing, transportation, and distribution of cooking fuels are included in the calculation of CO</w:t>
      </w:r>
      <w:r w:rsidRPr="007F7BC2">
        <w:rPr>
          <w:rFonts w:eastAsia="Arial Nova" w:cs="Arial"/>
          <w:szCs w:val="22"/>
          <w:vertAlign w:val="subscript"/>
        </w:rPr>
        <w:t>2</w:t>
      </w:r>
      <w:r w:rsidRPr="5808F709">
        <w:rPr>
          <w:rFonts w:eastAsia="Arial Nova" w:cs="Arial"/>
        </w:rPr>
        <w:t xml:space="preserve">e. Upstream emissions apply to both baseline and project scenarios. </w:t>
      </w:r>
    </w:p>
    <w:p w14:paraId="3DFC60A9" w14:textId="77777777" w:rsidR="00AD1F84" w:rsidRPr="00AD1F84" w:rsidRDefault="00AD1F84" w:rsidP="00AD1F84">
      <w:pPr>
        <w:rPr>
          <w:rFonts w:eastAsia="Arial Nova" w:cs="Arial"/>
          <w:szCs w:val="22"/>
        </w:rPr>
      </w:pPr>
    </w:p>
    <w:p w14:paraId="1614FD94" w14:textId="77777777" w:rsidR="00AD1F84" w:rsidRPr="00AD1F84" w:rsidRDefault="00AD1F84" w:rsidP="00AD1F84">
      <w:pPr>
        <w:rPr>
          <w:rFonts w:eastAsia="Arial Nova" w:cs="Arial"/>
          <w:b/>
          <w:szCs w:val="22"/>
        </w:rPr>
      </w:pPr>
      <w:r w:rsidRPr="00AD1F84">
        <w:rPr>
          <w:rFonts w:eastAsia="Arial Nova" w:cs="Arial"/>
          <w:b/>
          <w:szCs w:val="22"/>
        </w:rPr>
        <w:t xml:space="preserve">Leakage </w:t>
      </w:r>
    </w:p>
    <w:p w14:paraId="3E50C380" w14:textId="77777777" w:rsidR="00AD1F84" w:rsidRPr="00AD1F84" w:rsidRDefault="00AD1F84" w:rsidP="00AD1F84">
      <w:pPr>
        <w:spacing w:after="240"/>
        <w:rPr>
          <w:rFonts w:cs="Arial"/>
          <w:color w:val="000000" w:themeColor="text1"/>
        </w:rPr>
      </w:pPr>
      <w:r w:rsidRPr="5BE4F77C">
        <w:rPr>
          <w:rFonts w:cs="Arial"/>
        </w:rPr>
        <w:t>The</w:t>
      </w:r>
      <w:r w:rsidRPr="5BE4F77C">
        <w:rPr>
          <w:rFonts w:eastAsia="Arial Nova" w:cs="Arial"/>
        </w:rPr>
        <w:t xml:space="preserve"> CLEAR methodology </w:t>
      </w:r>
      <w:r w:rsidRPr="5BE4F77C">
        <w:rPr>
          <w:rFonts w:cs="Arial"/>
        </w:rPr>
        <w:t>requires</w:t>
      </w:r>
      <w:r w:rsidRPr="5BE4F77C">
        <w:rPr>
          <w:rFonts w:eastAsia="Arial Nova" w:cs="Arial"/>
        </w:rPr>
        <w:t xml:space="preserve"> that </w:t>
      </w:r>
      <w:r w:rsidRPr="5BE4F77C">
        <w:rPr>
          <w:rFonts w:cs="Arial"/>
        </w:rPr>
        <w:t>projects apply a default adjustment factor of 2% to the emission reductions to approximate leakage emissions or</w:t>
      </w:r>
      <w:r w:rsidRPr="5BE4F77C">
        <w:rPr>
          <w:rFonts w:cs="Arial"/>
          <w:color w:val="000000" w:themeColor="text1"/>
        </w:rPr>
        <w:t xml:space="preserve"> evaluate the relevant potential sources of leakage and provide an evidence-based description and estimated quantification of each potential source and its relevance for the project. </w:t>
      </w:r>
    </w:p>
    <w:p w14:paraId="3B68C9D6" w14:textId="77777777" w:rsidR="00AD1F84" w:rsidRPr="00AD1F84" w:rsidRDefault="00AD1F84" w:rsidP="00AD1F84">
      <w:pPr>
        <w:rPr>
          <w:rFonts w:cs="Arial"/>
          <w:b/>
          <w:color w:val="000000" w:themeColor="text1"/>
        </w:rPr>
      </w:pPr>
      <w:r w:rsidRPr="5BE4F77C">
        <w:rPr>
          <w:rFonts w:cs="Arial"/>
          <w:b/>
          <w:color w:val="000000" w:themeColor="text1"/>
        </w:rPr>
        <w:t>Additionality</w:t>
      </w:r>
    </w:p>
    <w:p w14:paraId="3E13E365" w14:textId="77777777" w:rsidR="00AD1F84" w:rsidRPr="00AD1F84" w:rsidRDefault="00AD1F84" w:rsidP="00AD1F84">
      <w:pPr>
        <w:spacing w:after="240"/>
        <w:rPr>
          <w:rFonts w:cs="Arial"/>
        </w:rPr>
      </w:pPr>
      <w:r w:rsidRPr="5BE4F77C">
        <w:rPr>
          <w:rFonts w:eastAsia="Montserrat" w:cs="Arial"/>
        </w:rPr>
        <w:t xml:space="preserve">Project activities using the CLEAR methodology shall demonstrate that the project activity would have not occurred in the absence of the support of revenues from the carbon credit sales, and that the emission reductions achieved by the project would not occur </w:t>
      </w:r>
      <w:proofErr w:type="gramStart"/>
      <w:r w:rsidRPr="5BE4F77C">
        <w:rPr>
          <w:rFonts w:eastAsia="Montserrat" w:cs="Arial"/>
        </w:rPr>
        <w:t>as a result of</w:t>
      </w:r>
      <w:proofErr w:type="gramEnd"/>
      <w:r w:rsidRPr="5BE4F77C">
        <w:rPr>
          <w:rFonts w:eastAsia="Montserrat" w:cs="Arial"/>
        </w:rPr>
        <w:t xml:space="preserve"> any legal instrument. To demonstrate this, project proponents shall provide financial viability information </w:t>
      </w:r>
      <w:proofErr w:type="gramStart"/>
      <w:r w:rsidRPr="5BE4F77C">
        <w:rPr>
          <w:rFonts w:eastAsia="Montserrat" w:cs="Arial"/>
        </w:rPr>
        <w:t>and also</w:t>
      </w:r>
      <w:proofErr w:type="gramEnd"/>
      <w:r w:rsidRPr="5BE4F77C">
        <w:rPr>
          <w:rFonts w:eastAsia="Montserrat" w:cs="Arial"/>
        </w:rPr>
        <w:t xml:space="preserve"> conduct a regulatory analysis, barrier analysis, and a common practice analysis.</w:t>
      </w:r>
    </w:p>
    <w:p w14:paraId="40EE0BC6" w14:textId="1C076C91" w:rsidR="00074232" w:rsidRDefault="00074232" w:rsidP="00074232">
      <w:pPr>
        <w:pStyle w:val="ParaTickBox"/>
        <w:jc w:val="both"/>
      </w:pPr>
    </w:p>
    <w:p w14:paraId="45DB1891" w14:textId="77777777" w:rsidR="002A1B7C" w:rsidRPr="002A1B7C" w:rsidRDefault="002A1B7C" w:rsidP="002A1B7C">
      <w:pPr>
        <w:pStyle w:val="ParaTickBox"/>
        <w:jc w:val="both"/>
      </w:pPr>
    </w:p>
    <w:p w14:paraId="14A76321" w14:textId="228E3D87" w:rsidR="00277C18" w:rsidRPr="002A1B7C" w:rsidRDefault="00277C18" w:rsidP="002A1B7C">
      <w:pPr>
        <w:pStyle w:val="ParaTickBox"/>
        <w:jc w:val="both"/>
        <w:rPr>
          <w:szCs w:val="20"/>
        </w:rPr>
      </w:pPr>
      <w:r w:rsidRPr="002A1B7C">
        <w:rPr>
          <w:szCs w:val="20"/>
        </w:rPr>
        <w:br w:type="page"/>
      </w:r>
    </w:p>
    <w:tbl>
      <w:tblPr>
        <w:tblW w:w="9577" w:type="dxa"/>
        <w:tblInd w:w="57" w:type="dxa"/>
        <w:tblBorders>
          <w:top w:val="single" w:sz="4" w:space="0" w:color="auto"/>
          <w:left w:val="single" w:sz="4" w:space="0" w:color="auto"/>
          <w:bottom w:val="single" w:sz="4" w:space="0" w:color="auto"/>
          <w:right w:val="single" w:sz="4" w:space="0" w:color="auto"/>
        </w:tblBorders>
        <w:shd w:val="clear" w:color="auto" w:fill="E0E0E0"/>
        <w:tblCellMar>
          <w:left w:w="28" w:type="dxa"/>
          <w:right w:w="28" w:type="dxa"/>
        </w:tblCellMar>
        <w:tblLook w:val="0000" w:firstRow="0" w:lastRow="0" w:firstColumn="0" w:lastColumn="0" w:noHBand="0" w:noVBand="0"/>
      </w:tblPr>
      <w:tblGrid>
        <w:gridCol w:w="9577"/>
      </w:tblGrid>
      <w:tr w:rsidR="001D0FC6" w:rsidRPr="00367BFD" w14:paraId="329EB998" w14:textId="77777777" w:rsidTr="00473D44">
        <w:trPr>
          <w:trHeight w:val="454"/>
        </w:trPr>
        <w:tc>
          <w:tcPr>
            <w:tcW w:w="9577" w:type="dxa"/>
            <w:shd w:val="clear" w:color="auto" w:fill="CCCCCC"/>
            <w:vAlign w:val="center"/>
          </w:tcPr>
          <w:p w14:paraId="35810B64" w14:textId="77777777" w:rsidR="001D0FC6" w:rsidRPr="00473D44" w:rsidRDefault="001D0FC6" w:rsidP="00620061">
            <w:pPr>
              <w:pStyle w:val="SDMPDDPoASection"/>
              <w:numPr>
                <w:ilvl w:val="1"/>
                <w:numId w:val="19"/>
              </w:numPr>
              <w:tabs>
                <w:tab w:val="clear" w:pos="1729"/>
              </w:tabs>
              <w:spacing w:before="120" w:after="120"/>
              <w:ind w:left="1730" w:hanging="1690"/>
              <w:outlineLvl w:val="0"/>
              <w:rPr>
                <w:sz w:val="22"/>
                <w:szCs w:val="22"/>
              </w:rPr>
            </w:pPr>
            <w:r w:rsidRPr="00473D44">
              <w:rPr>
                <w:sz w:val="22"/>
                <w:szCs w:val="22"/>
              </w:rPr>
              <w:lastRenderedPageBreak/>
              <w:tab/>
              <w:t>Proposed new baseline and monitoring methodology or methodological tool</w:t>
            </w:r>
          </w:p>
        </w:tc>
      </w:tr>
    </w:tbl>
    <w:p w14:paraId="3B249390" w14:textId="77777777" w:rsidR="00687E50" w:rsidRPr="00473D44" w:rsidRDefault="00687E50" w:rsidP="00FE508D">
      <w:pPr>
        <w:pStyle w:val="SDMPara"/>
        <w:numPr>
          <w:ilvl w:val="0"/>
          <w:numId w:val="0"/>
        </w:numPr>
      </w:pPr>
    </w:p>
    <w:p w14:paraId="6B6EBE80" w14:textId="71E90D12" w:rsidR="002454C9" w:rsidRDefault="002454C9" w:rsidP="00620061">
      <w:pPr>
        <w:pStyle w:val="SDMHead1"/>
        <w:numPr>
          <w:ilvl w:val="0"/>
          <w:numId w:val="18"/>
        </w:numPr>
      </w:pPr>
      <w:r>
        <w:t>Introduction</w:t>
      </w:r>
      <w:bookmarkEnd w:id="0"/>
      <w:bookmarkEnd w:id="1"/>
      <w:bookmarkEnd w:id="2"/>
      <w:bookmarkEnd w:id="3"/>
      <w:bookmarkEnd w:id="4"/>
      <w:bookmarkEnd w:id="5"/>
    </w:p>
    <w:p w14:paraId="16E65D2E" w14:textId="357189AD" w:rsidR="001774CC" w:rsidRDefault="00B61B8E" w:rsidP="00620061">
      <w:pPr>
        <w:pStyle w:val="SDMPara"/>
        <w:numPr>
          <w:ilvl w:val="0"/>
          <w:numId w:val="14"/>
        </w:numPr>
      </w:pPr>
      <w:r>
        <w:t xml:space="preserve">The following table </w:t>
      </w:r>
      <w:r w:rsidR="00223B3B">
        <w:t xml:space="preserve">presents </w:t>
      </w:r>
      <w:r w:rsidR="002E59BD">
        <w:t>a summary of the key elements of a methodology:</w:t>
      </w:r>
    </w:p>
    <w:p w14:paraId="53BAC19B" w14:textId="3E963C34" w:rsidR="00B61B8E" w:rsidRDefault="00B61B8E" w:rsidP="00B61B8E">
      <w:pPr>
        <w:pStyle w:val="Caption"/>
        <w:rPr>
          <w:lang w:val="en-US"/>
        </w:rPr>
      </w:pPr>
      <w:r>
        <w:t xml:space="preserve">Table </w:t>
      </w:r>
      <w:r>
        <w:fldChar w:fldCharType="begin"/>
      </w:r>
      <w:r>
        <w:instrText>SEQ Table \* ARABIC</w:instrText>
      </w:r>
      <w:r>
        <w:fldChar w:fldCharType="separate"/>
      </w:r>
      <w:r w:rsidR="004C6E01">
        <w:rPr>
          <w:noProof/>
        </w:rPr>
        <w:t>1</w:t>
      </w:r>
      <w:r>
        <w:fldChar w:fldCharType="end"/>
      </w:r>
      <w:r>
        <w:rPr>
          <w:lang w:val="en-US"/>
        </w:rPr>
        <w:t>. Methodology key elements</w:t>
      </w:r>
    </w:p>
    <w:tbl>
      <w:tblPr>
        <w:tblStyle w:val="SDMTable"/>
        <w:tblW w:w="8104" w:type="dxa"/>
        <w:tblLook w:val="04A0" w:firstRow="1" w:lastRow="0" w:firstColumn="1" w:lastColumn="0" w:noHBand="0" w:noVBand="1"/>
      </w:tblPr>
      <w:tblGrid>
        <w:gridCol w:w="3142"/>
        <w:gridCol w:w="4962"/>
      </w:tblGrid>
      <w:tr w:rsidR="007946BD" w:rsidRPr="003B342F" w14:paraId="6462E4BF" w14:textId="77777777" w:rsidTr="009C02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2" w:type="dxa"/>
          </w:tcPr>
          <w:p w14:paraId="77E1A88A" w14:textId="77777777" w:rsidR="007946BD" w:rsidRPr="00742C91" w:rsidRDefault="007946BD">
            <w:pPr>
              <w:jc w:val="left"/>
              <w:rPr>
                <w:szCs w:val="22"/>
              </w:rPr>
            </w:pPr>
            <w:r w:rsidRPr="00742C91">
              <w:rPr>
                <w:szCs w:val="22"/>
              </w:rPr>
              <w:t>Type of GHG mitigation measure(s)</w:t>
            </w:r>
          </w:p>
        </w:tc>
        <w:tc>
          <w:tcPr>
            <w:tcW w:w="4962" w:type="dxa"/>
          </w:tcPr>
          <w:p w14:paraId="270BBDFB" w14:textId="68CC3DE0" w:rsidR="007946BD" w:rsidRPr="00742C91" w:rsidRDefault="0079063E">
            <w:pPr>
              <w:tabs>
                <w:tab w:val="left" w:pos="197"/>
              </w:tabs>
              <w:ind w:left="510" w:hanging="510"/>
              <w:jc w:val="left"/>
              <w:cnfStyle w:val="100000000000" w:firstRow="1" w:lastRow="0" w:firstColumn="0" w:lastColumn="0" w:oddVBand="0" w:evenVBand="0" w:oddHBand="0" w:evenHBand="0" w:firstRowFirstColumn="0" w:firstRowLastColumn="0" w:lastRowFirstColumn="0" w:lastRowLastColumn="0"/>
              <w:rPr>
                <w:bCs/>
                <w:szCs w:val="22"/>
              </w:rPr>
            </w:pPr>
            <w:r>
              <w:rPr>
                <w:bCs/>
                <w:szCs w:val="22"/>
              </w:rPr>
              <w:fldChar w:fldCharType="begin">
                <w:ffData>
                  <w:name w:val="Check2"/>
                  <w:enabled/>
                  <w:calcOnExit w:val="0"/>
                  <w:checkBox>
                    <w:size w:val="20"/>
                    <w:default w:val="1"/>
                  </w:checkBox>
                </w:ffData>
              </w:fldChar>
            </w:r>
            <w:bookmarkStart w:id="6" w:name="Check2"/>
            <w:r>
              <w:rPr>
                <w:bCs/>
                <w:szCs w:val="22"/>
              </w:rPr>
              <w:instrText xml:space="preserve"> FORMCHECKBOX </w:instrText>
            </w:r>
            <w:r>
              <w:rPr>
                <w:bCs/>
                <w:szCs w:val="22"/>
              </w:rPr>
            </w:r>
            <w:r>
              <w:rPr>
                <w:bCs/>
                <w:szCs w:val="22"/>
              </w:rPr>
              <w:fldChar w:fldCharType="separate"/>
            </w:r>
            <w:r>
              <w:rPr>
                <w:bCs/>
                <w:szCs w:val="22"/>
              </w:rPr>
              <w:fldChar w:fldCharType="end"/>
            </w:r>
            <w:bookmarkEnd w:id="6"/>
            <w:r w:rsidR="007946BD" w:rsidRPr="00742C91">
              <w:rPr>
                <w:b w:val="0"/>
                <w:bCs/>
                <w:szCs w:val="22"/>
              </w:rPr>
              <w:t xml:space="preserve"> Fuel/feedstock switch</w:t>
            </w:r>
          </w:p>
          <w:p w14:paraId="088405CD" w14:textId="3918A7D0" w:rsidR="007946BD" w:rsidRPr="00742C91" w:rsidRDefault="0079063E">
            <w:pPr>
              <w:tabs>
                <w:tab w:val="left" w:pos="197"/>
              </w:tabs>
              <w:ind w:left="510" w:hanging="510"/>
              <w:jc w:val="left"/>
              <w:cnfStyle w:val="100000000000" w:firstRow="1" w:lastRow="0" w:firstColumn="0" w:lastColumn="0" w:oddVBand="0" w:evenVBand="0" w:oddHBand="0" w:evenHBand="0" w:firstRowFirstColumn="0" w:firstRowLastColumn="0" w:lastRowFirstColumn="0" w:lastRowLastColumn="0"/>
              <w:rPr>
                <w:bCs/>
                <w:szCs w:val="22"/>
              </w:rPr>
            </w:pPr>
            <w:r>
              <w:rPr>
                <w:bCs/>
                <w:szCs w:val="22"/>
              </w:rPr>
              <w:fldChar w:fldCharType="begin">
                <w:ffData>
                  <w:name w:val=""/>
                  <w:enabled/>
                  <w:calcOnExit w:val="0"/>
                  <w:checkBox>
                    <w:size w:val="20"/>
                    <w:default w:val="1"/>
                  </w:checkBox>
                </w:ffData>
              </w:fldChar>
            </w:r>
            <w:r>
              <w:rPr>
                <w:bCs/>
                <w:szCs w:val="22"/>
              </w:rPr>
              <w:instrText xml:space="preserve"> FORMCHECKBOX </w:instrText>
            </w:r>
            <w:r>
              <w:rPr>
                <w:bCs/>
                <w:szCs w:val="22"/>
              </w:rPr>
            </w:r>
            <w:r>
              <w:rPr>
                <w:bCs/>
                <w:szCs w:val="22"/>
              </w:rPr>
              <w:fldChar w:fldCharType="separate"/>
            </w:r>
            <w:r>
              <w:rPr>
                <w:bCs/>
                <w:szCs w:val="22"/>
              </w:rPr>
              <w:fldChar w:fldCharType="end"/>
            </w:r>
            <w:r w:rsidR="007946BD" w:rsidRPr="00742C91">
              <w:rPr>
                <w:b w:val="0"/>
                <w:bCs/>
                <w:szCs w:val="22"/>
              </w:rPr>
              <w:t xml:space="preserve"> Technology switch</w:t>
            </w:r>
          </w:p>
          <w:p w14:paraId="4BDF451D" w14:textId="77777777" w:rsidR="007946BD" w:rsidRPr="00742C91" w:rsidRDefault="007946BD">
            <w:pPr>
              <w:tabs>
                <w:tab w:val="left" w:pos="197"/>
              </w:tabs>
              <w:ind w:left="510" w:hanging="510"/>
              <w:jc w:val="left"/>
              <w:cnfStyle w:val="100000000000" w:firstRow="1" w:lastRow="0" w:firstColumn="0" w:lastColumn="0" w:oddVBand="0" w:evenVBand="0" w:oddHBand="0" w:evenHBand="0" w:firstRowFirstColumn="0" w:firstRowLastColumn="0" w:lastRowFirstColumn="0" w:lastRowLastColumn="0"/>
              <w:rPr>
                <w:bCs/>
                <w:szCs w:val="22"/>
                <w:lang w:val="en-US"/>
              </w:rPr>
            </w:pPr>
            <w:r w:rsidRPr="00742C91">
              <w:rPr>
                <w:bCs/>
                <w:szCs w:val="22"/>
              </w:rPr>
              <w:fldChar w:fldCharType="begin">
                <w:ffData>
                  <w:name w:val="Check2"/>
                  <w:enabled/>
                  <w:calcOnExit w:val="0"/>
                  <w:checkBox>
                    <w:size w:val="20"/>
                    <w:default w:val="0"/>
                  </w:checkBox>
                </w:ffData>
              </w:fldChar>
            </w:r>
            <w:r w:rsidRPr="00742C91">
              <w:rPr>
                <w:b w:val="0"/>
                <w:bCs/>
                <w:szCs w:val="22"/>
                <w:lang w:val="en-US"/>
              </w:rPr>
              <w:instrText xml:space="preserve"> FORMCHECKBOX </w:instrText>
            </w:r>
            <w:r w:rsidRPr="00742C91">
              <w:rPr>
                <w:bCs/>
                <w:szCs w:val="22"/>
              </w:rPr>
            </w:r>
            <w:r w:rsidRPr="00742C91">
              <w:rPr>
                <w:bCs/>
                <w:szCs w:val="22"/>
              </w:rPr>
              <w:fldChar w:fldCharType="separate"/>
            </w:r>
            <w:r w:rsidRPr="00742C91">
              <w:rPr>
                <w:bCs/>
                <w:szCs w:val="22"/>
              </w:rPr>
              <w:fldChar w:fldCharType="end"/>
            </w:r>
            <w:r w:rsidRPr="00742C91">
              <w:rPr>
                <w:b w:val="0"/>
                <w:bCs/>
                <w:szCs w:val="22"/>
                <w:lang w:val="en-US"/>
              </w:rPr>
              <w:t xml:space="preserve"> GHG destruction</w:t>
            </w:r>
          </w:p>
          <w:p w14:paraId="3E3ABC6F" w14:textId="77777777" w:rsidR="007946BD" w:rsidRPr="00BA38F8" w:rsidRDefault="007946BD">
            <w:pPr>
              <w:tabs>
                <w:tab w:val="left" w:pos="197"/>
              </w:tabs>
              <w:ind w:left="510" w:hanging="510"/>
              <w:jc w:val="left"/>
              <w:cnfStyle w:val="100000000000" w:firstRow="1" w:lastRow="0" w:firstColumn="0" w:lastColumn="0" w:oddVBand="0" w:evenVBand="0" w:oddHBand="0" w:evenHBand="0" w:firstRowFirstColumn="0" w:firstRowLastColumn="0" w:lastRowFirstColumn="0" w:lastRowLastColumn="0"/>
              <w:rPr>
                <w:bCs/>
                <w:szCs w:val="22"/>
                <w:lang w:val="en-US"/>
              </w:rPr>
            </w:pPr>
            <w:r w:rsidRPr="00742C91">
              <w:rPr>
                <w:bCs/>
                <w:szCs w:val="22"/>
              </w:rPr>
              <w:fldChar w:fldCharType="begin">
                <w:ffData>
                  <w:name w:val="Check2"/>
                  <w:enabled/>
                  <w:calcOnExit w:val="0"/>
                  <w:checkBox>
                    <w:size w:val="20"/>
                    <w:default w:val="0"/>
                  </w:checkBox>
                </w:ffData>
              </w:fldChar>
            </w:r>
            <w:r w:rsidRPr="00BA38F8">
              <w:rPr>
                <w:b w:val="0"/>
                <w:bCs/>
                <w:szCs w:val="22"/>
                <w:lang w:val="en-US"/>
              </w:rPr>
              <w:instrText xml:space="preserve"> FORMCHECKBOX </w:instrText>
            </w:r>
            <w:r w:rsidRPr="00742C91">
              <w:rPr>
                <w:bCs/>
                <w:szCs w:val="22"/>
              </w:rPr>
            </w:r>
            <w:r w:rsidRPr="00742C91">
              <w:rPr>
                <w:bCs/>
                <w:szCs w:val="22"/>
              </w:rPr>
              <w:fldChar w:fldCharType="separate"/>
            </w:r>
            <w:r w:rsidRPr="00742C91">
              <w:rPr>
                <w:bCs/>
                <w:szCs w:val="22"/>
              </w:rPr>
              <w:fldChar w:fldCharType="end"/>
            </w:r>
            <w:r w:rsidRPr="00BA38F8">
              <w:rPr>
                <w:b w:val="0"/>
                <w:bCs/>
                <w:szCs w:val="22"/>
                <w:lang w:val="en-US"/>
              </w:rPr>
              <w:t xml:space="preserve"> GHG formation avoidance</w:t>
            </w:r>
          </w:p>
          <w:p w14:paraId="3BFA0D64" w14:textId="3BF95AB3" w:rsidR="00AE0C33" w:rsidRPr="003B342F" w:rsidRDefault="00AE0C33" w:rsidP="00AE0C33">
            <w:pPr>
              <w:tabs>
                <w:tab w:val="left" w:pos="197"/>
              </w:tabs>
              <w:ind w:left="510" w:hanging="510"/>
              <w:jc w:val="left"/>
              <w:cnfStyle w:val="100000000000" w:firstRow="1" w:lastRow="0" w:firstColumn="0" w:lastColumn="0" w:oddVBand="0" w:evenVBand="0" w:oddHBand="0" w:evenHBand="0" w:firstRowFirstColumn="0" w:firstRowLastColumn="0" w:lastRowFirstColumn="0" w:lastRowLastColumn="0"/>
              <w:rPr>
                <w:bCs/>
                <w:szCs w:val="22"/>
                <w:lang w:val="en-US"/>
              </w:rPr>
            </w:pPr>
            <w:r w:rsidRPr="00742C91">
              <w:rPr>
                <w:bCs/>
                <w:szCs w:val="22"/>
              </w:rPr>
              <w:fldChar w:fldCharType="begin">
                <w:ffData>
                  <w:name w:val="Check2"/>
                  <w:enabled/>
                  <w:calcOnExit w:val="0"/>
                  <w:checkBox>
                    <w:size w:val="20"/>
                    <w:default w:val="0"/>
                  </w:checkBox>
                </w:ffData>
              </w:fldChar>
            </w:r>
            <w:r w:rsidRPr="00BA38F8">
              <w:rPr>
                <w:bCs/>
                <w:szCs w:val="22"/>
                <w:lang w:val="en-US"/>
              </w:rPr>
              <w:instrText xml:space="preserve"> FORMCHECKBOX </w:instrText>
            </w:r>
            <w:r w:rsidRPr="00742C91">
              <w:rPr>
                <w:bCs/>
                <w:szCs w:val="22"/>
              </w:rPr>
            </w:r>
            <w:r w:rsidRPr="00742C91">
              <w:rPr>
                <w:bCs/>
                <w:szCs w:val="22"/>
              </w:rPr>
              <w:fldChar w:fldCharType="separate"/>
            </w:r>
            <w:r w:rsidRPr="00742C91">
              <w:rPr>
                <w:bCs/>
                <w:szCs w:val="22"/>
              </w:rPr>
              <w:fldChar w:fldCharType="end"/>
            </w:r>
            <w:r w:rsidRPr="003B342F">
              <w:rPr>
                <w:b w:val="0"/>
                <w:bCs/>
                <w:szCs w:val="22"/>
                <w:lang w:val="en-US"/>
              </w:rPr>
              <w:t xml:space="preserve"> Engineered c</w:t>
            </w:r>
            <w:r>
              <w:rPr>
                <w:b w:val="0"/>
                <w:bCs/>
                <w:szCs w:val="22"/>
                <w:lang w:val="en-US"/>
              </w:rPr>
              <w:t>arbon dioxide removal</w:t>
            </w:r>
          </w:p>
          <w:p w14:paraId="4F6B59DA" w14:textId="44169BD1" w:rsidR="00AE0C33" w:rsidRPr="003B342F" w:rsidRDefault="00AE0C33" w:rsidP="00AE0C33">
            <w:pPr>
              <w:tabs>
                <w:tab w:val="left" w:pos="197"/>
              </w:tabs>
              <w:ind w:left="510" w:hanging="510"/>
              <w:jc w:val="left"/>
              <w:cnfStyle w:val="100000000000" w:firstRow="1" w:lastRow="0" w:firstColumn="0" w:lastColumn="0" w:oddVBand="0" w:evenVBand="0" w:oddHBand="0" w:evenHBand="0" w:firstRowFirstColumn="0" w:firstRowLastColumn="0" w:lastRowFirstColumn="0" w:lastRowLastColumn="0"/>
              <w:rPr>
                <w:b w:val="0"/>
                <w:sz w:val="20"/>
                <w:szCs w:val="18"/>
                <w:lang w:val="en-US"/>
              </w:rPr>
            </w:pPr>
            <w:r w:rsidRPr="00742C91">
              <w:rPr>
                <w:bCs/>
                <w:szCs w:val="22"/>
              </w:rPr>
              <w:fldChar w:fldCharType="begin">
                <w:ffData>
                  <w:name w:val="Check2"/>
                  <w:enabled/>
                  <w:calcOnExit w:val="0"/>
                  <w:checkBox>
                    <w:size w:val="20"/>
                    <w:default w:val="0"/>
                  </w:checkBox>
                </w:ffData>
              </w:fldChar>
            </w:r>
            <w:r w:rsidRPr="00BA38F8">
              <w:rPr>
                <w:bCs/>
                <w:szCs w:val="22"/>
                <w:lang w:val="en-US"/>
              </w:rPr>
              <w:instrText xml:space="preserve"> FORMCHECKBOX </w:instrText>
            </w:r>
            <w:r w:rsidRPr="00742C91">
              <w:rPr>
                <w:bCs/>
                <w:szCs w:val="22"/>
              </w:rPr>
            </w:r>
            <w:r w:rsidRPr="00742C91">
              <w:rPr>
                <w:bCs/>
                <w:szCs w:val="22"/>
              </w:rPr>
              <w:fldChar w:fldCharType="separate"/>
            </w:r>
            <w:r w:rsidRPr="00742C91">
              <w:rPr>
                <w:bCs/>
                <w:szCs w:val="22"/>
              </w:rPr>
              <w:fldChar w:fldCharType="end"/>
            </w:r>
            <w:r w:rsidRPr="003B342F">
              <w:rPr>
                <w:b w:val="0"/>
                <w:bCs/>
                <w:szCs w:val="22"/>
                <w:lang w:val="en-US"/>
              </w:rPr>
              <w:t xml:space="preserve"> </w:t>
            </w:r>
            <w:r>
              <w:rPr>
                <w:b w:val="0"/>
                <w:bCs/>
                <w:szCs w:val="22"/>
                <w:lang w:val="en-US"/>
              </w:rPr>
              <w:t>Nature based carbon dioxide removal</w:t>
            </w:r>
          </w:p>
        </w:tc>
      </w:tr>
      <w:tr w:rsidR="00DC7318" w:rsidRPr="00742C91" w14:paraId="2C3A3CD0" w14:textId="77777777" w:rsidTr="009C02CD">
        <w:tc>
          <w:tcPr>
            <w:cnfStyle w:val="001000000000" w:firstRow="0" w:lastRow="0" w:firstColumn="1" w:lastColumn="0" w:oddVBand="0" w:evenVBand="0" w:oddHBand="0" w:evenHBand="0" w:firstRowFirstColumn="0" w:firstRowLastColumn="0" w:lastRowFirstColumn="0" w:lastRowLastColumn="0"/>
            <w:tcW w:w="3142" w:type="dxa"/>
          </w:tcPr>
          <w:p w14:paraId="40EE6A73" w14:textId="3688EAE5" w:rsidR="00DC7318" w:rsidRPr="00742C91" w:rsidRDefault="00DC7318" w:rsidP="00DC7318">
            <w:pPr>
              <w:keepNext/>
              <w:keepLines/>
              <w:rPr>
                <w:szCs w:val="22"/>
              </w:rPr>
            </w:pPr>
            <w:r>
              <w:rPr>
                <w:szCs w:val="22"/>
              </w:rPr>
              <w:t>Types of mitigation outcomes achieved under this methodology</w:t>
            </w:r>
          </w:p>
        </w:tc>
        <w:tc>
          <w:tcPr>
            <w:tcW w:w="4962" w:type="dxa"/>
            <w:vAlign w:val="center"/>
          </w:tcPr>
          <w:p w14:paraId="3DA82CA8" w14:textId="64C18099" w:rsidR="00DC7318" w:rsidRPr="00742C91" w:rsidRDefault="0079063E" w:rsidP="00B245C3">
            <w:pPr>
              <w:keepNext/>
              <w:keepLines/>
              <w:tabs>
                <w:tab w:val="left" w:pos="197"/>
              </w:tabs>
              <w:ind w:left="510" w:hanging="510"/>
              <w:jc w:val="left"/>
              <w:cnfStyle w:val="000000000000" w:firstRow="0" w:lastRow="0" w:firstColumn="0" w:lastColumn="0" w:oddVBand="0" w:evenVBand="0" w:oddHBand="0" w:evenHBand="0" w:firstRowFirstColumn="0" w:firstRowLastColumn="0" w:lastRowFirstColumn="0" w:lastRowLastColumn="0"/>
              <w:rPr>
                <w:bCs/>
                <w:szCs w:val="22"/>
              </w:rPr>
            </w:pPr>
            <w:r>
              <w:rPr>
                <w:bCs/>
                <w:szCs w:val="22"/>
              </w:rPr>
              <w:fldChar w:fldCharType="begin">
                <w:ffData>
                  <w:name w:val=""/>
                  <w:enabled/>
                  <w:calcOnExit w:val="0"/>
                  <w:checkBox>
                    <w:size w:val="20"/>
                    <w:default w:val="1"/>
                  </w:checkBox>
                </w:ffData>
              </w:fldChar>
            </w:r>
            <w:r>
              <w:rPr>
                <w:bCs/>
                <w:szCs w:val="22"/>
              </w:rPr>
              <w:instrText xml:space="preserve"> FORMCHECKBOX </w:instrText>
            </w:r>
            <w:r>
              <w:rPr>
                <w:bCs/>
                <w:szCs w:val="22"/>
              </w:rPr>
            </w:r>
            <w:r>
              <w:rPr>
                <w:bCs/>
                <w:szCs w:val="22"/>
              </w:rPr>
              <w:fldChar w:fldCharType="separate"/>
            </w:r>
            <w:r>
              <w:rPr>
                <w:bCs/>
                <w:szCs w:val="22"/>
              </w:rPr>
              <w:fldChar w:fldCharType="end"/>
            </w:r>
            <w:r w:rsidR="00DC7318" w:rsidRPr="00742C91">
              <w:rPr>
                <w:bCs/>
                <w:szCs w:val="22"/>
              </w:rPr>
              <w:t xml:space="preserve"> </w:t>
            </w:r>
            <w:r w:rsidR="00DC7318">
              <w:rPr>
                <w:bCs/>
                <w:szCs w:val="22"/>
              </w:rPr>
              <w:t>Emission reductions</w:t>
            </w:r>
          </w:p>
          <w:p w14:paraId="7F7E52C5" w14:textId="77C5FE39" w:rsidR="00DC7318" w:rsidRPr="00742C91" w:rsidRDefault="00DC7318" w:rsidP="00B245C3">
            <w:pPr>
              <w:keepNext/>
              <w:keepLines/>
              <w:tabs>
                <w:tab w:val="left" w:pos="197"/>
              </w:tabs>
              <w:ind w:left="510" w:hanging="510"/>
              <w:jc w:val="left"/>
              <w:cnfStyle w:val="000000000000" w:firstRow="0" w:lastRow="0" w:firstColumn="0" w:lastColumn="0" w:oddVBand="0" w:evenVBand="0" w:oddHBand="0" w:evenHBand="0" w:firstRowFirstColumn="0" w:firstRowLastColumn="0" w:lastRowFirstColumn="0" w:lastRowLastColumn="0"/>
              <w:rPr>
                <w:bCs/>
                <w:szCs w:val="22"/>
              </w:rPr>
            </w:pPr>
            <w:r w:rsidRPr="00742C91">
              <w:rPr>
                <w:bCs/>
                <w:szCs w:val="22"/>
              </w:rPr>
              <w:fldChar w:fldCharType="begin">
                <w:ffData>
                  <w:name w:val="Check2"/>
                  <w:enabled/>
                  <w:calcOnExit w:val="0"/>
                  <w:checkBox>
                    <w:size w:val="20"/>
                    <w:default w:val="0"/>
                  </w:checkBox>
                </w:ffData>
              </w:fldChar>
            </w:r>
            <w:r w:rsidRPr="00742C91">
              <w:rPr>
                <w:bCs/>
                <w:szCs w:val="22"/>
              </w:rPr>
              <w:instrText xml:space="preserve"> FORMCHECKBOX </w:instrText>
            </w:r>
            <w:r w:rsidRPr="00742C91">
              <w:rPr>
                <w:bCs/>
                <w:szCs w:val="22"/>
              </w:rPr>
            </w:r>
            <w:r w:rsidRPr="00742C91">
              <w:rPr>
                <w:bCs/>
                <w:szCs w:val="22"/>
              </w:rPr>
              <w:fldChar w:fldCharType="separate"/>
            </w:r>
            <w:r w:rsidRPr="00742C91">
              <w:rPr>
                <w:bCs/>
                <w:szCs w:val="22"/>
              </w:rPr>
              <w:fldChar w:fldCharType="end"/>
            </w:r>
            <w:r w:rsidRPr="00742C91">
              <w:rPr>
                <w:bCs/>
                <w:szCs w:val="22"/>
              </w:rPr>
              <w:t xml:space="preserve"> </w:t>
            </w:r>
            <w:r>
              <w:rPr>
                <w:bCs/>
                <w:szCs w:val="22"/>
              </w:rPr>
              <w:t>Removals</w:t>
            </w:r>
          </w:p>
        </w:tc>
      </w:tr>
      <w:tr w:rsidR="00DC7318" w:rsidRPr="00742C91" w14:paraId="7ECB79A7" w14:textId="77777777" w:rsidTr="009C02CD">
        <w:tc>
          <w:tcPr>
            <w:cnfStyle w:val="001000000000" w:firstRow="0" w:lastRow="0" w:firstColumn="1" w:lastColumn="0" w:oddVBand="0" w:evenVBand="0" w:oddHBand="0" w:evenHBand="0" w:firstRowFirstColumn="0" w:firstRowLastColumn="0" w:lastRowFirstColumn="0" w:lastRowLastColumn="0"/>
            <w:tcW w:w="3142" w:type="dxa"/>
          </w:tcPr>
          <w:p w14:paraId="513BCB1B" w14:textId="05408E3E" w:rsidR="00DC7318" w:rsidRPr="00742C91" w:rsidRDefault="00DC7318" w:rsidP="00DC7318">
            <w:pPr>
              <w:keepNext/>
              <w:keepLines/>
              <w:rPr>
                <w:szCs w:val="22"/>
              </w:rPr>
            </w:pPr>
            <w:r>
              <w:rPr>
                <w:szCs w:val="22"/>
              </w:rPr>
              <w:t>Are the mitigation outcomes under this methodology at risk of reversal</w:t>
            </w:r>
            <w:r w:rsidR="00F16D75">
              <w:rPr>
                <w:szCs w:val="22"/>
              </w:rPr>
              <w:t>?</w:t>
            </w:r>
          </w:p>
        </w:tc>
        <w:tc>
          <w:tcPr>
            <w:tcW w:w="4962" w:type="dxa"/>
            <w:vAlign w:val="center"/>
          </w:tcPr>
          <w:p w14:paraId="5ABECBBE" w14:textId="77777777" w:rsidR="00DC7318" w:rsidRPr="00742C91" w:rsidRDefault="00DC7318" w:rsidP="00B245C3">
            <w:pPr>
              <w:keepNext/>
              <w:keepLines/>
              <w:tabs>
                <w:tab w:val="left" w:pos="197"/>
              </w:tabs>
              <w:ind w:left="510" w:hanging="510"/>
              <w:jc w:val="left"/>
              <w:cnfStyle w:val="000000000000" w:firstRow="0" w:lastRow="0" w:firstColumn="0" w:lastColumn="0" w:oddVBand="0" w:evenVBand="0" w:oddHBand="0" w:evenHBand="0" w:firstRowFirstColumn="0" w:firstRowLastColumn="0" w:lastRowFirstColumn="0" w:lastRowLastColumn="0"/>
              <w:rPr>
                <w:bCs/>
                <w:szCs w:val="22"/>
              </w:rPr>
            </w:pPr>
            <w:r w:rsidRPr="00742C91">
              <w:rPr>
                <w:bCs/>
                <w:szCs w:val="22"/>
              </w:rPr>
              <w:fldChar w:fldCharType="begin">
                <w:ffData>
                  <w:name w:val="Check2"/>
                  <w:enabled/>
                  <w:calcOnExit w:val="0"/>
                  <w:checkBox>
                    <w:size w:val="20"/>
                    <w:default w:val="0"/>
                  </w:checkBox>
                </w:ffData>
              </w:fldChar>
            </w:r>
            <w:r w:rsidRPr="00742C91">
              <w:rPr>
                <w:bCs/>
                <w:szCs w:val="22"/>
              </w:rPr>
              <w:instrText xml:space="preserve"> FORMCHECKBOX </w:instrText>
            </w:r>
            <w:r w:rsidRPr="00742C91">
              <w:rPr>
                <w:bCs/>
                <w:szCs w:val="22"/>
              </w:rPr>
            </w:r>
            <w:r w:rsidRPr="00742C91">
              <w:rPr>
                <w:bCs/>
                <w:szCs w:val="22"/>
              </w:rPr>
              <w:fldChar w:fldCharType="separate"/>
            </w:r>
            <w:r w:rsidRPr="00742C91">
              <w:rPr>
                <w:bCs/>
                <w:szCs w:val="22"/>
              </w:rPr>
              <w:fldChar w:fldCharType="end"/>
            </w:r>
            <w:r w:rsidRPr="00742C91">
              <w:rPr>
                <w:bCs/>
                <w:szCs w:val="22"/>
              </w:rPr>
              <w:t xml:space="preserve"> </w:t>
            </w:r>
            <w:r>
              <w:rPr>
                <w:bCs/>
                <w:szCs w:val="22"/>
              </w:rPr>
              <w:t>Yes</w:t>
            </w:r>
          </w:p>
          <w:p w14:paraId="572342EE" w14:textId="5C7B6E49" w:rsidR="00DC7318" w:rsidRPr="00742C91" w:rsidRDefault="0079063E" w:rsidP="00B245C3">
            <w:pPr>
              <w:keepNext/>
              <w:keepLines/>
              <w:tabs>
                <w:tab w:val="left" w:pos="197"/>
              </w:tabs>
              <w:ind w:left="510" w:hanging="510"/>
              <w:jc w:val="left"/>
              <w:cnfStyle w:val="000000000000" w:firstRow="0" w:lastRow="0" w:firstColumn="0" w:lastColumn="0" w:oddVBand="0" w:evenVBand="0" w:oddHBand="0" w:evenHBand="0" w:firstRowFirstColumn="0" w:firstRowLastColumn="0" w:lastRowFirstColumn="0" w:lastRowLastColumn="0"/>
              <w:rPr>
                <w:bCs/>
                <w:szCs w:val="22"/>
              </w:rPr>
            </w:pPr>
            <w:r>
              <w:rPr>
                <w:bCs/>
                <w:szCs w:val="22"/>
              </w:rPr>
              <w:fldChar w:fldCharType="begin">
                <w:ffData>
                  <w:name w:val=""/>
                  <w:enabled/>
                  <w:calcOnExit w:val="0"/>
                  <w:checkBox>
                    <w:size w:val="20"/>
                    <w:default w:val="1"/>
                  </w:checkBox>
                </w:ffData>
              </w:fldChar>
            </w:r>
            <w:r>
              <w:rPr>
                <w:bCs/>
                <w:szCs w:val="22"/>
              </w:rPr>
              <w:instrText xml:space="preserve"> FORMCHECKBOX </w:instrText>
            </w:r>
            <w:r>
              <w:rPr>
                <w:bCs/>
                <w:szCs w:val="22"/>
              </w:rPr>
            </w:r>
            <w:r>
              <w:rPr>
                <w:bCs/>
                <w:szCs w:val="22"/>
              </w:rPr>
              <w:fldChar w:fldCharType="separate"/>
            </w:r>
            <w:r>
              <w:rPr>
                <w:bCs/>
                <w:szCs w:val="22"/>
              </w:rPr>
              <w:fldChar w:fldCharType="end"/>
            </w:r>
            <w:r w:rsidR="00DC7318" w:rsidRPr="00742C91">
              <w:rPr>
                <w:bCs/>
                <w:szCs w:val="22"/>
              </w:rPr>
              <w:t xml:space="preserve"> </w:t>
            </w:r>
            <w:r w:rsidR="00DC7318">
              <w:rPr>
                <w:bCs/>
                <w:szCs w:val="22"/>
              </w:rPr>
              <w:t>No</w:t>
            </w:r>
          </w:p>
        </w:tc>
      </w:tr>
      <w:tr w:rsidR="00DC7318" w:rsidRPr="00742C91" w14:paraId="33CE6E89" w14:textId="77777777" w:rsidTr="009C02CD">
        <w:tc>
          <w:tcPr>
            <w:cnfStyle w:val="001000000000" w:firstRow="0" w:lastRow="0" w:firstColumn="1" w:lastColumn="0" w:oddVBand="0" w:evenVBand="0" w:oddHBand="0" w:evenHBand="0" w:firstRowFirstColumn="0" w:firstRowLastColumn="0" w:lastRowFirstColumn="0" w:lastRowLastColumn="0"/>
            <w:tcW w:w="3142" w:type="dxa"/>
            <w:vAlign w:val="center"/>
          </w:tcPr>
          <w:p w14:paraId="5F06E9A9" w14:textId="77777777" w:rsidR="00DC7318" w:rsidRPr="00742C91" w:rsidRDefault="00DC7318" w:rsidP="00DC7318">
            <w:pPr>
              <w:rPr>
                <w:szCs w:val="22"/>
              </w:rPr>
            </w:pPr>
            <w:r w:rsidRPr="00742C91">
              <w:rPr>
                <w:szCs w:val="22"/>
              </w:rPr>
              <w:t>Typical projects eligible under the methodology</w:t>
            </w:r>
          </w:p>
        </w:tc>
        <w:tc>
          <w:tcPr>
            <w:tcW w:w="4962" w:type="dxa"/>
          </w:tcPr>
          <w:p w14:paraId="273EEB1D" w14:textId="034EED2C" w:rsidR="00DC7318" w:rsidRPr="00742C91" w:rsidRDefault="0079063E" w:rsidP="00DC7318">
            <w:pPr>
              <w:spacing w:before="180"/>
              <w:ind w:left="709" w:hanging="709"/>
              <w:cnfStyle w:val="000000000000" w:firstRow="0" w:lastRow="0" w:firstColumn="0" w:lastColumn="0" w:oddVBand="0" w:evenVBand="0" w:oddHBand="0" w:evenHBand="0" w:firstRowFirstColumn="0" w:firstRowLastColumn="0" w:lastRowFirstColumn="0" w:lastRowLastColumn="0"/>
              <w:rPr>
                <w:szCs w:val="22"/>
              </w:rPr>
            </w:pPr>
            <w:r>
              <w:rPr>
                <w:szCs w:val="22"/>
              </w:rPr>
              <w:t>Cooking (cookstove) projects</w:t>
            </w:r>
          </w:p>
        </w:tc>
      </w:tr>
    </w:tbl>
    <w:p w14:paraId="0193927F" w14:textId="76ED56C4" w:rsidR="002454C9" w:rsidRDefault="002454C9" w:rsidP="00620061">
      <w:pPr>
        <w:pStyle w:val="SDMHead1"/>
        <w:numPr>
          <w:ilvl w:val="0"/>
          <w:numId w:val="18"/>
        </w:numPr>
      </w:pPr>
      <w:bookmarkStart w:id="7" w:name="_Toc346039898"/>
      <w:bookmarkStart w:id="8" w:name="_Toc352521228"/>
      <w:bookmarkStart w:id="9" w:name="_Toc353201618"/>
      <w:bookmarkStart w:id="10" w:name="_Toc354405683"/>
      <w:bookmarkStart w:id="11" w:name="_Toc354405697"/>
      <w:bookmarkStart w:id="12" w:name="_Toc354503028"/>
      <w:r>
        <w:t>Scope</w:t>
      </w:r>
      <w:r w:rsidR="006449F2">
        <w:t xml:space="preserve"> </w:t>
      </w:r>
      <w:r>
        <w:t>and entry into force</w:t>
      </w:r>
      <w:bookmarkEnd w:id="7"/>
      <w:bookmarkEnd w:id="8"/>
      <w:bookmarkEnd w:id="9"/>
      <w:bookmarkEnd w:id="10"/>
      <w:bookmarkEnd w:id="11"/>
      <w:bookmarkEnd w:id="12"/>
    </w:p>
    <w:p w14:paraId="1567BC53" w14:textId="77777777" w:rsidR="002454C9" w:rsidRDefault="002454C9" w:rsidP="007A2213">
      <w:pPr>
        <w:pStyle w:val="SDMHead2"/>
      </w:pPr>
      <w:bookmarkStart w:id="13" w:name="_Toc346039899"/>
      <w:bookmarkStart w:id="14" w:name="_Toc352521229"/>
      <w:bookmarkStart w:id="15" w:name="_Toc353201619"/>
      <w:bookmarkStart w:id="16" w:name="_Toc354405684"/>
      <w:bookmarkStart w:id="17" w:name="_Toc354405698"/>
      <w:bookmarkStart w:id="18" w:name="_Toc354503029"/>
      <w:r>
        <w:t>Scope</w:t>
      </w:r>
      <w:bookmarkEnd w:id="13"/>
      <w:bookmarkEnd w:id="14"/>
      <w:bookmarkEnd w:id="15"/>
      <w:bookmarkEnd w:id="16"/>
      <w:bookmarkEnd w:id="17"/>
      <w:bookmarkEnd w:id="18"/>
    </w:p>
    <w:p w14:paraId="68BDEF62" w14:textId="67B28893" w:rsidR="000100B4" w:rsidRDefault="00F40785" w:rsidP="007A2213">
      <w:pPr>
        <w:pStyle w:val="SDMPara"/>
      </w:pPr>
      <w:r w:rsidRPr="00F40785">
        <w:t xml:space="preserve">The CLEAR methodology is specifically designed for crediting emission reductions from cooking projects. It is applicable for nearly all cooking energy transitions for which the technologies meet the performance applicability conditions noted </w:t>
      </w:r>
      <w:r w:rsidRPr="00FE508D">
        <w:t>below</w:t>
      </w:r>
      <w:r w:rsidRPr="00F40785">
        <w:t>. The sectoral scope of the methodology is Energy Demand. </w:t>
      </w:r>
    </w:p>
    <w:p w14:paraId="7E006B44" w14:textId="77777777" w:rsidR="002454C9" w:rsidRDefault="002454C9" w:rsidP="007A2213">
      <w:pPr>
        <w:pStyle w:val="SDMHead2"/>
      </w:pPr>
      <w:bookmarkStart w:id="19" w:name="_Toc346039901"/>
      <w:bookmarkStart w:id="20" w:name="_Toc352521231"/>
      <w:bookmarkStart w:id="21" w:name="_Toc353201621"/>
      <w:bookmarkStart w:id="22" w:name="_Toc354405686"/>
      <w:bookmarkStart w:id="23" w:name="_Toc354405700"/>
      <w:bookmarkStart w:id="24" w:name="_Toc354503031"/>
      <w:r>
        <w:t>Entry into force</w:t>
      </w:r>
      <w:bookmarkEnd w:id="19"/>
      <w:bookmarkEnd w:id="20"/>
      <w:bookmarkEnd w:id="21"/>
      <w:bookmarkEnd w:id="22"/>
      <w:bookmarkEnd w:id="23"/>
      <w:bookmarkEnd w:id="24"/>
    </w:p>
    <w:p w14:paraId="1DE3FCE6" w14:textId="77777777" w:rsidR="000E4116" w:rsidRPr="00D66722" w:rsidRDefault="000E4116" w:rsidP="00CC33BA">
      <w:pPr>
        <w:pStyle w:val="SDMPara"/>
        <w:numPr>
          <w:ilvl w:val="0"/>
          <w:numId w:val="0"/>
        </w:numPr>
        <w:ind w:left="709"/>
        <w:jc w:val="left"/>
        <w:rPr>
          <w:i/>
          <w:iCs/>
          <w:color w:val="4F81BD" w:themeColor="accent1"/>
        </w:rPr>
      </w:pPr>
      <w:r w:rsidRPr="00D66722">
        <w:rPr>
          <w:i/>
          <w:iCs/>
          <w:color w:val="4F81BD" w:themeColor="accent1"/>
        </w:rPr>
        <w:t>[For the UNFCCC secretariat to complete - Leave blank]</w:t>
      </w:r>
    </w:p>
    <w:p w14:paraId="0D92674B" w14:textId="53BFE71C" w:rsidR="00475310" w:rsidRPr="00CC33BA" w:rsidRDefault="00475310" w:rsidP="007A2213">
      <w:pPr>
        <w:pStyle w:val="SDMHead2"/>
      </w:pPr>
      <w:r w:rsidRPr="00CC33BA">
        <w:t>Applicability of sectoral scopes</w:t>
      </w:r>
    </w:p>
    <w:p w14:paraId="6E6885C2" w14:textId="36D41C92" w:rsidR="0042201F" w:rsidRPr="00CC33BA" w:rsidRDefault="007F0777" w:rsidP="00D72834">
      <w:pPr>
        <w:pStyle w:val="SDMPara"/>
      </w:pPr>
      <w:r w:rsidRPr="00CC33BA">
        <w:t>Designated operational entities validating and verifying Article 6.4 activities that use this methodology shall apply sectoral scope</w:t>
      </w:r>
      <w:r w:rsidR="00811257" w:rsidRPr="00CC33BA">
        <w:t>(s):</w:t>
      </w:r>
      <w:r w:rsidRPr="00CC33BA">
        <w:t xml:space="preserve"> </w:t>
      </w:r>
    </w:p>
    <w:p w14:paraId="26C0D3A7" w14:textId="1CCE58F3" w:rsidR="00475310" w:rsidRPr="0042201F" w:rsidRDefault="00CB278C" w:rsidP="00AF6A4E">
      <w:pPr>
        <w:pStyle w:val="SDMPara"/>
        <w:numPr>
          <w:ilvl w:val="0"/>
          <w:numId w:val="0"/>
        </w:numPr>
        <w:ind w:left="709"/>
        <w:rPr>
          <w:color w:val="4F81BD" w:themeColor="accent1"/>
        </w:rPr>
      </w:pPr>
      <w:r w:rsidRPr="00D66722">
        <w:rPr>
          <w:i/>
          <w:iCs/>
          <w:color w:val="4F81BD" w:themeColor="accent1"/>
        </w:rPr>
        <w:t xml:space="preserve">[For the UNFCCC secretariat to complete </w:t>
      </w:r>
      <w:r w:rsidR="0060173B">
        <w:rPr>
          <w:i/>
          <w:iCs/>
          <w:color w:val="4F81BD" w:themeColor="accent1"/>
        </w:rPr>
        <w:t>– l</w:t>
      </w:r>
      <w:r w:rsidRPr="00D66722">
        <w:rPr>
          <w:i/>
          <w:iCs/>
          <w:color w:val="4F81BD" w:themeColor="accent1"/>
        </w:rPr>
        <w:t>eave blank]</w:t>
      </w:r>
    </w:p>
    <w:p w14:paraId="5C8CC410" w14:textId="77777777" w:rsidR="00EA4A56" w:rsidRDefault="00EA4A56" w:rsidP="00620061">
      <w:pPr>
        <w:pStyle w:val="SDMHead1"/>
        <w:numPr>
          <w:ilvl w:val="0"/>
          <w:numId w:val="18"/>
        </w:numPr>
      </w:pPr>
      <w:bookmarkStart w:id="25" w:name="_Toc346039903"/>
      <w:bookmarkStart w:id="26" w:name="_Toc352521233"/>
      <w:bookmarkStart w:id="27" w:name="_Toc353201623"/>
      <w:bookmarkStart w:id="28" w:name="_Toc354405688"/>
      <w:bookmarkStart w:id="29" w:name="_Toc354405702"/>
      <w:bookmarkStart w:id="30" w:name="_Toc354503033"/>
      <w:bookmarkStart w:id="31" w:name="_Toc346039902"/>
      <w:bookmarkStart w:id="32" w:name="_Toc352521232"/>
      <w:bookmarkStart w:id="33" w:name="_Toc353201622"/>
      <w:bookmarkStart w:id="34" w:name="_Toc354405687"/>
      <w:bookmarkStart w:id="35" w:name="_Toc354405701"/>
      <w:bookmarkStart w:id="36" w:name="_Toc354503032"/>
      <w:r>
        <w:t>Definitions</w:t>
      </w:r>
      <w:bookmarkEnd w:id="25"/>
      <w:bookmarkEnd w:id="26"/>
      <w:bookmarkEnd w:id="27"/>
      <w:bookmarkEnd w:id="28"/>
      <w:bookmarkEnd w:id="29"/>
      <w:bookmarkEnd w:id="30"/>
    </w:p>
    <w:p w14:paraId="1F4A75FA" w14:textId="77777777" w:rsidR="00EA4A56" w:rsidRDefault="00EA4A56" w:rsidP="00D72834">
      <w:pPr>
        <w:pStyle w:val="SDMPara"/>
      </w:pPr>
      <w:r w:rsidRPr="00C11DFA">
        <w:t>In addition to the definitions contained in the ‘Article 6.4 mechanism Glossary of Terms’, the following definitions apply for the purpose of this methodology:</w:t>
      </w:r>
    </w:p>
    <w:p w14:paraId="036B0EDE" w14:textId="3E0F2C22" w:rsidR="0027302F" w:rsidRPr="0027302F" w:rsidRDefault="0027302F" w:rsidP="0027302F">
      <w:pPr>
        <w:pStyle w:val="SDMPara"/>
        <w:rPr>
          <w:color w:val="808080" w:themeColor="background1" w:themeShade="80"/>
        </w:rPr>
      </w:pPr>
      <w:r w:rsidRPr="00F56F63">
        <w:rPr>
          <w:color w:val="808080" w:themeColor="background1" w:themeShade="80"/>
        </w:rPr>
        <w:lastRenderedPageBreak/>
        <w:t>A</w:t>
      </w:r>
      <w:r w:rsidR="002236A8">
        <w:rPr>
          <w:color w:val="808080" w:themeColor="background1" w:themeShade="80"/>
        </w:rPr>
        <w:t xml:space="preserve">s of August 2025, the Article 6.4 </w:t>
      </w:r>
      <w:r w:rsidR="006C6068">
        <w:rPr>
          <w:color w:val="808080" w:themeColor="background1" w:themeShade="80"/>
        </w:rPr>
        <w:t>Mechanism Glossary of Terms is still under d</w:t>
      </w:r>
      <w:r w:rsidR="00B80416">
        <w:rPr>
          <w:color w:val="808080" w:themeColor="background1" w:themeShade="80"/>
        </w:rPr>
        <w:t>evelopment by the Supervisory Body. Listed below are all the definitions</w:t>
      </w:r>
      <w:r w:rsidR="00E65C93">
        <w:rPr>
          <w:color w:val="808080" w:themeColor="background1" w:themeShade="80"/>
        </w:rPr>
        <w:t xml:space="preserve"> of key terms used in the CLEAR methodology.</w:t>
      </w:r>
    </w:p>
    <w:p w14:paraId="069CBB56" w14:textId="32B7CB1E" w:rsidR="00EA4A56" w:rsidRPr="004B510F" w:rsidRDefault="002C68F3">
      <w:pPr>
        <w:pStyle w:val="SDMSubPara1"/>
        <w:rPr>
          <w:rStyle w:val="normaltextrun"/>
          <w:rFonts w:eastAsia="MS Mincho"/>
          <w:color w:val="000000" w:themeColor="text1"/>
        </w:rPr>
      </w:pPr>
      <w:r w:rsidRPr="5BE4F77C">
        <w:rPr>
          <w:rStyle w:val="ParaTickBoxChar"/>
          <w:b/>
          <w:color w:val="000000" w:themeColor="text1"/>
        </w:rPr>
        <w:t>Additionality</w:t>
      </w:r>
      <w:r w:rsidR="00ED6CF9" w:rsidRPr="5BE4F77C">
        <w:rPr>
          <w:rStyle w:val="ParaTickBoxChar"/>
          <w:b/>
          <w:color w:val="000000" w:themeColor="text1"/>
        </w:rPr>
        <w:t xml:space="preserve"> –</w:t>
      </w:r>
      <w:r w:rsidRPr="5BE4F77C">
        <w:rPr>
          <w:rStyle w:val="ParaTickBoxChar"/>
          <w:color w:val="000000" w:themeColor="text1"/>
        </w:rPr>
        <w:t xml:space="preserve"> When the project activity would not have occurred in the absence of the incentives from the carbon credits and </w:t>
      </w:r>
      <w:r w:rsidRPr="5BE4F77C">
        <w:rPr>
          <w:rFonts w:eastAsia="Montserrat"/>
        </w:rPr>
        <w:t xml:space="preserve">when the emission reductions achieved by the project would not occur </w:t>
      </w:r>
      <w:proofErr w:type="gramStart"/>
      <w:r w:rsidRPr="5BE4F77C">
        <w:rPr>
          <w:rFonts w:eastAsia="Montserrat"/>
        </w:rPr>
        <w:t>as a result of</w:t>
      </w:r>
      <w:proofErr w:type="gramEnd"/>
      <w:r w:rsidRPr="5BE4F77C">
        <w:rPr>
          <w:rFonts w:eastAsia="Montserrat"/>
        </w:rPr>
        <w:t xml:space="preserve"> any legal instrument</w:t>
      </w:r>
      <w:r w:rsidRPr="5BE4F77C">
        <w:rPr>
          <w:rStyle w:val="ParaTickBoxChar"/>
          <w:color w:val="000000" w:themeColor="text1"/>
        </w:rPr>
        <w:t xml:space="preserve">. To demonstrate additionality, project proponents must provide financial viability information </w:t>
      </w:r>
      <w:proofErr w:type="gramStart"/>
      <w:r w:rsidRPr="5BE4F77C">
        <w:rPr>
          <w:rStyle w:val="ParaTickBoxChar"/>
          <w:color w:val="000000" w:themeColor="text1"/>
        </w:rPr>
        <w:t>and also</w:t>
      </w:r>
      <w:proofErr w:type="gramEnd"/>
      <w:r w:rsidRPr="5BE4F77C">
        <w:rPr>
          <w:rStyle w:val="ParaTickBoxChar"/>
          <w:color w:val="000000" w:themeColor="text1"/>
        </w:rPr>
        <w:t xml:space="preserve"> conduct a regulatory analysis, barrier analysis, and a common practice analysis</w:t>
      </w:r>
      <w:r>
        <w:rPr>
          <w:rStyle w:val="normaltextrun"/>
          <w:rFonts w:eastAsia="MS Mincho"/>
          <w:color w:val="000000" w:themeColor="text1"/>
        </w:rPr>
        <w:t>.</w:t>
      </w:r>
    </w:p>
    <w:p w14:paraId="74F45614" w14:textId="451C6AA7" w:rsidR="00795565" w:rsidRPr="00795565" w:rsidRDefault="00465AC0" w:rsidP="00795565">
      <w:pPr>
        <w:pStyle w:val="SDMSubPara1"/>
        <w:rPr>
          <w:rStyle w:val="eop"/>
        </w:rPr>
      </w:pPr>
      <w:r w:rsidRPr="00225BA5">
        <w:rPr>
          <w:rStyle w:val="normaltextrun"/>
          <w:b/>
          <w:color w:val="000000" w:themeColor="text1"/>
        </w:rPr>
        <w:t>Artisanal cookstoves</w:t>
      </w:r>
      <w:r w:rsidR="00ED6CF9">
        <w:rPr>
          <w:rStyle w:val="normaltextrun"/>
          <w:b/>
          <w:color w:val="000000" w:themeColor="text1"/>
        </w:rPr>
        <w:t xml:space="preserve"> –</w:t>
      </w:r>
      <w:r w:rsidRPr="00225BA5">
        <w:rPr>
          <w:rStyle w:val="normaltextrun"/>
          <w:color w:val="000000" w:themeColor="text1"/>
        </w:rPr>
        <w:t xml:space="preserve"> Cookstoves produced by small-scale manufacturing processes that can result in large variations in dimensions; generally made by hand by skilled workers, rather than mass-produced in factories. This methodology requires that for artisanal cookstoves, at least three randomly selected samples of each cookstove model must be used when testing for ISO thermal efficiency, and where relevant for the CCT. </w:t>
      </w:r>
      <w:r w:rsidRPr="00225BA5">
        <w:rPr>
          <w:rStyle w:val="contentcontrolboundarysink"/>
          <w:color w:val="000000" w:themeColor="text1"/>
        </w:rPr>
        <w:t>​​</w:t>
      </w:r>
      <w:r w:rsidRPr="00225BA5">
        <w:rPr>
          <w:rStyle w:val="eop"/>
          <w:color w:val="000000" w:themeColor="text1"/>
        </w:rPr>
        <w:t> </w:t>
      </w:r>
    </w:p>
    <w:p w14:paraId="3BA77BDD" w14:textId="0503E19F" w:rsidR="00795565" w:rsidRPr="00795565" w:rsidRDefault="00C20B0C" w:rsidP="00795565">
      <w:pPr>
        <w:pStyle w:val="SDMSubPara1"/>
        <w:rPr>
          <w:rStyle w:val="eop"/>
        </w:rPr>
      </w:pPr>
      <w:r w:rsidRPr="00795565">
        <w:rPr>
          <w:rStyle w:val="eop"/>
          <w:b/>
          <w:color w:val="000000" w:themeColor="text1"/>
        </w:rPr>
        <w:t>Baseline scenario</w:t>
      </w:r>
      <w:r w:rsidR="00ED6CF9">
        <w:rPr>
          <w:rStyle w:val="eop"/>
          <w:color w:val="000000" w:themeColor="text1"/>
        </w:rPr>
        <w:t xml:space="preserve"> – </w:t>
      </w:r>
      <w:r w:rsidRPr="00795565">
        <w:rPr>
          <w:rStyle w:val="eop"/>
          <w:color w:val="000000" w:themeColor="text1"/>
        </w:rPr>
        <w:t xml:space="preserve">Existing baseline technologies and fuel consumption patterns in a planned cooking energy carbon project area, prior to the implementation of the project. This baseline scenario (or scenarios) includes fuel types, fuel mix proportions, and household size, identified through baseline surveys prior to project implementation. Under the CLEAR methodology, the baseline scenario must be compared to the baseline technologies and fuel consumption patterns of actual households recruited into the project. Adjustments must be made in the case of any material discrepancy. </w:t>
      </w:r>
    </w:p>
    <w:p w14:paraId="34BE0A45" w14:textId="77777777" w:rsidR="00ED6CF9" w:rsidRPr="00ED6CF9" w:rsidRDefault="00503504" w:rsidP="00ED6CF9">
      <w:pPr>
        <w:pStyle w:val="SDMSubPara1"/>
      </w:pPr>
      <w:r w:rsidRPr="00795565">
        <w:rPr>
          <w:rFonts w:eastAsia="Open Sans"/>
          <w:b/>
          <w:bCs/>
          <w:color w:val="333333"/>
        </w:rPr>
        <w:t>Best practice</w:t>
      </w:r>
      <w:r w:rsidR="00ED6CF9">
        <w:rPr>
          <w:rFonts w:eastAsia="Open Sans"/>
          <w:b/>
          <w:bCs/>
          <w:color w:val="333333"/>
        </w:rPr>
        <w:t xml:space="preserve"> –</w:t>
      </w:r>
      <w:r w:rsidRPr="00795565">
        <w:rPr>
          <w:rFonts w:eastAsia="Open Sans"/>
          <w:color w:val="333333"/>
        </w:rPr>
        <w:t xml:space="preserve"> Evidence-based approaches recommended throughout this methodology. These are not requirements.</w:t>
      </w:r>
    </w:p>
    <w:p w14:paraId="70A85B44" w14:textId="60090D24" w:rsidR="00ED6CF9" w:rsidRPr="00ED6CF9" w:rsidRDefault="00503504" w:rsidP="00ED6CF9">
      <w:pPr>
        <w:pStyle w:val="SDMSubPara1"/>
      </w:pPr>
      <w:r w:rsidRPr="00ED6CF9">
        <w:rPr>
          <w:rStyle w:val="eop"/>
          <w:b/>
          <w:color w:val="000000" w:themeColor="text1"/>
        </w:rPr>
        <w:t>Business-as-usual (BAU) scenario</w:t>
      </w:r>
      <w:r w:rsidR="00ED6CF9">
        <w:rPr>
          <w:rStyle w:val="eop"/>
          <w:color w:val="000000" w:themeColor="text1"/>
        </w:rPr>
        <w:t xml:space="preserve"> –</w:t>
      </w:r>
      <w:r w:rsidRPr="00ED6CF9">
        <w:rPr>
          <w:rStyle w:val="eop"/>
          <w:color w:val="000000" w:themeColor="text1"/>
        </w:rPr>
        <w:t xml:space="preserve"> </w:t>
      </w:r>
      <w:r w:rsidRPr="00ED6CF9">
        <w:rPr>
          <w:rFonts w:eastAsia="Arial Nova"/>
        </w:rPr>
        <w:t xml:space="preserve">Plausible reference trajectory or scenario for greenhouse gas (GHG) emissions or removals that would occur in the absence of the implementation of the proposed Article 6.4 activity. In the CLEAR methodology, the BAU scenario is in most cases equivalent to the baseline scenario, with adjustments made to the baseline scenario for any changes over time, if </w:t>
      </w:r>
      <w:r w:rsidRPr="00D47D9F">
        <w:rPr>
          <w:rFonts w:eastAsia="Arial Nova"/>
        </w:rPr>
        <w:t xml:space="preserve">necessary (see </w:t>
      </w:r>
      <w:hyperlink w:anchor="S104" w:history="1">
        <w:r w:rsidR="00082B10" w:rsidRPr="00D47D9F">
          <w:rPr>
            <w:rStyle w:val="Hyperlink"/>
            <w:rFonts w:eastAsia="Arial Nova"/>
          </w:rPr>
          <w:t>S</w:t>
        </w:r>
        <w:r w:rsidRPr="00D47D9F">
          <w:rPr>
            <w:rStyle w:val="Hyperlink"/>
            <w:rFonts w:eastAsia="Arial Nova"/>
          </w:rPr>
          <w:t xml:space="preserve">ection </w:t>
        </w:r>
        <w:r w:rsidR="00082B10" w:rsidRPr="00D47D9F">
          <w:rPr>
            <w:rStyle w:val="Hyperlink"/>
            <w:rFonts w:eastAsia="Arial Nova"/>
          </w:rPr>
          <w:t>10</w:t>
        </w:r>
        <w:r w:rsidRPr="00D47D9F">
          <w:rPr>
            <w:rStyle w:val="Hyperlink"/>
            <w:rFonts w:eastAsia="Arial Nova"/>
          </w:rPr>
          <w:t>.4</w:t>
        </w:r>
        <w:r w:rsidR="00082B10" w:rsidRPr="00D47D9F">
          <w:rPr>
            <w:rStyle w:val="Hyperlink"/>
            <w:rFonts w:eastAsia="Arial Nova"/>
          </w:rPr>
          <w:t xml:space="preserve">. </w:t>
        </w:r>
        <w:r w:rsidR="00082B10" w:rsidRPr="00D47D9F">
          <w:rPr>
            <w:rStyle w:val="Hyperlink"/>
            <w:rFonts w:eastAsia="Arial Nova"/>
            <w:i/>
            <w:iCs/>
          </w:rPr>
          <w:t>Identification of the conservative BAU scenario</w:t>
        </w:r>
      </w:hyperlink>
      <w:r w:rsidRPr="00D47D9F">
        <w:rPr>
          <w:rFonts w:eastAsia="Arial Nova"/>
        </w:rPr>
        <w:t xml:space="preserve"> for additional</w:t>
      </w:r>
      <w:r w:rsidRPr="00ED6CF9">
        <w:rPr>
          <w:rFonts w:eastAsia="Arial Nova"/>
        </w:rPr>
        <w:t xml:space="preserve"> details).</w:t>
      </w:r>
    </w:p>
    <w:p w14:paraId="70F0D6FE" w14:textId="77777777" w:rsidR="00BC04EF" w:rsidRPr="00BC04EF" w:rsidRDefault="00503504" w:rsidP="00BC04EF">
      <w:pPr>
        <w:pStyle w:val="SDMSubPara1"/>
        <w:rPr>
          <w:rStyle w:val="eop"/>
        </w:rPr>
      </w:pPr>
      <w:r w:rsidRPr="00ED6CF9">
        <w:rPr>
          <w:rStyle w:val="normaltextrun"/>
          <w:b/>
          <w:color w:val="000000" w:themeColor="text1"/>
        </w:rPr>
        <w:t>Carbon-crediting program</w:t>
      </w:r>
      <w:r w:rsidR="00ED6CF9">
        <w:rPr>
          <w:rStyle w:val="normaltextrun"/>
          <w:b/>
          <w:color w:val="000000" w:themeColor="text1"/>
        </w:rPr>
        <w:t xml:space="preserve"> –</w:t>
      </w:r>
      <w:r w:rsidRPr="00ED6CF9">
        <w:rPr>
          <w:rStyle w:val="normaltextrun"/>
          <w:color w:val="000000" w:themeColor="text1"/>
        </w:rPr>
        <w:t xml:space="preserve"> Standard-setting program that registers climate change mitigation activities and issues carbon credits.</w:t>
      </w:r>
      <w:r w:rsidRPr="00ED6CF9">
        <w:rPr>
          <w:rStyle w:val="contentcontrolboundarysink"/>
          <w:color w:val="000000" w:themeColor="text1"/>
        </w:rPr>
        <w:t>​​</w:t>
      </w:r>
    </w:p>
    <w:p w14:paraId="359D0654" w14:textId="77777777" w:rsidR="00BC04EF" w:rsidRPr="00BC04EF" w:rsidRDefault="00503504" w:rsidP="00BC04EF">
      <w:pPr>
        <w:pStyle w:val="SDMSubPara1"/>
        <w:rPr>
          <w:rStyle w:val="eop"/>
        </w:rPr>
      </w:pPr>
      <w:r w:rsidRPr="00BC04EF">
        <w:rPr>
          <w:rStyle w:val="normaltextrun"/>
          <w:b/>
          <w:color w:val="000000" w:themeColor="text1"/>
        </w:rPr>
        <w:t>Charcoal</w:t>
      </w:r>
      <w:r w:rsidR="00BC04EF">
        <w:rPr>
          <w:rStyle w:val="normaltextrun"/>
          <w:b/>
          <w:color w:val="000000" w:themeColor="text1"/>
        </w:rPr>
        <w:t xml:space="preserve"> –</w:t>
      </w:r>
      <w:r w:rsidRPr="00BC04EF">
        <w:rPr>
          <w:rStyle w:val="normaltextrun"/>
          <w:color w:val="000000" w:themeColor="text1"/>
        </w:rPr>
        <w:t xml:space="preserve"> Fuel produced by partially burning wood in a low-oxygen environment. The black substance that results is made up mostly of carbon and has higher energy density than the wood.</w:t>
      </w:r>
      <w:r w:rsidRPr="00BC04EF">
        <w:rPr>
          <w:rStyle w:val="contentcontrolboundarysink"/>
          <w:color w:val="000000" w:themeColor="text1"/>
        </w:rPr>
        <w:t>​​</w:t>
      </w:r>
    </w:p>
    <w:p w14:paraId="1EB56FA7" w14:textId="77777777" w:rsidR="00954080" w:rsidRPr="00954080" w:rsidRDefault="00503504" w:rsidP="00954080">
      <w:pPr>
        <w:pStyle w:val="SDMSubPara1"/>
        <w:rPr>
          <w:rStyle w:val="eop"/>
        </w:rPr>
      </w:pPr>
      <w:r w:rsidRPr="00BC04EF">
        <w:rPr>
          <w:rStyle w:val="normaltextrun"/>
          <w:b/>
          <w:color w:val="000000" w:themeColor="text1"/>
        </w:rPr>
        <w:t>Continuously tracked energy consumption (CTEC) project</w:t>
      </w:r>
      <w:r w:rsidR="00BC04EF">
        <w:rPr>
          <w:rStyle w:val="normaltextrun"/>
          <w:b/>
          <w:color w:val="000000" w:themeColor="text1"/>
        </w:rPr>
        <w:t xml:space="preserve"> –</w:t>
      </w:r>
      <w:r w:rsidRPr="00BC04EF">
        <w:rPr>
          <w:rStyle w:val="normaltextrun"/>
          <w:color w:val="000000" w:themeColor="text1"/>
        </w:rPr>
        <w:t xml:space="preserve"> Project that continuously measures fuel or energy consumption directly on all project technologies and in all project households through built-in or external data loggers (also known as metering), or through fuel sales records. Fuel sales records can only be used in CTEC projects, must be tracked at the household level, and must be cross-checked. Commonly metered fuels/technologies include electric cookstoves, LPG, ethanol, and biogas.</w:t>
      </w:r>
      <w:r w:rsidRPr="00BC04EF">
        <w:rPr>
          <w:rStyle w:val="contentcontrolboundarysink"/>
          <w:color w:val="000000" w:themeColor="text1"/>
        </w:rPr>
        <w:t>​​</w:t>
      </w:r>
    </w:p>
    <w:p w14:paraId="19922080" w14:textId="77777777" w:rsidR="00CF7B10" w:rsidRPr="00CF7B10" w:rsidRDefault="00503504" w:rsidP="00954080">
      <w:pPr>
        <w:pStyle w:val="SDMSubPara1"/>
        <w:rPr>
          <w:rStyle w:val="normaltextrun"/>
        </w:rPr>
      </w:pPr>
      <w:r w:rsidRPr="00954080">
        <w:rPr>
          <w:rStyle w:val="normaltextrun"/>
          <w:b/>
          <w:color w:val="000000" w:themeColor="text1"/>
        </w:rPr>
        <w:lastRenderedPageBreak/>
        <w:t>Controlled Cooking Test (CCT)</w:t>
      </w:r>
      <w:r w:rsidR="00954080">
        <w:rPr>
          <w:rStyle w:val="normaltextrun"/>
          <w:b/>
          <w:color w:val="000000" w:themeColor="text1"/>
        </w:rPr>
        <w:t xml:space="preserve"> –</w:t>
      </w:r>
      <w:r w:rsidRPr="00954080">
        <w:rPr>
          <w:rStyle w:val="normaltextrun"/>
          <w:color w:val="000000" w:themeColor="text1"/>
        </w:rPr>
        <w:t xml:space="preserve"> Test that measures cookstove performance in comparison to traditional cooking methods when a cook prepares a pre-determined local meal, which may include multiple dishes. It is designed to assess cookstove performance in a controlled setting using local fuels, pots, and practices.</w:t>
      </w:r>
    </w:p>
    <w:p w14:paraId="376F66EE" w14:textId="139173DC" w:rsidR="00503504" w:rsidRPr="00954080" w:rsidRDefault="00503504" w:rsidP="00954080">
      <w:pPr>
        <w:pStyle w:val="SDMSubPara1"/>
        <w:rPr>
          <w:rStyle w:val="eop"/>
          <w:color w:val="000000" w:themeColor="text1"/>
        </w:rPr>
      </w:pPr>
      <w:r w:rsidRPr="00954080">
        <w:rPr>
          <w:rStyle w:val="normaltextrun"/>
          <w:b/>
          <w:color w:val="000000" w:themeColor="text1"/>
        </w:rPr>
        <w:t>Cooking energy transition(s)</w:t>
      </w:r>
      <w:r w:rsidR="00CF7B10">
        <w:rPr>
          <w:rStyle w:val="normaltextrun"/>
          <w:b/>
          <w:color w:val="000000" w:themeColor="text1"/>
        </w:rPr>
        <w:t xml:space="preserve"> –</w:t>
      </w:r>
      <w:r w:rsidRPr="00954080">
        <w:rPr>
          <w:rStyle w:val="normaltextrun"/>
          <w:color w:val="000000" w:themeColor="text1"/>
        </w:rPr>
        <w:t xml:space="preserve"> Shift from one or more cooking fuel/ technology combination to another. In the context of this methodology, it specifically refers to the shift from polluting cooking fuels and technologies to cleaner and/or more efficient alternatives that results in GHG emission reductions.</w:t>
      </w:r>
      <w:r w:rsidRPr="00954080">
        <w:rPr>
          <w:rStyle w:val="contentcontrolboundarysink"/>
          <w:color w:val="000000" w:themeColor="text1"/>
        </w:rPr>
        <w:t>​​</w:t>
      </w:r>
      <w:r w:rsidRPr="00954080">
        <w:rPr>
          <w:rStyle w:val="eop"/>
          <w:color w:val="000000" w:themeColor="text1"/>
        </w:rPr>
        <w:t> </w:t>
      </w:r>
    </w:p>
    <w:p w14:paraId="4969FB7D" w14:textId="761C744B" w:rsidR="00E65C93" w:rsidRDefault="60875BA2" w:rsidP="12EF884F">
      <w:pPr>
        <w:pStyle w:val="SDMSubPara1"/>
        <w:rPr>
          <w:rStyle w:val="eop"/>
          <w:color w:val="000000" w:themeColor="text1"/>
        </w:rPr>
      </w:pPr>
      <w:r w:rsidRPr="12EF884F">
        <w:rPr>
          <w:rStyle w:val="contentcontrolboundarysink"/>
          <w:color w:val="000000" w:themeColor="text1"/>
        </w:rPr>
        <w:t>​</w:t>
      </w:r>
      <w:r w:rsidRPr="12EF884F">
        <w:rPr>
          <w:rStyle w:val="normaltextrun"/>
          <w:b/>
          <w:bCs/>
          <w:color w:val="000000" w:themeColor="text1"/>
        </w:rPr>
        <w:t>Cooking event(s)</w:t>
      </w:r>
      <w:r w:rsidR="6A2133F3" w:rsidRPr="12EF884F">
        <w:rPr>
          <w:rStyle w:val="normaltextrun"/>
          <w:b/>
          <w:bCs/>
          <w:color w:val="000000" w:themeColor="text1"/>
        </w:rPr>
        <w:t xml:space="preserve"> –</w:t>
      </w:r>
      <w:r w:rsidRPr="12EF884F">
        <w:rPr>
          <w:rStyle w:val="normaltextrun"/>
          <w:color w:val="000000" w:themeColor="text1"/>
        </w:rPr>
        <w:t xml:space="preserve"> Occurrence in which useful energy is delivered from a cookstove to fulfil a discrete task or set of tasks, such as cooking a meal (which may include multiple dishes), preparing tea, or heating water for bathing.​</w:t>
      </w:r>
    </w:p>
    <w:p w14:paraId="7D3A21C9" w14:textId="1A3E8707" w:rsidR="00E65C93" w:rsidRDefault="60875BA2" w:rsidP="12EF884F">
      <w:pPr>
        <w:pStyle w:val="SDMSubPara1"/>
        <w:rPr>
          <w:rStyle w:val="normaltextrun"/>
          <w:color w:val="000000" w:themeColor="text1"/>
        </w:rPr>
      </w:pPr>
      <w:r w:rsidRPr="12EF884F">
        <w:rPr>
          <w:rStyle w:val="normaltextrun"/>
          <w:b/>
          <w:bCs/>
          <w:color w:val="000000" w:themeColor="text1"/>
        </w:rPr>
        <w:t>Crediting period</w:t>
      </w:r>
      <w:r w:rsidR="30C10027" w:rsidRPr="12EF884F">
        <w:rPr>
          <w:rStyle w:val="normaltextrun"/>
          <w:b/>
          <w:bCs/>
          <w:color w:val="000000" w:themeColor="text1"/>
        </w:rPr>
        <w:t xml:space="preserve"> –</w:t>
      </w:r>
      <w:r w:rsidRPr="12EF884F">
        <w:rPr>
          <w:rStyle w:val="normaltextrun"/>
          <w:color w:val="000000" w:themeColor="text1"/>
        </w:rPr>
        <w:t xml:space="preserve"> Period defined by the carbon-crediting program during which the project GHG emission reductions are eligible for the issuance of carbon credits. A crediting period may include multiple monitoring periods. This methodology allows a maximum crediting period duration of 5 years, with opportunity for crediting period renewal.  </w:t>
      </w:r>
    </w:p>
    <w:p w14:paraId="400EBC3C" w14:textId="683D2728" w:rsidR="00E65C93" w:rsidRDefault="60875BA2" w:rsidP="12EF884F">
      <w:pPr>
        <w:pStyle w:val="SDMSubPara1"/>
        <w:rPr>
          <w:rStyle w:val="eop"/>
          <w:color w:val="000000" w:themeColor="text1"/>
        </w:rPr>
      </w:pPr>
      <w:r w:rsidRPr="12EF884F">
        <w:rPr>
          <w:rStyle w:val="contentcontrolboundarysink"/>
          <w:color w:val="000000" w:themeColor="text1"/>
        </w:rPr>
        <w:t>​​​​</w:t>
      </w:r>
      <w:r w:rsidRPr="12EF884F">
        <w:rPr>
          <w:rStyle w:val="normaltextrun"/>
          <w:b/>
          <w:bCs/>
          <w:color w:val="000000" w:themeColor="text1"/>
        </w:rPr>
        <w:t>Displacement</w:t>
      </w:r>
      <w:r w:rsidR="0FEB10E5" w:rsidRPr="12EF884F">
        <w:rPr>
          <w:rStyle w:val="normaltextrun"/>
          <w:b/>
          <w:bCs/>
          <w:color w:val="000000" w:themeColor="text1"/>
        </w:rPr>
        <w:t xml:space="preserve"> – </w:t>
      </w:r>
      <w:r w:rsidRPr="12EF884F">
        <w:rPr>
          <w:rStyle w:val="normaltextrun"/>
          <w:color w:val="000000" w:themeColor="text1"/>
        </w:rPr>
        <w:t>Dis-use of baseline cooking technologies and fuels due to use of the project cookstove.​​</w:t>
      </w:r>
    </w:p>
    <w:p w14:paraId="50F36C3B" w14:textId="1555BE01" w:rsidR="00E65C93" w:rsidRDefault="60875BA2" w:rsidP="12EF884F">
      <w:pPr>
        <w:pStyle w:val="SDMSubPara1"/>
      </w:pPr>
      <w:r w:rsidRPr="12EF884F">
        <w:rPr>
          <w:rStyle w:val="contentcontrolboundarysink"/>
        </w:rPr>
        <w:t>​​​</w:t>
      </w:r>
      <w:r w:rsidRPr="12EF884F">
        <w:rPr>
          <w:rStyle w:val="normaltextrun"/>
          <w:b/>
          <w:bCs/>
          <w:color w:val="000000" w:themeColor="text1"/>
        </w:rPr>
        <w:t>Emission factor</w:t>
      </w:r>
      <w:r w:rsidR="627B8EE4" w:rsidRPr="12EF884F">
        <w:rPr>
          <w:rStyle w:val="normaltextrun"/>
          <w:b/>
          <w:bCs/>
          <w:color w:val="000000" w:themeColor="text1"/>
        </w:rPr>
        <w:t xml:space="preserve"> –</w:t>
      </w:r>
      <w:r w:rsidRPr="12EF884F">
        <w:rPr>
          <w:rStyle w:val="normaltextrun"/>
          <w:color w:val="000000" w:themeColor="text1"/>
        </w:rPr>
        <w:t xml:space="preserve"> Quantity of a pollutant released to the atmosphere relative to an activity associated with the release of that pollutant. Emission factors are usually expressed as the quantity of pollutant divided by a unit weight, volume, distance, or duration of the activity emitting the pollutant. In the context of cookstove carbon projects, emission factors measure the average mass of carbon dioxide equivalent (CO</w:t>
      </w:r>
      <w:r w:rsidRPr="007F7BC2">
        <w:rPr>
          <w:rStyle w:val="normaltextrun"/>
          <w:color w:val="000000" w:themeColor="text1"/>
          <w:vertAlign w:val="subscript"/>
        </w:rPr>
        <w:t>2</w:t>
      </w:r>
      <w:r w:rsidRPr="12EF884F">
        <w:rPr>
          <w:rStyle w:val="normaltextrun"/>
          <w:color w:val="000000" w:themeColor="text1"/>
        </w:rPr>
        <w:t>e) released to the atmosphere per energy unit of cooking fuel (e.g., tonnes per TJ).​​ </w:t>
      </w:r>
    </w:p>
    <w:p w14:paraId="7B524005" w14:textId="5097E64B" w:rsidR="00E65C93" w:rsidRDefault="60875BA2" w:rsidP="12EF884F">
      <w:pPr>
        <w:pStyle w:val="SDMSubPara1"/>
        <w:rPr>
          <w:color w:val="000000" w:themeColor="text1"/>
        </w:rPr>
      </w:pPr>
      <w:r w:rsidRPr="12EF884F">
        <w:rPr>
          <w:rStyle w:val="contentcontrolboundarysink"/>
          <w:color w:val="000000" w:themeColor="text1"/>
        </w:rPr>
        <w:t>​​</w:t>
      </w:r>
      <w:r w:rsidRPr="12EF884F">
        <w:rPr>
          <w:rStyle w:val="normaltextrun"/>
          <w:b/>
          <w:bCs/>
          <w:color w:val="000000" w:themeColor="text1"/>
        </w:rPr>
        <w:t>Fraction of Non-Renewable Biomass (</w:t>
      </w:r>
      <w:proofErr w:type="spellStart"/>
      <w:r w:rsidRPr="12EF884F">
        <w:rPr>
          <w:rStyle w:val="normaltextrun"/>
          <w:b/>
          <w:bCs/>
          <w:color w:val="000000" w:themeColor="text1"/>
        </w:rPr>
        <w:t>fNRB</w:t>
      </w:r>
      <w:proofErr w:type="spellEnd"/>
      <w:r w:rsidRPr="12EF884F">
        <w:rPr>
          <w:rStyle w:val="normaltextrun"/>
          <w:b/>
          <w:bCs/>
          <w:color w:val="000000" w:themeColor="text1"/>
        </w:rPr>
        <w:t>)</w:t>
      </w:r>
      <w:r w:rsidR="7551A945" w:rsidRPr="12EF884F">
        <w:rPr>
          <w:rStyle w:val="normaltextrun"/>
          <w:b/>
          <w:bCs/>
          <w:color w:val="000000" w:themeColor="text1"/>
        </w:rPr>
        <w:t xml:space="preserve"> –</w:t>
      </w:r>
      <w:r w:rsidRPr="12EF884F">
        <w:rPr>
          <w:rStyle w:val="normaltextrun"/>
          <w:color w:val="000000" w:themeColor="text1"/>
        </w:rPr>
        <w:t xml:space="preserve"> Geographically specific parameter that estimates the percentage of wood that is harvested beyond the landscape’s rate of regeneration meaning that the wood is not a carbon-neutral fuel.</w:t>
      </w:r>
    </w:p>
    <w:p w14:paraId="2A1C6DE3" w14:textId="1FB96115" w:rsidR="00E65C93" w:rsidRDefault="60875BA2" w:rsidP="12EF884F">
      <w:pPr>
        <w:pStyle w:val="SDMSubPara1"/>
        <w:rPr>
          <w:rStyle w:val="normaltextrun"/>
          <w:color w:val="000000" w:themeColor="text1"/>
        </w:rPr>
      </w:pPr>
      <w:r w:rsidRPr="12EF884F">
        <w:rPr>
          <w:rStyle w:val="normaltextrun"/>
          <w:b/>
          <w:bCs/>
          <w:color w:val="000000" w:themeColor="text1"/>
        </w:rPr>
        <w:t>Hawthorne Effect</w:t>
      </w:r>
      <w:r w:rsidR="39DAA372" w:rsidRPr="12EF884F">
        <w:rPr>
          <w:rStyle w:val="normaltextrun"/>
          <w:b/>
          <w:bCs/>
          <w:color w:val="000000" w:themeColor="text1"/>
        </w:rPr>
        <w:t xml:space="preserve"> –</w:t>
      </w:r>
      <w:r w:rsidRPr="12EF884F">
        <w:rPr>
          <w:rStyle w:val="normaltextrun"/>
          <w:color w:val="000000" w:themeColor="text1"/>
        </w:rPr>
        <w:t xml:space="preserve"> Impact from the act of observation on human behaviour affecting a given result or outcome.</w:t>
      </w:r>
    </w:p>
    <w:p w14:paraId="0AA110F0" w14:textId="06CDA119" w:rsidR="00E65C93" w:rsidRDefault="60875BA2" w:rsidP="12EF884F">
      <w:pPr>
        <w:pStyle w:val="SDMSubPara1"/>
        <w:rPr>
          <w:rStyle w:val="normaltextrun"/>
          <w:color w:val="000000" w:themeColor="text1"/>
        </w:rPr>
      </w:pPr>
      <w:r w:rsidRPr="12EF884F">
        <w:rPr>
          <w:rStyle w:val="normaltextrun"/>
          <w:b/>
          <w:bCs/>
          <w:color w:val="000000" w:themeColor="text1"/>
        </w:rPr>
        <w:t>Household</w:t>
      </w:r>
      <w:r w:rsidR="5D2564D3" w:rsidRPr="12EF884F">
        <w:rPr>
          <w:rStyle w:val="normaltextrun"/>
          <w:b/>
          <w:bCs/>
          <w:color w:val="000000" w:themeColor="text1"/>
        </w:rPr>
        <w:t xml:space="preserve"> –</w:t>
      </w:r>
      <w:r w:rsidRPr="12EF884F">
        <w:rPr>
          <w:rStyle w:val="normaltextrun"/>
          <w:color w:val="000000" w:themeColor="text1"/>
        </w:rPr>
        <w:t xml:space="preserve"> Individual residential unit and all the individuals living together and sharing cooking facilities and energy resources within that dwelling as their usual place of residence.</w:t>
      </w:r>
    </w:p>
    <w:p w14:paraId="5137CDE1" w14:textId="76F47BC7" w:rsidR="00E65C93" w:rsidRDefault="6D2EE848" w:rsidP="12EF884F">
      <w:pPr>
        <w:pStyle w:val="SDMSubPara1"/>
        <w:rPr>
          <w:rStyle w:val="normaltextrun"/>
          <w:color w:val="000000" w:themeColor="text1"/>
        </w:rPr>
      </w:pPr>
      <w:r w:rsidRPr="12EF884F">
        <w:rPr>
          <w:rStyle w:val="normaltextrun"/>
          <w:b/>
          <w:bCs/>
          <w:color w:val="000000" w:themeColor="text1"/>
        </w:rPr>
        <w:t>Kitchen Performance Test (KPT)</w:t>
      </w:r>
      <w:r w:rsidR="72D92177" w:rsidRPr="12EF884F">
        <w:rPr>
          <w:rStyle w:val="normaltextrun"/>
          <w:b/>
          <w:bCs/>
          <w:color w:val="000000" w:themeColor="text1"/>
        </w:rPr>
        <w:t xml:space="preserve"> </w:t>
      </w:r>
      <w:r w:rsidR="72D92177" w:rsidRPr="12EF884F">
        <w:rPr>
          <w:rStyle w:val="normaltextrun"/>
          <w:color w:val="000000" w:themeColor="text1"/>
        </w:rPr>
        <w:t>–</w:t>
      </w:r>
      <w:r w:rsidRPr="12EF884F">
        <w:rPr>
          <w:rStyle w:val="normaltextrun"/>
          <w:color w:val="000000" w:themeColor="text1"/>
        </w:rPr>
        <w:t xml:space="preserve"> Field–based procedure to quantify fuel consumption under typical household and cookstove usage conditions. It involves daily measurements of the amount of fuel used across several days in the user household’s kitchen, and it is usually accompanied by descriptive surveys.</w:t>
      </w:r>
    </w:p>
    <w:p w14:paraId="1CE54C1F" w14:textId="4596DB1E" w:rsidR="00E65C93" w:rsidRDefault="6D2EE848" w:rsidP="12EF884F">
      <w:pPr>
        <w:pStyle w:val="SDMSubPara1"/>
        <w:rPr>
          <w:rStyle w:val="normaltextrun"/>
          <w:color w:val="000000" w:themeColor="text1"/>
        </w:rPr>
      </w:pPr>
      <w:r w:rsidRPr="12EF884F">
        <w:rPr>
          <w:rStyle w:val="normaltextrun"/>
          <w:b/>
          <w:bCs/>
          <w:color w:val="000000" w:themeColor="text1"/>
        </w:rPr>
        <w:t>Leakage</w:t>
      </w:r>
      <w:r w:rsidR="723FC7F3" w:rsidRPr="12EF884F">
        <w:rPr>
          <w:rStyle w:val="normaltextrun"/>
          <w:color w:val="000000" w:themeColor="text1"/>
        </w:rPr>
        <w:t xml:space="preserve"> –</w:t>
      </w:r>
      <w:r w:rsidRPr="12EF884F">
        <w:rPr>
          <w:rStyle w:val="normaltextrun"/>
          <w:color w:val="000000" w:themeColor="text1"/>
        </w:rPr>
        <w:t xml:space="preserve"> In the context of carbon-crediting programs, a change in anthropogenic GHG emissions that occur outside the project boundary, and which are attributable to the project activity.   </w:t>
      </w:r>
    </w:p>
    <w:p w14:paraId="6C85A3F0" w14:textId="09A7FAF3" w:rsidR="00E65C93" w:rsidRDefault="6D2EE848" w:rsidP="12EF884F">
      <w:pPr>
        <w:pStyle w:val="SDMSubPara1"/>
        <w:rPr>
          <w:rStyle w:val="normaltextrun"/>
          <w:color w:val="000000" w:themeColor="text1"/>
        </w:rPr>
      </w:pPr>
      <w:r w:rsidRPr="12EF884F">
        <w:rPr>
          <w:rStyle w:val="normaltextrun"/>
          <w:b/>
          <w:bCs/>
          <w:color w:val="000000" w:themeColor="text1"/>
        </w:rPr>
        <w:lastRenderedPageBreak/>
        <w:t>Monitoring period</w:t>
      </w:r>
      <w:r w:rsidR="5D08C274" w:rsidRPr="12EF884F">
        <w:rPr>
          <w:rStyle w:val="normaltextrun"/>
          <w:b/>
          <w:bCs/>
          <w:color w:val="000000" w:themeColor="text1"/>
        </w:rPr>
        <w:t xml:space="preserve"> </w:t>
      </w:r>
      <w:r w:rsidR="5D08C274" w:rsidRPr="12EF884F">
        <w:rPr>
          <w:rStyle w:val="normaltextrun"/>
          <w:color w:val="000000" w:themeColor="text1"/>
        </w:rPr>
        <w:t>–</w:t>
      </w:r>
      <w:r w:rsidRPr="12EF884F">
        <w:rPr>
          <w:rStyle w:val="normaltextrun"/>
          <w:color w:val="000000" w:themeColor="text1"/>
        </w:rPr>
        <w:t xml:space="preserve"> Time period for which a given batch of emission reductions is verified and certified for </w:t>
      </w:r>
      <w:proofErr w:type="gramStart"/>
      <w:r w:rsidRPr="12EF884F">
        <w:rPr>
          <w:rStyle w:val="normaltextrun"/>
          <w:color w:val="000000" w:themeColor="text1"/>
        </w:rPr>
        <w:t>issuance;</w:t>
      </w:r>
      <w:proofErr w:type="gramEnd"/>
      <w:r w:rsidRPr="12EF884F">
        <w:rPr>
          <w:rStyle w:val="normaltextrun"/>
          <w:color w:val="000000" w:themeColor="text1"/>
        </w:rPr>
        <w:t xml:space="preserve"> a subset of the crediting period. While project proponents can determine the length of the monitoring period, CLEAR recommends a two-year maximum for the monitoring period, since KPTs must be conducted at least every two years. </w:t>
      </w:r>
    </w:p>
    <w:p w14:paraId="3BE47114" w14:textId="553E3D8D" w:rsidR="00E65C93" w:rsidRDefault="6D2EE848" w:rsidP="12EF884F">
      <w:pPr>
        <w:pStyle w:val="SDMSubPara1"/>
        <w:rPr>
          <w:rStyle w:val="normaltextrun"/>
          <w:color w:val="000000" w:themeColor="text1"/>
        </w:rPr>
      </w:pPr>
      <w:r w:rsidRPr="12EF884F">
        <w:rPr>
          <w:rStyle w:val="normaltextrun"/>
          <w:b/>
          <w:bCs/>
          <w:color w:val="000000" w:themeColor="text1"/>
        </w:rPr>
        <w:t>Net Calorific Value (NCV) of fuel</w:t>
      </w:r>
      <w:r w:rsidR="1F3DBAFB" w:rsidRPr="12EF884F">
        <w:rPr>
          <w:rStyle w:val="normaltextrun"/>
          <w:b/>
          <w:bCs/>
          <w:color w:val="000000" w:themeColor="text1"/>
        </w:rPr>
        <w:t xml:space="preserve"> </w:t>
      </w:r>
      <w:r w:rsidR="1F3DBAFB" w:rsidRPr="12EF884F">
        <w:rPr>
          <w:rStyle w:val="normaltextrun"/>
          <w:color w:val="000000" w:themeColor="text1"/>
        </w:rPr>
        <w:t xml:space="preserve">– </w:t>
      </w:r>
      <w:r w:rsidRPr="12EF884F">
        <w:rPr>
          <w:rStyle w:val="normaltextrun"/>
          <w:color w:val="000000" w:themeColor="text1"/>
        </w:rPr>
        <w:t>Amount of heat released during the complete combustion of a unit quantity of fuel excluding the heat needed to vaporize the water formed during combustion. In this methodology, it is expressed in units of energy per mass (TJ/tonne).  </w:t>
      </w:r>
    </w:p>
    <w:p w14:paraId="5B7A9906" w14:textId="3D8E3519" w:rsidR="00E65C93" w:rsidRDefault="6D2EE848" w:rsidP="12EF884F">
      <w:pPr>
        <w:pStyle w:val="SDMSubPara1"/>
        <w:rPr>
          <w:rStyle w:val="normaltextrun"/>
          <w:color w:val="000000" w:themeColor="text1"/>
        </w:rPr>
      </w:pPr>
      <w:r w:rsidRPr="12EF884F">
        <w:rPr>
          <w:rStyle w:val="normaltextrun"/>
          <w:b/>
          <w:bCs/>
          <w:color w:val="000000" w:themeColor="text1"/>
        </w:rPr>
        <w:t>Non-continuously tracked energy consumption (non-CTEC) project</w:t>
      </w:r>
      <w:r w:rsidR="54E5400F" w:rsidRPr="12EF884F">
        <w:rPr>
          <w:rStyle w:val="normaltextrun"/>
          <w:b/>
          <w:bCs/>
          <w:color w:val="000000" w:themeColor="text1"/>
        </w:rPr>
        <w:t xml:space="preserve"> </w:t>
      </w:r>
      <w:r w:rsidR="54E5400F" w:rsidRPr="12EF884F">
        <w:rPr>
          <w:rStyle w:val="normaltextrun"/>
          <w:color w:val="000000" w:themeColor="text1"/>
        </w:rPr>
        <w:t>–</w:t>
      </w:r>
      <w:r w:rsidRPr="12EF884F">
        <w:rPr>
          <w:rStyle w:val="normaltextrun"/>
          <w:color w:val="000000" w:themeColor="text1"/>
        </w:rPr>
        <w:t xml:space="preserve"> Project that measures project cookstoves energy consumption on only a subset of sites, and/or do not measure energy consumption continuously.   </w:t>
      </w:r>
    </w:p>
    <w:p w14:paraId="30128F4C" w14:textId="16C5A6C2" w:rsidR="00E65C93" w:rsidRDefault="6D2EE848" w:rsidP="12EF884F">
      <w:pPr>
        <w:pStyle w:val="SDMSubPara1"/>
        <w:rPr>
          <w:rStyle w:val="normaltextrun"/>
          <w:color w:val="000000" w:themeColor="text1"/>
        </w:rPr>
      </w:pPr>
      <w:r w:rsidRPr="12EF884F">
        <w:rPr>
          <w:rStyle w:val="normaltextrun"/>
          <w:b/>
          <w:bCs/>
          <w:color w:val="000000" w:themeColor="text1"/>
        </w:rPr>
        <w:t>Non-permanence</w:t>
      </w:r>
      <w:r w:rsidRPr="12EF884F">
        <w:rPr>
          <w:rStyle w:val="normaltextrun"/>
          <w:color w:val="000000" w:themeColor="text1"/>
        </w:rPr>
        <w:t xml:space="preserve"> </w:t>
      </w:r>
      <w:r w:rsidR="73634141" w:rsidRPr="12EF884F">
        <w:rPr>
          <w:rStyle w:val="normaltextrun"/>
          <w:color w:val="000000" w:themeColor="text1"/>
        </w:rPr>
        <w:t xml:space="preserve">– </w:t>
      </w:r>
      <w:r w:rsidRPr="12EF884F">
        <w:rPr>
          <w:rStyle w:val="normaltextrun"/>
          <w:color w:val="000000" w:themeColor="text1"/>
        </w:rPr>
        <w:t xml:space="preserve">When the emission reductions achieved by a project do not persist and emissions are released back into the atmosphere. </w:t>
      </w:r>
    </w:p>
    <w:p w14:paraId="07210E8F" w14:textId="28945251" w:rsidR="00E65C93" w:rsidRDefault="6D2EE848" w:rsidP="12EF884F">
      <w:pPr>
        <w:pStyle w:val="SDMSubPara1"/>
        <w:rPr>
          <w:rStyle w:val="normaltextrun"/>
          <w:color w:val="000000" w:themeColor="text1"/>
        </w:rPr>
      </w:pPr>
      <w:r w:rsidRPr="12EF884F">
        <w:rPr>
          <w:rStyle w:val="normaltextrun"/>
          <w:b/>
          <w:bCs/>
          <w:color w:val="000000" w:themeColor="text1"/>
        </w:rPr>
        <w:t>Non-renewable fuels</w:t>
      </w:r>
      <w:r w:rsidR="6BA262B1" w:rsidRPr="12EF884F">
        <w:rPr>
          <w:rStyle w:val="normaltextrun"/>
          <w:b/>
          <w:bCs/>
          <w:color w:val="000000" w:themeColor="text1"/>
        </w:rPr>
        <w:t xml:space="preserve"> </w:t>
      </w:r>
      <w:r w:rsidR="6BA262B1" w:rsidRPr="12EF884F">
        <w:rPr>
          <w:rStyle w:val="normaltextrun"/>
          <w:color w:val="000000" w:themeColor="text1"/>
        </w:rPr>
        <w:t>–</w:t>
      </w:r>
      <w:r w:rsidRPr="12EF884F">
        <w:rPr>
          <w:rStyle w:val="normaltextrun"/>
          <w:color w:val="000000" w:themeColor="text1"/>
        </w:rPr>
        <w:t xml:space="preserve"> Include the non-renewable fraction of fuelwood and charcoal, as well as fossil fuels such as LPG, coal, and kerosene.</w:t>
      </w:r>
    </w:p>
    <w:p w14:paraId="5256D393" w14:textId="309C4E6F" w:rsidR="00E65C93" w:rsidRDefault="6D2EE848" w:rsidP="12EF884F">
      <w:pPr>
        <w:pStyle w:val="SDMSubPara1"/>
        <w:rPr>
          <w:rStyle w:val="normaltextrun"/>
          <w:color w:val="000000" w:themeColor="text1"/>
        </w:rPr>
      </w:pPr>
      <w:r w:rsidRPr="12EF884F">
        <w:rPr>
          <w:rStyle w:val="normaltextrun"/>
          <w:b/>
          <w:bCs/>
          <w:color w:val="000000" w:themeColor="text1"/>
        </w:rPr>
        <w:t>Off-grid renewable energy</w:t>
      </w:r>
      <w:r w:rsidR="6AB538B7" w:rsidRPr="12EF884F">
        <w:rPr>
          <w:rStyle w:val="normaltextrun"/>
          <w:b/>
          <w:bCs/>
          <w:color w:val="000000" w:themeColor="text1"/>
        </w:rPr>
        <w:t xml:space="preserve"> </w:t>
      </w:r>
      <w:r w:rsidR="6AB538B7" w:rsidRPr="12EF884F">
        <w:rPr>
          <w:rStyle w:val="normaltextrun"/>
          <w:color w:val="000000" w:themeColor="text1"/>
        </w:rPr>
        <w:t>–</w:t>
      </w:r>
      <w:r w:rsidRPr="12EF884F">
        <w:rPr>
          <w:rStyle w:val="normaltextrun"/>
          <w:color w:val="000000" w:themeColor="text1"/>
        </w:rPr>
        <w:t xml:space="preserve"> Renewable energy that is generated independently of the national or regional electrical grid, for example, by community- or household-level solar, micro-hydro, or wind installations.</w:t>
      </w:r>
    </w:p>
    <w:p w14:paraId="3B43DD3A" w14:textId="4D8A18F0" w:rsidR="00E65C93" w:rsidRDefault="6D2EE848" w:rsidP="12EF884F">
      <w:pPr>
        <w:pStyle w:val="SDMSubPara1"/>
        <w:rPr>
          <w:rStyle w:val="normaltextrun"/>
          <w:color w:val="000000" w:themeColor="text1"/>
        </w:rPr>
      </w:pPr>
      <w:r w:rsidRPr="12EF884F">
        <w:rPr>
          <w:rStyle w:val="normaltextrun"/>
          <w:b/>
          <w:bCs/>
          <w:color w:val="000000" w:themeColor="text1"/>
        </w:rPr>
        <w:t>Pellets</w:t>
      </w:r>
      <w:r w:rsidR="5EE9FA2F" w:rsidRPr="12EF884F">
        <w:rPr>
          <w:rStyle w:val="normaltextrun"/>
          <w:color w:val="000000" w:themeColor="text1"/>
        </w:rPr>
        <w:t xml:space="preserve"> –</w:t>
      </w:r>
      <w:r w:rsidRPr="12EF884F">
        <w:rPr>
          <w:rStyle w:val="normaltextrun"/>
          <w:color w:val="000000" w:themeColor="text1"/>
        </w:rPr>
        <w:t xml:space="preserve"> Upgraded biomass fuel made from densified dry materials such as residues from wood harvesting or processing, residues from harvesting or processing of agricultural crops or purpose grown plants. Pellet properties can be described according to the ISO 17225 set of standards.  </w:t>
      </w:r>
    </w:p>
    <w:p w14:paraId="40BD3CE8" w14:textId="7AD09D3E" w:rsidR="00E65C93" w:rsidRDefault="6D2EE848" w:rsidP="12EF884F">
      <w:pPr>
        <w:pStyle w:val="SDMSubPara1"/>
        <w:rPr>
          <w:rStyle w:val="normaltextrun"/>
          <w:color w:val="000000" w:themeColor="text1"/>
        </w:rPr>
      </w:pPr>
      <w:r w:rsidRPr="12EF884F">
        <w:rPr>
          <w:rStyle w:val="normaltextrun"/>
          <w:b/>
          <w:bCs/>
          <w:color w:val="000000" w:themeColor="text1"/>
        </w:rPr>
        <w:t>Project technology days (PTDs)</w:t>
      </w:r>
      <w:r w:rsidR="1AAF851E" w:rsidRPr="12EF884F">
        <w:rPr>
          <w:rStyle w:val="normaltextrun"/>
          <w:b/>
          <w:bCs/>
          <w:color w:val="000000" w:themeColor="text1"/>
        </w:rPr>
        <w:t xml:space="preserve"> </w:t>
      </w:r>
      <w:r w:rsidR="1AAF851E" w:rsidRPr="12EF884F">
        <w:rPr>
          <w:rStyle w:val="normaltextrun"/>
          <w:color w:val="000000" w:themeColor="text1"/>
        </w:rPr>
        <w:t>–</w:t>
      </w:r>
      <w:r w:rsidRPr="12EF884F">
        <w:rPr>
          <w:rStyle w:val="normaltextrun"/>
          <w:color w:val="000000" w:themeColor="text1"/>
        </w:rPr>
        <w:t xml:space="preserve"> Number of days for which project technologies are available (at the project household, within the project boundary, and functioning) and in regular use (once or more per week on average) during a given monitoring period (see also “User household” definition). This parameter is used for non-CTEC projects.    </w:t>
      </w:r>
    </w:p>
    <w:p w14:paraId="2D63A66B" w14:textId="29DB59A9" w:rsidR="00E65C93" w:rsidRDefault="6D2EE848" w:rsidP="12EF884F">
      <w:pPr>
        <w:pStyle w:val="SDMSubPara1"/>
        <w:rPr>
          <w:rStyle w:val="normaltextrun"/>
          <w:color w:val="000000" w:themeColor="text1"/>
        </w:rPr>
      </w:pPr>
      <w:r w:rsidRPr="12EF884F">
        <w:rPr>
          <w:rStyle w:val="normaltextrun"/>
          <w:b/>
          <w:bCs/>
          <w:color w:val="000000" w:themeColor="text1"/>
        </w:rPr>
        <w:t>Rebound effect</w:t>
      </w:r>
      <w:r w:rsidR="776EC06B" w:rsidRPr="12EF884F">
        <w:rPr>
          <w:rStyle w:val="normaltextrun"/>
          <w:b/>
          <w:bCs/>
          <w:color w:val="000000" w:themeColor="text1"/>
        </w:rPr>
        <w:t xml:space="preserve"> </w:t>
      </w:r>
      <w:r w:rsidR="776EC06B" w:rsidRPr="12EF884F">
        <w:rPr>
          <w:rStyle w:val="normaltextrun"/>
          <w:color w:val="000000" w:themeColor="text1"/>
        </w:rPr>
        <w:t>–</w:t>
      </w:r>
      <w:r w:rsidRPr="12EF884F">
        <w:rPr>
          <w:rStyle w:val="normaltextrun"/>
          <w:color w:val="000000" w:themeColor="text1"/>
        </w:rPr>
        <w:t xml:space="preserve"> Increased usage of a product or service resulting from an improvement in its efficiency, potentially negating some or </w:t>
      </w:r>
      <w:proofErr w:type="gramStart"/>
      <w:r w:rsidRPr="12EF884F">
        <w:rPr>
          <w:rStyle w:val="normaltextrun"/>
          <w:color w:val="000000" w:themeColor="text1"/>
        </w:rPr>
        <w:t>all of</w:t>
      </w:r>
      <w:proofErr w:type="gramEnd"/>
      <w:r w:rsidRPr="12EF884F">
        <w:rPr>
          <w:rStyle w:val="normaltextrun"/>
          <w:color w:val="000000" w:themeColor="text1"/>
        </w:rPr>
        <w:t xml:space="preserve"> the expected emission reductions. In cookstove carbon projects, this effect could occur if households are able to increase how much they cook with the same amount of fuel after the introduction of a project cookstove. Rebound is also often linked to suppressed demand, where the project cookstove meets previously unmet cooking needs (see Suppressed Demand).  </w:t>
      </w:r>
    </w:p>
    <w:p w14:paraId="09F0C970" w14:textId="4C6DE3DF" w:rsidR="00E65C93" w:rsidRDefault="6D2EE848" w:rsidP="12EF884F">
      <w:pPr>
        <w:pStyle w:val="SDMSubPara1"/>
        <w:rPr>
          <w:rStyle w:val="normaltextrun"/>
          <w:color w:val="000000" w:themeColor="text1"/>
        </w:rPr>
      </w:pPr>
      <w:r w:rsidRPr="12EF884F">
        <w:rPr>
          <w:rStyle w:val="normaltextrun"/>
          <w:b/>
          <w:bCs/>
          <w:color w:val="000000" w:themeColor="text1"/>
        </w:rPr>
        <w:t>Renewable biomass</w:t>
      </w:r>
      <w:r w:rsidR="14572A4E" w:rsidRPr="12EF884F">
        <w:rPr>
          <w:rStyle w:val="normaltextrun"/>
          <w:color w:val="000000" w:themeColor="text1"/>
        </w:rPr>
        <w:t xml:space="preserve"> –</w:t>
      </w:r>
      <w:r w:rsidRPr="12EF884F">
        <w:rPr>
          <w:rStyle w:val="normaltextrun"/>
          <w:color w:val="000000" w:themeColor="text1"/>
        </w:rPr>
        <w:t xml:space="preserve"> By-product, residue, or waste stream from agriculture, forestry, and related industries that would not be used as a fuel or feedstock in the absence of the project activity, or biomass that originates from plantations that operate sustainably where all project and leakage emissions associated with the biomass cultivation are accounted for.    </w:t>
      </w:r>
    </w:p>
    <w:p w14:paraId="6083D61D" w14:textId="72B18103" w:rsidR="00E65C93" w:rsidRDefault="6D2EE848" w:rsidP="12EF884F">
      <w:pPr>
        <w:pStyle w:val="SDMSubPara1"/>
        <w:rPr>
          <w:rStyle w:val="normaltextrun"/>
          <w:color w:val="000000" w:themeColor="text1"/>
        </w:rPr>
      </w:pPr>
      <w:r w:rsidRPr="12EF884F">
        <w:rPr>
          <w:rStyle w:val="normaltextrun"/>
          <w:b/>
          <w:bCs/>
          <w:color w:val="000000" w:themeColor="text1"/>
        </w:rPr>
        <w:t>Renewable fuels</w:t>
      </w:r>
      <w:r w:rsidR="414AFCB1" w:rsidRPr="12EF884F">
        <w:rPr>
          <w:rStyle w:val="normaltextrun"/>
          <w:b/>
          <w:bCs/>
          <w:color w:val="000000" w:themeColor="text1"/>
        </w:rPr>
        <w:t xml:space="preserve"> </w:t>
      </w:r>
      <w:r w:rsidR="414AFCB1" w:rsidRPr="12EF884F">
        <w:rPr>
          <w:rStyle w:val="normaltextrun"/>
          <w:color w:val="000000" w:themeColor="text1"/>
        </w:rPr>
        <w:t xml:space="preserve">– </w:t>
      </w:r>
      <w:r w:rsidRPr="12EF884F">
        <w:rPr>
          <w:rStyle w:val="normaltextrun"/>
          <w:color w:val="000000" w:themeColor="text1"/>
        </w:rPr>
        <w:t>Include the renewable fraction of fuelwood and charcoal, waste biomass like crop residues and dung, processed biomass like briquettes and pellets from fully renewable sources, bioethanol, biogas, and solar.  </w:t>
      </w:r>
    </w:p>
    <w:p w14:paraId="7E245B87" w14:textId="6B7630B7" w:rsidR="00E65C93" w:rsidRDefault="6D2EE848" w:rsidP="12EF884F">
      <w:pPr>
        <w:pStyle w:val="SDMSubPara1"/>
        <w:rPr>
          <w:rStyle w:val="normaltextrun"/>
          <w:color w:val="000000" w:themeColor="text1"/>
        </w:rPr>
      </w:pPr>
      <w:r w:rsidRPr="12EF884F">
        <w:rPr>
          <w:rStyle w:val="normaltextrun"/>
          <w:b/>
          <w:bCs/>
          <w:color w:val="000000" w:themeColor="text1"/>
        </w:rPr>
        <w:lastRenderedPageBreak/>
        <w:t>Stove stacking</w:t>
      </w:r>
      <w:r w:rsidR="5D5767F1" w:rsidRPr="12EF884F">
        <w:rPr>
          <w:rStyle w:val="normaltextrun"/>
          <w:b/>
          <w:bCs/>
          <w:color w:val="000000" w:themeColor="text1"/>
        </w:rPr>
        <w:t xml:space="preserve"> </w:t>
      </w:r>
      <w:r w:rsidR="5D5767F1" w:rsidRPr="12EF884F">
        <w:rPr>
          <w:rStyle w:val="normaltextrun"/>
          <w:color w:val="000000" w:themeColor="text1"/>
        </w:rPr>
        <w:t>–</w:t>
      </w:r>
      <w:r w:rsidRPr="12EF884F">
        <w:rPr>
          <w:rStyle w:val="normaltextrun"/>
          <w:color w:val="000000" w:themeColor="text1"/>
        </w:rPr>
        <w:t xml:space="preserve"> Use of multiple cooking technologies and/or fuels within a household.      </w:t>
      </w:r>
    </w:p>
    <w:p w14:paraId="3F06D831" w14:textId="36D73126" w:rsidR="00E65C93" w:rsidRDefault="6D2EE848" w:rsidP="12EF884F">
      <w:pPr>
        <w:pStyle w:val="SDMSubPara1"/>
        <w:rPr>
          <w:rStyle w:val="normaltextrun"/>
          <w:color w:val="000000" w:themeColor="text1"/>
        </w:rPr>
      </w:pPr>
      <w:r w:rsidRPr="12EF884F">
        <w:rPr>
          <w:rStyle w:val="normaltextrun"/>
          <w:b/>
          <w:bCs/>
          <w:color w:val="000000" w:themeColor="text1"/>
        </w:rPr>
        <w:t>Stove Use Monitor (SUM)</w:t>
      </w:r>
      <w:r w:rsidR="01C10FE5" w:rsidRPr="12EF884F">
        <w:rPr>
          <w:rStyle w:val="normaltextrun"/>
          <w:b/>
          <w:bCs/>
          <w:color w:val="000000" w:themeColor="text1"/>
        </w:rPr>
        <w:t xml:space="preserve"> </w:t>
      </w:r>
      <w:r w:rsidR="01C10FE5" w:rsidRPr="12EF884F">
        <w:rPr>
          <w:rStyle w:val="normaltextrun"/>
          <w:color w:val="000000" w:themeColor="text1"/>
        </w:rPr>
        <w:t>–</w:t>
      </w:r>
      <w:r w:rsidRPr="12EF884F">
        <w:rPr>
          <w:rStyle w:val="normaltextrun"/>
          <w:color w:val="000000" w:themeColor="text1"/>
        </w:rPr>
        <w:t xml:space="preserve"> Device that quantifies cookstove usage through direct measurements of physical or chemical parameters (e.g., temperature, heat flow, light, power, motion, gas concentration, etc.) of cookstoves, kitchen technologies, and cookware, among others. SUMs do not measure fuel or energy </w:t>
      </w:r>
      <w:proofErr w:type="gramStart"/>
      <w:r w:rsidRPr="12EF884F">
        <w:rPr>
          <w:rStyle w:val="normaltextrun"/>
          <w:color w:val="000000" w:themeColor="text1"/>
        </w:rPr>
        <w:t>consumption, and</w:t>
      </w:r>
      <w:proofErr w:type="gramEnd"/>
      <w:r w:rsidRPr="12EF884F">
        <w:rPr>
          <w:rStyle w:val="normaltextrun"/>
          <w:color w:val="000000" w:themeColor="text1"/>
        </w:rPr>
        <w:t xml:space="preserve"> therefore do not meet the requirements for CTEC projects.    </w:t>
      </w:r>
    </w:p>
    <w:p w14:paraId="38703FBE" w14:textId="2FA7B258" w:rsidR="00E65C93" w:rsidRDefault="6D2EE848" w:rsidP="12EF884F">
      <w:pPr>
        <w:pStyle w:val="SDMSubPara1"/>
        <w:rPr>
          <w:rStyle w:val="normaltextrun"/>
          <w:color w:val="000000" w:themeColor="text1"/>
        </w:rPr>
      </w:pPr>
      <w:r w:rsidRPr="12EF884F">
        <w:rPr>
          <w:rStyle w:val="normaltextrun"/>
          <w:b/>
          <w:bCs/>
          <w:color w:val="000000" w:themeColor="text1"/>
        </w:rPr>
        <w:t>Suppressed demand</w:t>
      </w:r>
      <w:r w:rsidR="4BD3185A" w:rsidRPr="12EF884F">
        <w:rPr>
          <w:rStyle w:val="normaltextrun"/>
          <w:b/>
          <w:bCs/>
          <w:color w:val="000000" w:themeColor="text1"/>
        </w:rPr>
        <w:t xml:space="preserve"> </w:t>
      </w:r>
      <w:r w:rsidR="4BD3185A" w:rsidRPr="12EF884F">
        <w:rPr>
          <w:rStyle w:val="normaltextrun"/>
          <w:color w:val="000000" w:themeColor="text1"/>
        </w:rPr>
        <w:t>–</w:t>
      </w:r>
      <w:r w:rsidRPr="12EF884F">
        <w:rPr>
          <w:rStyle w:val="normaltextrun"/>
          <w:color w:val="000000" w:themeColor="text1"/>
        </w:rPr>
        <w:t xml:space="preserve"> Situation where the level of access to a given good or service is insufficient – due to poverty or lack of access to infrastructure – to meet human development needs. In the context of cookstove carbon projects, accounting for suppressed demand means that the baseline scenario is adjusted to an amount of cooking fuel necessary to provide for human needs rather than a potentially lower, actual amount of fuel used for cooking. To account for suppressed demand</w:t>
      </w:r>
      <w:r w:rsidR="00DD1A63">
        <w:rPr>
          <w:rStyle w:val="FootnoteReference"/>
          <w:color w:val="000000" w:themeColor="text1"/>
        </w:rPr>
        <w:footnoteReference w:id="3"/>
      </w:r>
      <w:r w:rsidRPr="12EF884F">
        <w:rPr>
          <w:rStyle w:val="normaltextrun"/>
          <w:color w:val="000000" w:themeColor="text1"/>
        </w:rPr>
        <w:t xml:space="preserve">, this methodology uses a baseline fuel consumption default value equivalent to 0.5 tonnes/(person*year) of air-dried wood; the minimum level of energy service required for cooking.  </w:t>
      </w:r>
    </w:p>
    <w:p w14:paraId="44F6635B" w14:textId="3B461E5E" w:rsidR="00E65C93" w:rsidRDefault="6D2EE848" w:rsidP="12EF884F">
      <w:pPr>
        <w:pStyle w:val="SDMSubPara1"/>
        <w:rPr>
          <w:rStyle w:val="normaltextrun"/>
          <w:color w:val="000000" w:themeColor="text1"/>
        </w:rPr>
      </w:pPr>
      <w:r w:rsidRPr="12EF884F">
        <w:rPr>
          <w:rStyle w:val="normaltextrun"/>
          <w:b/>
          <w:bCs/>
          <w:color w:val="000000" w:themeColor="text1"/>
        </w:rPr>
        <w:t>Third-party entity</w:t>
      </w:r>
      <w:r w:rsidR="4262A493" w:rsidRPr="12EF884F">
        <w:rPr>
          <w:rStyle w:val="normaltextrun"/>
          <w:color w:val="000000" w:themeColor="text1"/>
        </w:rPr>
        <w:t xml:space="preserve"> –</w:t>
      </w:r>
      <w:r w:rsidRPr="12EF884F">
        <w:rPr>
          <w:rStyle w:val="normaltextrun"/>
          <w:color w:val="000000" w:themeColor="text1"/>
        </w:rPr>
        <w:t xml:space="preserve"> Entity that has no affiliation with the project proponent and no financial stake in the project. The independence of the entity may be demonstrated through a signed conflict of interest form in which all conflicts are disclosed (including relational, financial, competitive, and others).  </w:t>
      </w:r>
    </w:p>
    <w:p w14:paraId="5378C3E3" w14:textId="3CF598F5" w:rsidR="00E65C93" w:rsidRDefault="6D2EE848" w:rsidP="12EF884F">
      <w:pPr>
        <w:pStyle w:val="SDMSubPara1"/>
        <w:rPr>
          <w:rStyle w:val="normaltextrun"/>
          <w:color w:val="000000" w:themeColor="text1"/>
        </w:rPr>
      </w:pPr>
      <w:r w:rsidRPr="12EF884F">
        <w:rPr>
          <w:rStyle w:val="normaltextrun"/>
          <w:b/>
          <w:bCs/>
          <w:color w:val="000000" w:themeColor="text1"/>
        </w:rPr>
        <w:t>TJ/(person*year)</w:t>
      </w:r>
      <w:r w:rsidR="1EF60E6A" w:rsidRPr="12EF884F">
        <w:rPr>
          <w:rStyle w:val="normaltextrun"/>
          <w:color w:val="000000" w:themeColor="text1"/>
        </w:rPr>
        <w:t xml:space="preserve"> –</w:t>
      </w:r>
      <w:r w:rsidRPr="12EF884F">
        <w:rPr>
          <w:rStyle w:val="normaltextrun"/>
          <w:color w:val="000000" w:themeColor="text1"/>
        </w:rPr>
        <w:t xml:space="preserve"> Unit of per capita annual energy consumption.    </w:t>
      </w:r>
    </w:p>
    <w:p w14:paraId="3069E444" w14:textId="1CC6312C" w:rsidR="00E65C93" w:rsidRDefault="6D2EE848" w:rsidP="12EF884F">
      <w:pPr>
        <w:pStyle w:val="SDMSubPara1"/>
        <w:rPr>
          <w:rStyle w:val="normaltextrun"/>
          <w:color w:val="000000" w:themeColor="text1"/>
        </w:rPr>
      </w:pPr>
      <w:r w:rsidRPr="12EF884F">
        <w:rPr>
          <w:rStyle w:val="normaltextrun"/>
          <w:b/>
          <w:bCs/>
          <w:color w:val="000000" w:themeColor="text1"/>
        </w:rPr>
        <w:t>Tonne</w:t>
      </w:r>
      <w:r w:rsidR="5EFC2D94" w:rsidRPr="12EF884F">
        <w:rPr>
          <w:rStyle w:val="normaltextrun"/>
          <w:b/>
          <w:bCs/>
          <w:color w:val="000000" w:themeColor="text1"/>
        </w:rPr>
        <w:t xml:space="preserve"> </w:t>
      </w:r>
      <w:r w:rsidR="5EFC2D94" w:rsidRPr="12EF884F">
        <w:rPr>
          <w:rStyle w:val="normaltextrun"/>
          <w:color w:val="000000" w:themeColor="text1"/>
        </w:rPr>
        <w:t>–</w:t>
      </w:r>
      <w:r w:rsidRPr="12EF884F">
        <w:rPr>
          <w:rStyle w:val="normaltextrun"/>
          <w:color w:val="000000" w:themeColor="text1"/>
        </w:rPr>
        <w:t xml:space="preserve"> Metric tonne (1,000 kilograms).    </w:t>
      </w:r>
    </w:p>
    <w:p w14:paraId="07882B7A" w14:textId="45045571" w:rsidR="00E65C93" w:rsidRDefault="6D2EE848" w:rsidP="12EF884F">
      <w:pPr>
        <w:pStyle w:val="SDMSubPara1"/>
        <w:rPr>
          <w:rStyle w:val="normaltextrun"/>
          <w:color w:val="000000" w:themeColor="text1"/>
        </w:rPr>
      </w:pPr>
      <w:r w:rsidRPr="12EF884F">
        <w:rPr>
          <w:rStyle w:val="normaltextrun"/>
          <w:b/>
          <w:bCs/>
          <w:color w:val="000000" w:themeColor="text1"/>
        </w:rPr>
        <w:t>Transmission and distribution (T&amp;D) losses</w:t>
      </w:r>
      <w:r w:rsidR="7B7AB5E0" w:rsidRPr="12EF884F">
        <w:rPr>
          <w:rStyle w:val="normaltextrun"/>
          <w:b/>
          <w:bCs/>
          <w:color w:val="000000" w:themeColor="text1"/>
        </w:rPr>
        <w:t xml:space="preserve"> </w:t>
      </w:r>
      <w:r w:rsidR="7B7AB5E0" w:rsidRPr="12EF884F">
        <w:rPr>
          <w:rStyle w:val="normaltextrun"/>
          <w:color w:val="000000" w:themeColor="text1"/>
        </w:rPr>
        <w:t>–</w:t>
      </w:r>
      <w:r w:rsidRPr="12EF884F">
        <w:rPr>
          <w:rStyle w:val="normaltextrun"/>
          <w:color w:val="000000" w:themeColor="text1"/>
        </w:rPr>
        <w:t xml:space="preserve"> Losses incurred supplying grid electricity from point of the generation to end users.    </w:t>
      </w:r>
    </w:p>
    <w:p w14:paraId="3721B7E6" w14:textId="0652E136" w:rsidR="00E65C93" w:rsidRDefault="6D2EE848" w:rsidP="12EF884F">
      <w:pPr>
        <w:pStyle w:val="SDMSubPara1"/>
        <w:rPr>
          <w:rStyle w:val="normaltextrun"/>
          <w:color w:val="000000" w:themeColor="text1"/>
        </w:rPr>
      </w:pPr>
      <w:r w:rsidRPr="12EF884F">
        <w:rPr>
          <w:rStyle w:val="normaltextrun"/>
          <w:b/>
          <w:bCs/>
          <w:color w:val="000000" w:themeColor="text1"/>
        </w:rPr>
        <w:t>Upstream emissions</w:t>
      </w:r>
      <w:r w:rsidR="38003CF1" w:rsidRPr="12EF884F">
        <w:rPr>
          <w:rStyle w:val="normaltextrun"/>
          <w:color w:val="000000" w:themeColor="text1"/>
        </w:rPr>
        <w:t xml:space="preserve"> –</w:t>
      </w:r>
      <w:r w:rsidRPr="12EF884F">
        <w:rPr>
          <w:rStyle w:val="normaltextrun"/>
          <w:color w:val="000000" w:themeColor="text1"/>
        </w:rPr>
        <w:t xml:space="preserve"> In the context of this methodology, upstream emissions represent the GHG emissions associated with the production, processing, transportation, and distribution of cooking fuels. Upstream emissions apply to both baseline and project scenarios.</w:t>
      </w:r>
    </w:p>
    <w:p w14:paraId="081A1A3D" w14:textId="47E04C7C" w:rsidR="00E65C93" w:rsidRDefault="6D2EE848" w:rsidP="12EF884F">
      <w:pPr>
        <w:pStyle w:val="SDMSubPara1"/>
        <w:rPr>
          <w:rStyle w:val="normaltextrun"/>
          <w:color w:val="000000" w:themeColor="text1"/>
        </w:rPr>
      </w:pPr>
      <w:r w:rsidRPr="12EF884F">
        <w:rPr>
          <w:rStyle w:val="normaltextrun"/>
          <w:b/>
          <w:bCs/>
          <w:color w:val="000000" w:themeColor="text1"/>
        </w:rPr>
        <w:t>Useful energy delivered</w:t>
      </w:r>
      <w:r w:rsidR="43346594" w:rsidRPr="12EF884F">
        <w:rPr>
          <w:rStyle w:val="normaltextrun"/>
          <w:b/>
          <w:bCs/>
          <w:color w:val="000000" w:themeColor="text1"/>
        </w:rPr>
        <w:t xml:space="preserve"> </w:t>
      </w:r>
      <w:r w:rsidR="43346594" w:rsidRPr="12EF884F">
        <w:rPr>
          <w:rStyle w:val="normaltextrun"/>
          <w:color w:val="000000" w:themeColor="text1"/>
        </w:rPr>
        <w:t>–</w:t>
      </w:r>
      <w:r w:rsidRPr="12EF884F">
        <w:rPr>
          <w:rStyle w:val="normaltextrun"/>
          <w:color w:val="000000" w:themeColor="text1"/>
        </w:rPr>
        <w:t xml:space="preserve"> Energy transferred to the contents of a cooking vessel, including the sensible heat that raises the temperature of the contents of the cooking vessel and the latent heat of evaporation of water from the cooking vessel.    </w:t>
      </w:r>
    </w:p>
    <w:p w14:paraId="292E8356" w14:textId="6A921AC6" w:rsidR="00E65C93" w:rsidRDefault="6D2EE848" w:rsidP="12EF884F">
      <w:pPr>
        <w:pStyle w:val="SDMSubPara1"/>
        <w:rPr>
          <w:rStyle w:val="normaltextrun"/>
          <w:color w:val="000000" w:themeColor="text1"/>
        </w:rPr>
      </w:pPr>
      <w:r w:rsidRPr="12EF884F">
        <w:rPr>
          <w:rStyle w:val="normaltextrun"/>
          <w:b/>
          <w:bCs/>
          <w:color w:val="000000" w:themeColor="text1"/>
        </w:rPr>
        <w:t>User household</w:t>
      </w:r>
      <w:r w:rsidR="719602F7" w:rsidRPr="12EF884F">
        <w:rPr>
          <w:rStyle w:val="normaltextrun"/>
          <w:b/>
          <w:bCs/>
          <w:color w:val="000000" w:themeColor="text1"/>
        </w:rPr>
        <w:t xml:space="preserve"> </w:t>
      </w:r>
      <w:r w:rsidR="719602F7" w:rsidRPr="12EF884F">
        <w:rPr>
          <w:rStyle w:val="normaltextrun"/>
          <w:color w:val="000000" w:themeColor="text1"/>
        </w:rPr>
        <w:t>–</w:t>
      </w:r>
      <w:r w:rsidRPr="12EF884F">
        <w:rPr>
          <w:rStyle w:val="normaltextrun"/>
          <w:color w:val="000000" w:themeColor="text1"/>
        </w:rPr>
        <w:t xml:space="preserve"> Project household with a functioning cookstove that is in use on average once or more per week during a given monitoring period, confirmed through both self-reporting and visual inspection, or through SUMs.   </w:t>
      </w:r>
    </w:p>
    <w:p w14:paraId="270AB50E" w14:textId="4DBB8224" w:rsidR="00E65C93" w:rsidRDefault="6D2EE848" w:rsidP="12EF884F">
      <w:pPr>
        <w:pStyle w:val="SDMSubPara1"/>
        <w:rPr>
          <w:rStyle w:val="normaltextrun"/>
          <w:color w:val="000000" w:themeColor="text1"/>
        </w:rPr>
      </w:pPr>
      <w:r w:rsidRPr="12EF884F">
        <w:rPr>
          <w:rStyle w:val="normaltextrun"/>
          <w:b/>
          <w:bCs/>
          <w:color w:val="000000" w:themeColor="text1"/>
        </w:rPr>
        <w:t>Usage</w:t>
      </w:r>
      <w:r w:rsidR="3494BB8D" w:rsidRPr="12EF884F">
        <w:rPr>
          <w:rStyle w:val="normaltextrun"/>
          <w:color w:val="000000" w:themeColor="text1"/>
        </w:rPr>
        <w:t xml:space="preserve"> –</w:t>
      </w:r>
      <w:r w:rsidRPr="12EF884F">
        <w:rPr>
          <w:rStyle w:val="normaltextrun"/>
          <w:color w:val="000000" w:themeColor="text1"/>
        </w:rPr>
        <w:t xml:space="preserve"> Frequency or quantity of cooking with a given technology. In the context of this methodology, usage is addressed in the form of annual usage surveys, which determine primary fuel type and household size, confirm whether a household meets “User household” criteria, and determine the proportion of cooking done on baseline cookstoves for back-calculating baseline energy </w:t>
      </w:r>
      <w:r w:rsidRPr="12EF884F">
        <w:rPr>
          <w:rStyle w:val="normaltextrun"/>
          <w:color w:val="000000" w:themeColor="text1"/>
        </w:rPr>
        <w:lastRenderedPageBreak/>
        <w:t xml:space="preserve">consumption for CTEC projects. Usage is also addressed in the context of Hawthorne effect calculations in the form of number of cooking events per day. Usage cannot be used as a substitute for direct fuel consumption measurements, which are required for calculating all project emissions and emission reductions.  </w:t>
      </w:r>
    </w:p>
    <w:p w14:paraId="051A7940" w14:textId="31E0A296" w:rsidR="00E65C93" w:rsidRDefault="18A57BAA" w:rsidP="12EF884F">
      <w:pPr>
        <w:pStyle w:val="SDMSubPara1"/>
        <w:rPr>
          <w:rStyle w:val="normaltextrun"/>
          <w:color w:val="000000" w:themeColor="text1"/>
        </w:rPr>
      </w:pPr>
      <w:r w:rsidRPr="12EF884F">
        <w:rPr>
          <w:rStyle w:val="normaltextrun"/>
          <w:b/>
          <w:bCs/>
          <w:color w:val="000000" w:themeColor="text1"/>
        </w:rPr>
        <w:t>Validation and Verification Body (VVB)</w:t>
      </w:r>
      <w:r w:rsidRPr="12EF884F">
        <w:rPr>
          <w:rStyle w:val="normaltextrun"/>
          <w:color w:val="000000" w:themeColor="text1"/>
        </w:rPr>
        <w:t xml:space="preserve"> – Accredited, independent organization that is responsible for auditing emission reductions in GHG emissions mitigation projects to ensure conformity with relevant standards and regulations.</w:t>
      </w:r>
    </w:p>
    <w:p w14:paraId="752AD278" w14:textId="2D389BF8" w:rsidR="00E65C93" w:rsidRDefault="18A57BAA" w:rsidP="12EF884F">
      <w:pPr>
        <w:pStyle w:val="SDMSubPara1"/>
        <w:rPr>
          <w:color w:val="000000" w:themeColor="text1"/>
        </w:rPr>
      </w:pPr>
      <w:r w:rsidRPr="12EF884F">
        <w:rPr>
          <w:rStyle w:val="contentcontrolboundarysink"/>
          <w:color w:val="000000" w:themeColor="text1"/>
        </w:rPr>
        <w:t>​​</w:t>
      </w:r>
      <w:r w:rsidRPr="12EF884F">
        <w:rPr>
          <w:rStyle w:val="normaltextrun"/>
          <w:b/>
          <w:bCs/>
          <w:color w:val="000000" w:themeColor="text1"/>
        </w:rPr>
        <w:t>Wood-to-charcoal conversion factor –</w:t>
      </w:r>
      <w:r w:rsidRPr="12EF884F">
        <w:rPr>
          <w:rStyle w:val="normaltextrun"/>
          <w:color w:val="000000" w:themeColor="text1"/>
        </w:rPr>
        <w:t xml:space="preserve"> Expresses the amount of wood needed to produce a standard quantity of charcoal, typically expressed as a ratio of the mass of air-dry or oven-dry wood input per mass of charcoal output. This factor is relevant only for projects that use charcoal in the baseline and/or project scenarios. This methodology uses a 6:1 conversion factor, which is incorporated into upstream emission factor values (as noted in </w:t>
      </w:r>
      <w:hyperlink w:anchor="A4" w:history="1">
        <w:r w:rsidRPr="00122D59">
          <w:rPr>
            <w:rStyle w:val="Hyperlink"/>
          </w:rPr>
          <w:t>Appendix 4: Upstream Emissions from Other Fuels</w:t>
        </w:r>
      </w:hyperlink>
      <w:r w:rsidRPr="00122D59">
        <w:rPr>
          <w:rStyle w:val="normaltextrun"/>
          <w:color w:val="000000" w:themeColor="text1"/>
        </w:rPr>
        <w:t>),</w:t>
      </w:r>
      <w:r w:rsidRPr="12EF884F">
        <w:rPr>
          <w:rStyle w:val="normaltextrun"/>
          <w:color w:val="000000" w:themeColor="text1"/>
        </w:rPr>
        <w:t xml:space="preserve"> and </w:t>
      </w:r>
      <w:proofErr w:type="spellStart"/>
      <w:r w:rsidRPr="12EF884F">
        <w:rPr>
          <w:rStyle w:val="normaltextrun"/>
          <w:color w:val="000000" w:themeColor="text1"/>
        </w:rPr>
        <w:t>fNRB</w:t>
      </w:r>
      <w:proofErr w:type="spellEnd"/>
      <w:r w:rsidRPr="12EF884F">
        <w:rPr>
          <w:rStyle w:val="normaltextrun"/>
          <w:color w:val="000000" w:themeColor="text1"/>
        </w:rPr>
        <w:t xml:space="preserve"> (as noted in the </w:t>
      </w:r>
      <w:proofErr w:type="spellStart"/>
      <w:r w:rsidRPr="12EF884F">
        <w:rPr>
          <w:rStyle w:val="normaltextrun"/>
          <w:color w:val="000000" w:themeColor="text1"/>
        </w:rPr>
        <w:t>fNRB</w:t>
      </w:r>
      <w:proofErr w:type="spellEnd"/>
      <w:r w:rsidRPr="12EF884F">
        <w:rPr>
          <w:rStyle w:val="normaltextrun"/>
          <w:color w:val="000000" w:themeColor="text1"/>
        </w:rPr>
        <w:t xml:space="preserve"> parameter table in </w:t>
      </w:r>
      <w:hyperlink w:anchor="S14" w:history="1">
        <w:r w:rsidRPr="00D47D9F">
          <w:rPr>
            <w:rStyle w:val="Hyperlink"/>
          </w:rPr>
          <w:t xml:space="preserve">section </w:t>
        </w:r>
        <w:r w:rsidR="00BE1FE5" w:rsidRPr="00D47D9F">
          <w:rPr>
            <w:rStyle w:val="Hyperlink"/>
          </w:rPr>
          <w:t>14</w:t>
        </w:r>
      </w:hyperlink>
      <w:r w:rsidRPr="00D47D9F">
        <w:rPr>
          <w:rStyle w:val="normaltextrun"/>
          <w:color w:val="000000" w:themeColor="text1"/>
        </w:rPr>
        <w:t xml:space="preserve">). </w:t>
      </w:r>
      <w:r w:rsidRPr="00D47D9F">
        <w:rPr>
          <w:rFonts w:eastAsia="Arial Nova"/>
        </w:rPr>
        <w:t>Nonetheless</w:t>
      </w:r>
      <w:r w:rsidRPr="12EF884F">
        <w:rPr>
          <w:rFonts w:eastAsia="Arial Nova"/>
        </w:rPr>
        <w:t xml:space="preserve">, the methodology also includes emission factors based on a 4:1 conversion factor, to enable ICVCM Core Carbon Principles (CCP) eligibility. </w:t>
      </w:r>
      <w:r w:rsidRPr="12EF884F">
        <w:rPr>
          <w:rStyle w:val="contentcontrolboundarysink"/>
          <w:color w:val="000000" w:themeColor="text1"/>
        </w:rPr>
        <w:t>​</w:t>
      </w:r>
    </w:p>
    <w:p w14:paraId="7B511305" w14:textId="2D936605" w:rsidR="007302F1" w:rsidRDefault="18A57BAA" w:rsidP="004B510F">
      <w:pPr>
        <w:pStyle w:val="SDMSubPara1"/>
        <w:rPr>
          <w:rStyle w:val="normaltextrun"/>
          <w:color w:val="000000" w:themeColor="text1"/>
        </w:rPr>
      </w:pPr>
      <w:r w:rsidRPr="12EF884F">
        <w:rPr>
          <w:rStyle w:val="contentcontrolboundarysink"/>
          <w:color w:val="000000" w:themeColor="text1"/>
        </w:rPr>
        <w:t>​​</w:t>
      </w:r>
      <w:r w:rsidR="00503504" w:rsidRPr="12EF884F">
        <w:rPr>
          <w:rStyle w:val="normaltextrun"/>
          <w:b/>
          <w:color w:val="000000" w:themeColor="text1"/>
        </w:rPr>
        <w:t>Woody biomass</w:t>
      </w:r>
      <w:r w:rsidRPr="12EF884F">
        <w:rPr>
          <w:rStyle w:val="normaltextrun"/>
          <w:b/>
          <w:bCs/>
          <w:color w:val="000000" w:themeColor="text1"/>
        </w:rPr>
        <w:t xml:space="preserve"> –</w:t>
      </w:r>
      <w:r w:rsidR="00503504" w:rsidRPr="12EF884F">
        <w:rPr>
          <w:rStyle w:val="normaltextrun"/>
          <w:color w:val="000000" w:themeColor="text1"/>
        </w:rPr>
        <w:t xml:space="preserve"> Any and all wood, </w:t>
      </w:r>
      <w:proofErr w:type="gramStart"/>
      <w:r w:rsidR="00503504" w:rsidRPr="12EF884F">
        <w:rPr>
          <w:rStyle w:val="normaltextrun"/>
          <w:color w:val="000000" w:themeColor="text1"/>
        </w:rPr>
        <w:t>whether or not</w:t>
      </w:r>
      <w:proofErr w:type="gramEnd"/>
      <w:r w:rsidR="00503504" w:rsidRPr="12EF884F">
        <w:rPr>
          <w:rStyle w:val="normaltextrun"/>
          <w:color w:val="000000" w:themeColor="text1"/>
        </w:rPr>
        <w:t xml:space="preserve"> it is harvested and used as a fuel, including live trees and shrubs, and wood harvested for any purpose.​​ </w:t>
      </w:r>
      <w:r w:rsidRPr="12EF884F">
        <w:rPr>
          <w:rStyle w:val="normaltextrun"/>
          <w:color w:val="000000" w:themeColor="text1"/>
        </w:rPr>
        <w:t>​</w:t>
      </w:r>
    </w:p>
    <w:p w14:paraId="42427506" w14:textId="77777777" w:rsidR="004B510F" w:rsidRPr="004B510F" w:rsidRDefault="004B510F" w:rsidP="004B510F">
      <w:pPr>
        <w:pStyle w:val="SDMSubPara1"/>
        <w:numPr>
          <w:ilvl w:val="0"/>
          <w:numId w:val="0"/>
        </w:numPr>
        <w:ind w:left="1418"/>
        <w:rPr>
          <w:color w:val="000000" w:themeColor="text1"/>
        </w:rPr>
      </w:pPr>
    </w:p>
    <w:p w14:paraId="26512E0B" w14:textId="77777777" w:rsidR="007302F1" w:rsidRPr="00B33BB6" w:rsidRDefault="007302F1" w:rsidP="007302F1">
      <w:pPr>
        <w:pStyle w:val="paragraph"/>
        <w:spacing w:before="0" w:beforeAutospacing="0" w:after="0" w:afterAutospacing="0"/>
        <w:ind w:left="45"/>
        <w:textAlignment w:val="baseline"/>
        <w:rPr>
          <w:rStyle w:val="eop"/>
          <w:rFonts w:ascii="Arial" w:hAnsi="Arial" w:cs="Arial"/>
          <w:color w:val="000000" w:themeColor="text1"/>
          <w:sz w:val="22"/>
          <w:szCs w:val="22"/>
        </w:rPr>
      </w:pPr>
      <w:r w:rsidRPr="00B33BB6">
        <w:rPr>
          <w:rStyle w:val="normaltextrun"/>
          <w:rFonts w:ascii="Arial" w:hAnsi="Arial" w:cs="Arial"/>
          <w:b/>
          <w:i/>
          <w:color w:val="000000" w:themeColor="text1"/>
          <w:sz w:val="22"/>
          <w:szCs w:val="22"/>
        </w:rPr>
        <w:t>Acronyms:</w:t>
      </w:r>
      <w:r w:rsidRPr="00B33BB6">
        <w:rPr>
          <w:rStyle w:val="contentcontrolboundarysink"/>
          <w:rFonts w:ascii="Arial" w:hAnsi="Arial" w:cs="Arial"/>
          <w:b/>
          <w:i/>
          <w:color w:val="000000" w:themeColor="text1"/>
          <w:sz w:val="22"/>
          <w:szCs w:val="22"/>
        </w:rPr>
        <w:t>​​</w:t>
      </w:r>
      <w:r w:rsidRPr="00B33BB6">
        <w:rPr>
          <w:rStyle w:val="eop"/>
          <w:rFonts w:ascii="Arial" w:hAnsi="Arial" w:cs="Arial"/>
          <w:color w:val="000000" w:themeColor="text1"/>
          <w:sz w:val="22"/>
          <w:szCs w:val="22"/>
        </w:rPr>
        <w:t> </w:t>
      </w:r>
    </w:p>
    <w:p w14:paraId="136010E6" w14:textId="77777777" w:rsidR="007302F1" w:rsidRPr="00B33BB6" w:rsidRDefault="007302F1" w:rsidP="007302F1">
      <w:pPr>
        <w:pStyle w:val="paragraph"/>
        <w:spacing w:before="0" w:beforeAutospacing="0" w:after="0" w:afterAutospacing="0"/>
        <w:ind w:left="45"/>
        <w:textAlignment w:val="baseline"/>
        <w:rPr>
          <w:rFonts w:ascii="Arial" w:hAnsi="Arial" w:cs="Arial"/>
          <w:sz w:val="22"/>
          <w:szCs w:val="22"/>
        </w:rPr>
      </w:pPr>
    </w:p>
    <w:tbl>
      <w:tblPr>
        <w:tblW w:w="9570" w:type="dxa"/>
        <w:tblInd w:w="57"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ayout w:type="fixed"/>
        <w:tblCellMar>
          <w:top w:w="100" w:type="dxa"/>
          <w:left w:w="100" w:type="dxa"/>
          <w:bottom w:w="100" w:type="dxa"/>
          <w:right w:w="100" w:type="dxa"/>
        </w:tblCellMar>
        <w:tblLook w:val="0600" w:firstRow="0" w:lastRow="0" w:firstColumn="0" w:lastColumn="0" w:noHBand="1" w:noVBand="1"/>
      </w:tblPr>
      <w:tblGrid>
        <w:gridCol w:w="1425"/>
        <w:gridCol w:w="8145"/>
      </w:tblGrid>
      <w:tr w:rsidR="007302F1" w:rsidRPr="004B510F" w14:paraId="6E8904D0"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6775042B"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4C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0F2DE3CE"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Clean Cooking and Climate Consortium </w:t>
            </w:r>
          </w:p>
        </w:tc>
      </w:tr>
      <w:tr w:rsidR="007302F1" w:rsidRPr="004B510F" w14:paraId="352E1DFF"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198A9B7F" w14:textId="77777777" w:rsidR="007302F1" w:rsidRPr="004B510F" w:rsidRDefault="007302F1">
            <w:pPr>
              <w:widowControl w:val="0"/>
              <w:rPr>
                <w:rFonts w:eastAsia="Arial" w:cs="Arial"/>
                <w:color w:val="000000"/>
                <w:szCs w:val="22"/>
              </w:rPr>
            </w:pPr>
            <w:r w:rsidRPr="004B510F">
              <w:rPr>
                <w:rFonts w:eastAsia="Arial" w:cs="Arial"/>
                <w:color w:val="000000"/>
                <w:szCs w:val="22"/>
              </w:rPr>
              <w:t>BAT</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757C1B3E" w14:textId="77777777" w:rsidR="007302F1" w:rsidRPr="004B510F" w:rsidRDefault="007302F1">
            <w:pPr>
              <w:widowControl w:val="0"/>
              <w:rPr>
                <w:rFonts w:eastAsia="Arial" w:cs="Arial"/>
                <w:color w:val="000000"/>
                <w:szCs w:val="22"/>
              </w:rPr>
            </w:pPr>
            <w:r w:rsidRPr="004B510F">
              <w:rPr>
                <w:rFonts w:eastAsia="Arial" w:cs="Arial"/>
                <w:color w:val="000000"/>
                <w:szCs w:val="22"/>
              </w:rPr>
              <w:t>Best Available Technology</w:t>
            </w:r>
          </w:p>
        </w:tc>
      </w:tr>
      <w:tr w:rsidR="007302F1" w:rsidRPr="004B510F" w14:paraId="0C78E7CB"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45419EDF"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CCT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0178A5AF"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Controlled Cooking Test </w:t>
            </w:r>
          </w:p>
        </w:tc>
      </w:tr>
      <w:tr w:rsidR="007302F1" w:rsidRPr="004B510F" w14:paraId="5134B05D"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15611996"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CLEAR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491F4F5E"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Comprehensive Lowered Emission Assessment and Reporting Methodology for Cooking Energy Transitions </w:t>
            </w:r>
          </w:p>
        </w:tc>
      </w:tr>
      <w:tr w:rsidR="007302F1" w:rsidRPr="004B510F" w14:paraId="01EA33AF"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6D5EAE88"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CTEC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645A93EF"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Continuously Tracked Energy Consumption </w:t>
            </w:r>
          </w:p>
        </w:tc>
      </w:tr>
      <w:tr w:rsidR="007302F1" w:rsidRPr="004B510F" w14:paraId="1E00B6FB" w14:textId="77777777" w:rsidTr="5808F709">
        <w:trPr>
          <w:trHeight w:val="300"/>
        </w:trPr>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10CD7DB8" w14:textId="77777777" w:rsidR="007302F1" w:rsidRPr="004B510F" w:rsidRDefault="007302F1">
            <w:pPr>
              <w:widowControl w:val="0"/>
              <w:rPr>
                <w:rFonts w:eastAsia="Arial" w:cs="Arial"/>
                <w:color w:val="000000"/>
                <w:szCs w:val="22"/>
              </w:rPr>
            </w:pPr>
            <w:r w:rsidRPr="004B510F">
              <w:rPr>
                <w:rFonts w:eastAsia="Arial" w:cs="Arial"/>
                <w:color w:val="000000"/>
                <w:szCs w:val="22"/>
              </w:rPr>
              <w:t>CH</w:t>
            </w:r>
            <w:r w:rsidRPr="007F7BC2">
              <w:rPr>
                <w:rFonts w:eastAsia="Arial" w:cs="Arial"/>
                <w:color w:val="000000"/>
                <w:szCs w:val="22"/>
                <w:vertAlign w:val="subscript"/>
              </w:rPr>
              <w:t xml:space="preserve">4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365CB7B7"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Methane </w:t>
            </w:r>
          </w:p>
        </w:tc>
      </w:tr>
      <w:tr w:rsidR="007302F1" w:rsidRPr="004B510F" w14:paraId="6AABD638"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1C788A4F" w14:textId="77777777" w:rsidR="007302F1" w:rsidRPr="004B510F" w:rsidRDefault="007302F1">
            <w:pPr>
              <w:widowControl w:val="0"/>
              <w:rPr>
                <w:rFonts w:eastAsia="Arial" w:cs="Arial"/>
                <w:color w:val="000000"/>
                <w:szCs w:val="22"/>
              </w:rPr>
            </w:pPr>
            <w:r w:rsidRPr="004B510F">
              <w:rPr>
                <w:rFonts w:eastAsia="Arial" w:cs="Arial"/>
                <w:color w:val="000000"/>
                <w:szCs w:val="22"/>
              </w:rPr>
              <w:t>CO</w:t>
            </w:r>
            <w:r w:rsidRPr="004B510F">
              <w:rPr>
                <w:rFonts w:eastAsia="Arial" w:cs="Arial"/>
                <w:color w:val="000000"/>
                <w:szCs w:val="22"/>
                <w:vertAlign w:val="subscript"/>
              </w:rPr>
              <w:t>2</w:t>
            </w:r>
            <w:r w:rsidRPr="004B510F">
              <w:rPr>
                <w:rFonts w:eastAsia="Arial" w:cs="Arial"/>
                <w:color w:val="000000"/>
                <w:szCs w:val="22"/>
              </w:rPr>
              <w:t xml:space="preserve">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575ECB58"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Carbon dioxide </w:t>
            </w:r>
          </w:p>
        </w:tc>
      </w:tr>
      <w:tr w:rsidR="007302F1" w:rsidRPr="004B510F" w14:paraId="2562F3F1"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5D4607B8" w14:textId="77777777" w:rsidR="007302F1" w:rsidRPr="004B510F" w:rsidRDefault="007302F1">
            <w:pPr>
              <w:widowControl w:val="0"/>
              <w:rPr>
                <w:rFonts w:eastAsia="Arial" w:cs="Arial"/>
                <w:color w:val="000000"/>
                <w:szCs w:val="22"/>
              </w:rPr>
            </w:pPr>
            <w:r w:rsidRPr="004B510F">
              <w:rPr>
                <w:rFonts w:eastAsia="Arial" w:cs="Arial"/>
                <w:color w:val="000000"/>
                <w:szCs w:val="22"/>
              </w:rPr>
              <w:t>CO</w:t>
            </w:r>
            <w:r w:rsidRPr="004B510F">
              <w:rPr>
                <w:rFonts w:eastAsia="Arial" w:cs="Arial"/>
                <w:color w:val="000000"/>
                <w:szCs w:val="22"/>
                <w:vertAlign w:val="subscript"/>
              </w:rPr>
              <w:t>2</w:t>
            </w:r>
            <w:r w:rsidRPr="004B510F">
              <w:rPr>
                <w:rFonts w:eastAsia="Arial" w:cs="Arial"/>
                <w:color w:val="000000"/>
                <w:szCs w:val="22"/>
              </w:rPr>
              <w:t xml:space="preserve">e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62A314D4"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Carbon dioxide equivalent </w:t>
            </w:r>
          </w:p>
        </w:tc>
      </w:tr>
      <w:sdt>
        <w:sdtPr>
          <w:rPr>
            <w:rFonts w:cs="Arial"/>
            <w:szCs w:val="22"/>
          </w:rPr>
          <w:tag w:val="goog_rdk_370"/>
          <w:id w:val="105323228"/>
        </w:sdtPr>
        <w:sdtContent>
          <w:tr w:rsidR="007302F1" w:rsidRPr="004B510F" w14:paraId="00CF301D" w14:textId="77777777">
            <w:tc>
              <w:tcPr>
                <w:tcW w:w="1425" w:type="dxa"/>
                <w:tcBorders>
                  <w:top w:val="single" w:sz="5" w:space="0" w:color="000000"/>
                  <w:left w:val="single" w:sz="5" w:space="0" w:color="000000"/>
                  <w:bottom w:val="single" w:sz="5" w:space="0" w:color="000000"/>
                  <w:right w:val="single" w:sz="5" w:space="0" w:color="000000"/>
                </w:tcBorders>
                <w:tcMar>
                  <w:top w:w="0" w:type="dxa"/>
                  <w:left w:w="0" w:type="dxa"/>
                  <w:bottom w:w="0" w:type="dxa"/>
                  <w:right w:w="0" w:type="dxa"/>
                </w:tcMar>
              </w:tcPr>
              <w:p w14:paraId="60351FBE" w14:textId="77777777" w:rsidR="007302F1" w:rsidRPr="004B510F" w:rsidRDefault="007302F1">
                <w:pPr>
                  <w:widowControl w:val="0"/>
                  <w:rPr>
                    <w:rFonts w:eastAsia="Arial" w:cs="Arial"/>
                    <w:color w:val="000000"/>
                    <w:szCs w:val="22"/>
                  </w:rPr>
                </w:pPr>
                <w:proofErr w:type="spellStart"/>
                <w:r w:rsidRPr="004B510F">
                  <w:rPr>
                    <w:rFonts w:eastAsia="Arial" w:cs="Arial"/>
                    <w:color w:val="000000"/>
                    <w:szCs w:val="22"/>
                  </w:rPr>
                  <w:t>fNRB</w:t>
                </w:r>
                <w:proofErr w:type="spellEnd"/>
                <w:r w:rsidRPr="004B510F">
                  <w:rPr>
                    <w:rFonts w:eastAsia="Arial" w:cs="Arial"/>
                    <w:color w:val="000000"/>
                    <w:szCs w:val="22"/>
                  </w:rPr>
                  <w:t xml:space="preserve"> </w:t>
                </w:r>
              </w:p>
            </w:tc>
            <w:tc>
              <w:tcPr>
                <w:tcW w:w="8145" w:type="dxa"/>
                <w:tcBorders>
                  <w:top w:val="single" w:sz="5" w:space="0" w:color="000000"/>
                  <w:left w:val="single" w:sz="5" w:space="0" w:color="000000"/>
                  <w:bottom w:val="single" w:sz="5" w:space="0" w:color="000000"/>
                  <w:right w:val="single" w:sz="5" w:space="0" w:color="000000"/>
                </w:tcBorders>
                <w:tcMar>
                  <w:top w:w="0" w:type="dxa"/>
                  <w:left w:w="0" w:type="dxa"/>
                  <w:bottom w:w="0" w:type="dxa"/>
                  <w:right w:w="0" w:type="dxa"/>
                </w:tcMar>
              </w:tcPr>
              <w:p w14:paraId="710FA8E4"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Fraction of Non-Renewable Biomass </w:t>
                </w:r>
              </w:p>
            </w:tc>
          </w:tr>
        </w:sdtContent>
      </w:sdt>
      <w:tr w:rsidR="007302F1" w:rsidRPr="004B510F" w14:paraId="290F4E5A"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277570A0"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GHG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5F6E646B"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Greenhouse Gas </w:t>
            </w:r>
          </w:p>
        </w:tc>
      </w:tr>
      <w:tr w:rsidR="007302F1" w:rsidRPr="004B510F" w14:paraId="2DE98A13"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4B3D9D06"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ISO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15BDD037"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International Organization for Standardization </w:t>
            </w:r>
          </w:p>
        </w:tc>
      </w:tr>
      <w:tr w:rsidR="007302F1" w:rsidRPr="004B510F" w14:paraId="53973234"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7362C84D"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KPT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2FAB242A"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Kitchen Performance Test </w:t>
            </w:r>
          </w:p>
        </w:tc>
      </w:tr>
      <w:tr w:rsidR="007302F1" w:rsidRPr="004B510F" w14:paraId="28EB0E70"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6A6DD1A6"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kWh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1210C891"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Kilowatt-hour </w:t>
            </w:r>
          </w:p>
        </w:tc>
      </w:tr>
      <w:tr w:rsidR="000C3A32" w:rsidRPr="004B510F" w14:paraId="302CC8DC"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7BD10651" w14:textId="568E2912" w:rsidR="000C3A32" w:rsidRPr="004B510F" w:rsidRDefault="000C3A32">
            <w:pPr>
              <w:widowControl w:val="0"/>
              <w:rPr>
                <w:rFonts w:eastAsia="Arial" w:cs="Arial"/>
                <w:color w:val="000000"/>
                <w:szCs w:val="22"/>
              </w:rPr>
            </w:pPr>
            <w:r>
              <w:rPr>
                <w:rFonts w:eastAsia="Arial" w:cs="Arial"/>
                <w:color w:val="000000"/>
                <w:szCs w:val="22"/>
              </w:rPr>
              <w:t>LMIC</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1CEC4C03" w14:textId="3CC82AE8" w:rsidR="000C3A32" w:rsidRPr="004B510F" w:rsidRDefault="000C3A32">
            <w:pPr>
              <w:widowControl w:val="0"/>
              <w:rPr>
                <w:rFonts w:eastAsia="Arial" w:cs="Arial"/>
                <w:color w:val="000000"/>
                <w:szCs w:val="22"/>
              </w:rPr>
            </w:pPr>
            <w:r>
              <w:rPr>
                <w:rFonts w:eastAsia="Arial" w:cs="Arial"/>
                <w:color w:val="000000"/>
                <w:szCs w:val="22"/>
              </w:rPr>
              <w:t>Low- and Middle-Income Country</w:t>
            </w:r>
          </w:p>
        </w:tc>
      </w:tr>
      <w:tr w:rsidR="007302F1" w:rsidRPr="004B510F" w14:paraId="0E83DD7B"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5C959529"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LPG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718821C1"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Liquified Petroleum Gas </w:t>
            </w:r>
          </w:p>
        </w:tc>
      </w:tr>
      <w:tr w:rsidR="007302F1" w:rsidRPr="004B510F" w14:paraId="2BF7FC0A"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73D46E9A"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MJ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37A40F9E"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Megajoule </w:t>
            </w:r>
          </w:p>
        </w:tc>
      </w:tr>
      <w:tr w:rsidR="007302F1" w:rsidRPr="004B510F" w14:paraId="58F34BA8"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638CC4BA" w14:textId="77777777" w:rsidR="007302F1" w:rsidRPr="004B510F" w:rsidRDefault="007302F1">
            <w:pPr>
              <w:widowControl w:val="0"/>
              <w:rPr>
                <w:rFonts w:eastAsia="Arial" w:cs="Arial"/>
                <w:color w:val="000000"/>
                <w:szCs w:val="22"/>
              </w:rPr>
            </w:pPr>
            <w:r w:rsidRPr="004B510F">
              <w:rPr>
                <w:rFonts w:eastAsia="Arial" w:cs="Arial"/>
                <w:color w:val="000000"/>
                <w:szCs w:val="22"/>
              </w:rPr>
              <w:t>N</w:t>
            </w:r>
            <w:r w:rsidRPr="004B510F">
              <w:rPr>
                <w:rFonts w:eastAsia="Arial" w:cs="Arial"/>
                <w:color w:val="000000"/>
                <w:szCs w:val="22"/>
                <w:vertAlign w:val="subscript"/>
              </w:rPr>
              <w:t>2</w:t>
            </w:r>
            <w:r w:rsidRPr="004B510F">
              <w:rPr>
                <w:rFonts w:eastAsia="Arial" w:cs="Arial"/>
                <w:color w:val="000000"/>
                <w:szCs w:val="22"/>
              </w:rPr>
              <w:t xml:space="preserve">O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2A63FD25"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Nitrous Oxide </w:t>
            </w:r>
          </w:p>
        </w:tc>
      </w:tr>
      <w:tr w:rsidR="007302F1" w:rsidRPr="004B510F" w14:paraId="19FF0BEA"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08AA565C"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NCV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09BFB13C"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Net Calorific Value </w:t>
            </w:r>
          </w:p>
        </w:tc>
      </w:tr>
      <w:tr w:rsidR="007302F1" w:rsidRPr="004B510F" w14:paraId="42C1E7DF"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6878BD90"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PTDs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7B0D27EF"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Project Technology Days </w:t>
            </w:r>
          </w:p>
        </w:tc>
      </w:tr>
      <w:tr w:rsidR="007302F1" w:rsidRPr="004B510F" w14:paraId="47715931"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23E92D01"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SUM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437054C8"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Stove Use Monitor </w:t>
            </w:r>
          </w:p>
        </w:tc>
      </w:tr>
      <w:tr w:rsidR="007302F1" w:rsidRPr="004B510F" w14:paraId="7C5F6B60"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62779327"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T&amp;D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20551DA8"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Transmission and Distribution </w:t>
            </w:r>
          </w:p>
        </w:tc>
      </w:tr>
      <w:tr w:rsidR="007302F1" w:rsidRPr="004B510F" w14:paraId="2F149028"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73A74EAA"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TJ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7481B548"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Terajoule </w:t>
            </w:r>
          </w:p>
        </w:tc>
      </w:tr>
      <w:tr w:rsidR="007302F1" w:rsidRPr="004B510F" w14:paraId="3CA24B44" w14:textId="77777777">
        <w:tc>
          <w:tcPr>
            <w:tcW w:w="142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42EB11E4"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VVB </w:t>
            </w:r>
          </w:p>
        </w:tc>
        <w:tc>
          <w:tcPr>
            <w:tcW w:w="8145" w:type="dxa"/>
            <w:tcBorders>
              <w:top w:val="single" w:sz="5" w:space="0" w:color="000000" w:themeColor="text1"/>
              <w:left w:val="single" w:sz="5" w:space="0" w:color="000000" w:themeColor="text1"/>
              <w:bottom w:val="single" w:sz="5" w:space="0" w:color="000000" w:themeColor="text1"/>
              <w:right w:val="single" w:sz="5" w:space="0" w:color="000000" w:themeColor="text1"/>
            </w:tcBorders>
            <w:tcMar>
              <w:top w:w="0" w:type="dxa"/>
              <w:left w:w="0" w:type="dxa"/>
              <w:bottom w:w="0" w:type="dxa"/>
              <w:right w:w="0" w:type="dxa"/>
            </w:tcMar>
          </w:tcPr>
          <w:p w14:paraId="4F1A3CFB" w14:textId="77777777" w:rsidR="007302F1" w:rsidRPr="004B510F" w:rsidRDefault="007302F1">
            <w:pPr>
              <w:widowControl w:val="0"/>
              <w:rPr>
                <w:rFonts w:eastAsia="Arial" w:cs="Arial"/>
                <w:color w:val="000000"/>
                <w:szCs w:val="22"/>
              </w:rPr>
            </w:pPr>
            <w:r w:rsidRPr="004B510F">
              <w:rPr>
                <w:rFonts w:eastAsia="Arial" w:cs="Arial"/>
                <w:color w:val="000000"/>
                <w:szCs w:val="22"/>
              </w:rPr>
              <w:t xml:space="preserve">Validation and Verification Body </w:t>
            </w:r>
          </w:p>
        </w:tc>
      </w:tr>
    </w:tbl>
    <w:p w14:paraId="392E40A0" w14:textId="77777777" w:rsidR="007302F1" w:rsidRPr="00B33BB6" w:rsidRDefault="007302F1" w:rsidP="007302F1">
      <w:pPr>
        <w:pBdr>
          <w:top w:val="nil"/>
          <w:left w:val="nil"/>
          <w:bottom w:val="nil"/>
          <w:right w:val="nil"/>
          <w:between w:val="nil"/>
        </w:pBdr>
        <w:tabs>
          <w:tab w:val="left" w:pos="510"/>
        </w:tabs>
        <w:spacing w:before="60" w:after="60"/>
        <w:rPr>
          <w:rFonts w:eastAsia="Arial" w:cs="Arial"/>
          <w:color w:val="000000"/>
          <w:sz w:val="20"/>
        </w:rPr>
      </w:pPr>
    </w:p>
    <w:p w14:paraId="09C4C8AB" w14:textId="77777777" w:rsidR="004E0F4B" w:rsidRDefault="004E0F4B" w:rsidP="00620061">
      <w:pPr>
        <w:pStyle w:val="SDMHead1"/>
        <w:numPr>
          <w:ilvl w:val="0"/>
          <w:numId w:val="18"/>
        </w:numPr>
      </w:pPr>
      <w:r>
        <w:lastRenderedPageBreak/>
        <w:t>Normative references</w:t>
      </w:r>
    </w:p>
    <w:p w14:paraId="7A87C24A" w14:textId="43FB4C24" w:rsidR="006D61AF" w:rsidRDefault="004E0F4B" w:rsidP="00B83E0C">
      <w:pPr>
        <w:pStyle w:val="SDMPara"/>
      </w:pPr>
      <w:r>
        <w:t xml:space="preserve">This </w:t>
      </w:r>
      <w:r w:rsidR="00223B3B">
        <w:t xml:space="preserve">proposed </w:t>
      </w:r>
      <w:r>
        <w:t xml:space="preserve">baseline and monitoring methodology is based on the following proposed new </w:t>
      </w:r>
      <w:r w:rsidR="00223B3B">
        <w:t xml:space="preserve">methodologies </w:t>
      </w:r>
      <w:r>
        <w:t>and</w:t>
      </w:r>
      <w:r w:rsidR="00223B3B">
        <w:t>/or</w:t>
      </w:r>
      <w:r>
        <w:t xml:space="preserve"> approved </w:t>
      </w:r>
      <w:r w:rsidR="00223B3B">
        <w:t xml:space="preserve">or </w:t>
      </w:r>
      <w:r>
        <w:t>consolidated methodologies:</w:t>
      </w:r>
    </w:p>
    <w:p w14:paraId="41C0448A" w14:textId="77777777" w:rsidR="006D61AF" w:rsidRPr="006D61AF" w:rsidRDefault="006D61AF" w:rsidP="006D61AF">
      <w:pPr>
        <w:pStyle w:val="SDMSubPara1"/>
        <w:pBdr>
          <w:top w:val="nil"/>
          <w:left w:val="nil"/>
          <w:bottom w:val="nil"/>
          <w:right w:val="nil"/>
          <w:between w:val="nil"/>
        </w:pBdr>
        <w:tabs>
          <w:tab w:val="left" w:pos="510"/>
        </w:tabs>
        <w:spacing w:before="60" w:after="60"/>
        <w:rPr>
          <w:rFonts w:eastAsia="Arial"/>
          <w:iCs/>
          <w:color w:val="000000"/>
        </w:rPr>
      </w:pPr>
      <w:r w:rsidRPr="006D61AF">
        <w:rPr>
          <w:rFonts w:eastAsia="Arial"/>
          <w:iCs/>
          <w:color w:val="000000"/>
        </w:rPr>
        <w:t xml:space="preserve">There are no approved Article 6.4 cookstove methodologies or tools yet. </w:t>
      </w:r>
    </w:p>
    <w:p w14:paraId="634A4CC6" w14:textId="77777777" w:rsidR="00ED6C93" w:rsidRPr="00100C73" w:rsidRDefault="00ED6C93" w:rsidP="00100C73">
      <w:pPr>
        <w:pStyle w:val="SDMPara"/>
        <w:rPr>
          <w:rFonts w:eastAsia="Arial"/>
        </w:rPr>
      </w:pPr>
      <w:r w:rsidRPr="00100C73">
        <w:rPr>
          <w:rFonts w:eastAsia="Arial"/>
          <w:color w:val="000000" w:themeColor="text1"/>
        </w:rPr>
        <w:t>Where applicable, the CLEAR methodology requires use of the most recent versions of the following tools, standards, guidelines, and protocols:</w:t>
      </w:r>
    </w:p>
    <w:p w14:paraId="34703B65" w14:textId="77777777" w:rsidR="00ED6C93" w:rsidRPr="00B33BB6" w:rsidRDefault="00ED6C93" w:rsidP="00620061">
      <w:pPr>
        <w:pStyle w:val="ListParagraph"/>
        <w:numPr>
          <w:ilvl w:val="0"/>
          <w:numId w:val="32"/>
        </w:numPr>
        <w:pBdr>
          <w:top w:val="nil"/>
          <w:left w:val="nil"/>
          <w:bottom w:val="nil"/>
          <w:right w:val="nil"/>
          <w:between w:val="nil"/>
        </w:pBdr>
        <w:tabs>
          <w:tab w:val="left" w:pos="510"/>
        </w:tabs>
        <w:spacing w:before="60" w:after="60" w:line="276" w:lineRule="auto"/>
        <w:contextualSpacing w:val="0"/>
        <w:jc w:val="left"/>
        <w:rPr>
          <w:rFonts w:eastAsia="Arial" w:cs="Arial"/>
          <w:iCs/>
          <w:color w:val="000000"/>
        </w:rPr>
      </w:pPr>
      <w:r w:rsidRPr="00B33BB6">
        <w:rPr>
          <w:rFonts w:eastAsia="Arial" w:cs="Arial"/>
          <w:iCs/>
          <w:color w:val="000000"/>
        </w:rPr>
        <w:t xml:space="preserve">Article 6.4 Standard: Demonstration of additionality in mechanism methodologies: </w:t>
      </w:r>
      <w:hyperlink r:id="rId12" w:history="1">
        <w:r w:rsidRPr="00B33BB6">
          <w:rPr>
            <w:rStyle w:val="Hyperlink"/>
            <w:rFonts w:eastAsia="Arial" w:cs="Arial"/>
            <w:iCs/>
          </w:rPr>
          <w:t>https://unfccc.int/sites/default/files/resource/A6.4-STAN-METH-003.pdf</w:t>
        </w:r>
      </w:hyperlink>
      <w:r w:rsidRPr="00B33BB6">
        <w:rPr>
          <w:rFonts w:eastAsia="Arial" w:cs="Arial"/>
          <w:iCs/>
          <w:color w:val="000000"/>
        </w:rPr>
        <w:t xml:space="preserve"> </w:t>
      </w:r>
    </w:p>
    <w:p w14:paraId="50A36802" w14:textId="77777777" w:rsidR="00ED6C93" w:rsidRPr="00B33BB6" w:rsidRDefault="00ED6C93" w:rsidP="00620061">
      <w:pPr>
        <w:pStyle w:val="ListParagraph"/>
        <w:numPr>
          <w:ilvl w:val="0"/>
          <w:numId w:val="32"/>
        </w:numPr>
        <w:pBdr>
          <w:top w:val="nil"/>
          <w:left w:val="nil"/>
          <w:bottom w:val="nil"/>
          <w:right w:val="nil"/>
          <w:between w:val="nil"/>
        </w:pBdr>
        <w:tabs>
          <w:tab w:val="left" w:pos="510"/>
        </w:tabs>
        <w:spacing w:before="60" w:after="60" w:line="276" w:lineRule="auto"/>
        <w:contextualSpacing w:val="0"/>
        <w:jc w:val="left"/>
        <w:rPr>
          <w:rFonts w:eastAsia="Arial" w:cs="Arial"/>
          <w:iCs/>
          <w:color w:val="000000"/>
        </w:rPr>
      </w:pPr>
      <w:r w:rsidRPr="00B33BB6">
        <w:rPr>
          <w:rFonts w:eastAsia="Arial" w:cs="Arial"/>
          <w:iCs/>
          <w:color w:val="000000"/>
        </w:rPr>
        <w:t xml:space="preserve">Article 6.4 Standard: Setting the baseline in mechanism methodologies: </w:t>
      </w:r>
      <w:hyperlink r:id="rId13" w:history="1">
        <w:r w:rsidRPr="00B33BB6">
          <w:rPr>
            <w:rStyle w:val="Hyperlink"/>
            <w:rFonts w:eastAsia="Arial" w:cs="Arial"/>
            <w:iCs/>
          </w:rPr>
          <w:t>https://unfccc.int/sites/default/files/resource/A6.4-STAN-METH-004.pdf</w:t>
        </w:r>
      </w:hyperlink>
      <w:r w:rsidRPr="00B33BB6">
        <w:rPr>
          <w:rFonts w:eastAsia="Arial" w:cs="Arial"/>
          <w:iCs/>
          <w:color w:val="000000"/>
        </w:rPr>
        <w:t xml:space="preserve"> </w:t>
      </w:r>
    </w:p>
    <w:p w14:paraId="27D9F829" w14:textId="77777777" w:rsidR="00ED6C93" w:rsidRPr="00B33BB6" w:rsidRDefault="00ED6C93" w:rsidP="00620061">
      <w:pPr>
        <w:pStyle w:val="ListParagraph"/>
        <w:numPr>
          <w:ilvl w:val="0"/>
          <w:numId w:val="32"/>
        </w:numPr>
        <w:pBdr>
          <w:top w:val="nil"/>
          <w:left w:val="nil"/>
          <w:bottom w:val="nil"/>
          <w:right w:val="nil"/>
          <w:between w:val="nil"/>
        </w:pBdr>
        <w:tabs>
          <w:tab w:val="left" w:pos="510"/>
        </w:tabs>
        <w:spacing w:before="60" w:after="60" w:line="276" w:lineRule="auto"/>
        <w:contextualSpacing w:val="0"/>
        <w:jc w:val="left"/>
        <w:rPr>
          <w:rFonts w:eastAsia="Arial" w:cs="Arial"/>
          <w:iCs/>
          <w:color w:val="000000"/>
        </w:rPr>
      </w:pPr>
      <w:r w:rsidRPr="00B33BB6">
        <w:rPr>
          <w:rFonts w:eastAsia="Arial" w:cs="Arial"/>
          <w:iCs/>
          <w:color w:val="000000"/>
        </w:rPr>
        <w:t xml:space="preserve">Article 6.4 Sustainable Development Tool: </w:t>
      </w:r>
      <w:hyperlink r:id="rId14" w:anchor="Tools" w:history="1">
        <w:r w:rsidRPr="00B33BB6">
          <w:rPr>
            <w:rStyle w:val="Hyperlink"/>
            <w:rFonts w:eastAsia="Arial" w:cs="Arial"/>
            <w:iCs/>
          </w:rPr>
          <w:t>https://unfccc.int/process-and-meetings/bodies/constituted-bodies/article-64-supervisory-body/rules-and-regulations#Tools</w:t>
        </w:r>
      </w:hyperlink>
    </w:p>
    <w:p w14:paraId="7011F1CB" w14:textId="77777777" w:rsidR="00ED6C93" w:rsidRPr="00B33BB6" w:rsidRDefault="00ED6C93" w:rsidP="00620061">
      <w:pPr>
        <w:pStyle w:val="ListParagraph"/>
        <w:numPr>
          <w:ilvl w:val="0"/>
          <w:numId w:val="32"/>
        </w:numPr>
        <w:pBdr>
          <w:top w:val="nil"/>
          <w:left w:val="nil"/>
          <w:bottom w:val="nil"/>
          <w:right w:val="nil"/>
          <w:between w:val="nil"/>
        </w:pBdr>
        <w:tabs>
          <w:tab w:val="left" w:pos="510"/>
        </w:tabs>
        <w:spacing w:before="60" w:after="60" w:line="276" w:lineRule="auto"/>
        <w:contextualSpacing w:val="0"/>
        <w:jc w:val="left"/>
        <w:rPr>
          <w:rFonts w:eastAsia="Arial" w:cs="Arial"/>
          <w:iCs/>
          <w:color w:val="000000"/>
        </w:rPr>
      </w:pPr>
      <w:r w:rsidRPr="00B33BB6">
        <w:rPr>
          <w:rFonts w:eastAsia="Arial" w:cs="Arial"/>
          <w:color w:val="000000" w:themeColor="text1"/>
        </w:rPr>
        <w:t xml:space="preserve">CCT Protocol, available at: </w:t>
      </w:r>
      <w:hyperlink r:id="rId15">
        <w:r w:rsidRPr="00B33BB6">
          <w:rPr>
            <w:rStyle w:val="Hyperlink"/>
            <w:rFonts w:eastAsia="Arial" w:cs="Arial"/>
          </w:rPr>
          <w:t>https://cleancooking.org/protocols/</w:t>
        </w:r>
      </w:hyperlink>
      <w:r w:rsidRPr="00B33BB6">
        <w:rPr>
          <w:rFonts w:eastAsia="Arial" w:cs="Arial"/>
          <w:color w:val="000000" w:themeColor="text1"/>
        </w:rPr>
        <w:t xml:space="preserve"> </w:t>
      </w:r>
    </w:p>
    <w:p w14:paraId="7B75DBB9" w14:textId="77777777" w:rsidR="00ED6C93" w:rsidRPr="00B33BB6" w:rsidRDefault="00ED6C93" w:rsidP="00620061">
      <w:pPr>
        <w:pStyle w:val="ListParagraph"/>
        <w:numPr>
          <w:ilvl w:val="0"/>
          <w:numId w:val="32"/>
        </w:numPr>
        <w:pBdr>
          <w:top w:val="nil"/>
          <w:left w:val="nil"/>
          <w:bottom w:val="nil"/>
          <w:right w:val="nil"/>
          <w:between w:val="nil"/>
        </w:pBdr>
        <w:tabs>
          <w:tab w:val="left" w:pos="510"/>
        </w:tabs>
        <w:spacing w:before="60" w:after="60" w:line="276" w:lineRule="auto"/>
        <w:contextualSpacing w:val="0"/>
        <w:jc w:val="left"/>
        <w:rPr>
          <w:rFonts w:eastAsia="Arial" w:cs="Arial"/>
          <w:iCs/>
          <w:color w:val="000000"/>
        </w:rPr>
      </w:pPr>
      <w:r w:rsidRPr="00B33BB6">
        <w:rPr>
          <w:rFonts w:eastAsia="Arial" w:cs="Arial"/>
          <w:iCs/>
          <w:color w:val="000000"/>
        </w:rPr>
        <w:t xml:space="preserve">CDM Methodological Tool: Default values for common parameters (TOOL33): </w:t>
      </w:r>
      <w:hyperlink r:id="rId16" w:history="1">
        <w:r w:rsidRPr="00B33BB6">
          <w:rPr>
            <w:rStyle w:val="Hyperlink"/>
            <w:rFonts w:eastAsia="Arial" w:cs="Arial"/>
            <w:iCs/>
          </w:rPr>
          <w:t>https://cdm.unfccc.int/methodologies/PAmethodologies/tools/am-tool-33-v3.pdf</w:t>
        </w:r>
      </w:hyperlink>
      <w:r w:rsidRPr="00B33BB6">
        <w:rPr>
          <w:rFonts w:eastAsia="Arial" w:cs="Arial"/>
          <w:iCs/>
          <w:color w:val="000000"/>
        </w:rPr>
        <w:t xml:space="preserve"> </w:t>
      </w:r>
    </w:p>
    <w:p w14:paraId="737B4675" w14:textId="77777777" w:rsidR="00ED6C93" w:rsidRPr="00B33BB6" w:rsidRDefault="00ED6C93" w:rsidP="00620061">
      <w:pPr>
        <w:pStyle w:val="ListParagraph"/>
        <w:numPr>
          <w:ilvl w:val="0"/>
          <w:numId w:val="32"/>
        </w:numPr>
        <w:pBdr>
          <w:top w:val="nil"/>
          <w:left w:val="nil"/>
          <w:bottom w:val="nil"/>
          <w:right w:val="nil"/>
          <w:between w:val="nil"/>
        </w:pBdr>
        <w:tabs>
          <w:tab w:val="left" w:pos="510"/>
        </w:tabs>
        <w:spacing w:before="60" w:after="60" w:line="276" w:lineRule="auto"/>
        <w:contextualSpacing w:val="0"/>
        <w:jc w:val="left"/>
        <w:rPr>
          <w:rFonts w:eastAsia="Arial" w:cs="Arial"/>
          <w:iCs/>
          <w:color w:val="000000"/>
        </w:rPr>
      </w:pPr>
      <w:r w:rsidRPr="00B33BB6">
        <w:rPr>
          <w:rFonts w:eastAsia="Arial" w:cs="Arial"/>
          <w:iCs/>
          <w:color w:val="000000"/>
        </w:rPr>
        <w:t xml:space="preserve">IPCC Guidelines for GHG National Inventories: </w:t>
      </w:r>
      <w:hyperlink r:id="rId17" w:history="1">
        <w:r w:rsidRPr="00B33BB6">
          <w:rPr>
            <w:rStyle w:val="Hyperlink"/>
            <w:rFonts w:eastAsia="Arial" w:cs="Arial"/>
            <w:iCs/>
          </w:rPr>
          <w:t>https://www.ipcc.ch/report/2019-refinement-to-the-2006-ipcc-guidelines-for-national-greenhouse-gas-inventories/</w:t>
        </w:r>
      </w:hyperlink>
      <w:r w:rsidRPr="00B33BB6">
        <w:rPr>
          <w:rFonts w:eastAsia="Arial" w:cs="Arial"/>
          <w:iCs/>
          <w:color w:val="000000"/>
        </w:rPr>
        <w:t xml:space="preserve"> </w:t>
      </w:r>
    </w:p>
    <w:p w14:paraId="5B4AF941" w14:textId="77777777" w:rsidR="00ED6C93" w:rsidRPr="00B33BB6" w:rsidRDefault="00ED6C93" w:rsidP="00620061">
      <w:pPr>
        <w:pStyle w:val="ListParagraph"/>
        <w:numPr>
          <w:ilvl w:val="0"/>
          <w:numId w:val="32"/>
        </w:numPr>
        <w:pBdr>
          <w:top w:val="nil"/>
          <w:left w:val="nil"/>
          <w:bottom w:val="nil"/>
          <w:right w:val="nil"/>
          <w:between w:val="nil"/>
        </w:pBdr>
        <w:tabs>
          <w:tab w:val="left" w:pos="510"/>
        </w:tabs>
        <w:spacing w:before="60" w:after="60" w:line="276" w:lineRule="auto"/>
        <w:contextualSpacing w:val="0"/>
        <w:jc w:val="left"/>
        <w:rPr>
          <w:rFonts w:eastAsia="Arial" w:cs="Arial"/>
          <w:iCs/>
          <w:color w:val="000000"/>
        </w:rPr>
      </w:pPr>
      <w:r w:rsidRPr="00B33BB6">
        <w:rPr>
          <w:rFonts w:eastAsia="Arial" w:cs="Arial"/>
          <w:iCs/>
          <w:color w:val="000000"/>
        </w:rPr>
        <w:t xml:space="preserve">ISO Standard 19867-1: </w:t>
      </w:r>
      <w:hyperlink r:id="rId18" w:history="1">
        <w:r w:rsidRPr="00B33BB6">
          <w:rPr>
            <w:rStyle w:val="Hyperlink"/>
            <w:rFonts w:eastAsia="Arial" w:cs="Arial"/>
            <w:iCs/>
          </w:rPr>
          <w:t>https://www.iso.org/standard/66519.html</w:t>
        </w:r>
      </w:hyperlink>
      <w:r w:rsidRPr="00B33BB6">
        <w:rPr>
          <w:rFonts w:eastAsia="Arial" w:cs="Arial"/>
          <w:iCs/>
          <w:color w:val="000000"/>
        </w:rPr>
        <w:t xml:space="preserve"> </w:t>
      </w:r>
    </w:p>
    <w:p w14:paraId="66490B1A" w14:textId="77777777" w:rsidR="00ED6C93" w:rsidRPr="00B33BB6" w:rsidRDefault="00ED6C93" w:rsidP="00620061">
      <w:pPr>
        <w:pStyle w:val="ListParagraph"/>
        <w:numPr>
          <w:ilvl w:val="0"/>
          <w:numId w:val="32"/>
        </w:numPr>
        <w:pBdr>
          <w:top w:val="nil"/>
          <w:left w:val="nil"/>
          <w:bottom w:val="nil"/>
          <w:right w:val="nil"/>
          <w:between w:val="nil"/>
        </w:pBdr>
        <w:tabs>
          <w:tab w:val="left" w:pos="510"/>
        </w:tabs>
        <w:spacing w:before="60" w:after="60" w:line="276" w:lineRule="auto"/>
        <w:contextualSpacing w:val="0"/>
        <w:jc w:val="left"/>
        <w:rPr>
          <w:rFonts w:eastAsia="Arial" w:cs="Arial"/>
          <w:iCs/>
          <w:color w:val="000000"/>
        </w:rPr>
      </w:pPr>
      <w:r w:rsidRPr="00B33BB6">
        <w:rPr>
          <w:rFonts w:eastAsia="Arial" w:cs="Arial"/>
          <w:iCs/>
          <w:color w:val="000000"/>
        </w:rPr>
        <w:t xml:space="preserve">Kitchen Performance Test Protocol, available at: </w:t>
      </w:r>
      <w:hyperlink r:id="rId19" w:history="1">
        <w:r w:rsidRPr="00B33BB6">
          <w:rPr>
            <w:rStyle w:val="Hyperlink"/>
            <w:rFonts w:eastAsia="Arial" w:cs="Arial"/>
            <w:iCs/>
          </w:rPr>
          <w:t>https://cleancooking.org/protocols/</w:t>
        </w:r>
      </w:hyperlink>
      <w:r w:rsidRPr="00B33BB6">
        <w:rPr>
          <w:rFonts w:eastAsia="Arial" w:cs="Arial"/>
          <w:iCs/>
          <w:color w:val="000000"/>
        </w:rPr>
        <w:t xml:space="preserve"> </w:t>
      </w:r>
    </w:p>
    <w:p w14:paraId="1B3BD225" w14:textId="77777777" w:rsidR="00ED6C93" w:rsidRPr="00B33BB6" w:rsidRDefault="00ED6C93" w:rsidP="00620061">
      <w:pPr>
        <w:numPr>
          <w:ilvl w:val="0"/>
          <w:numId w:val="32"/>
        </w:numPr>
        <w:jc w:val="left"/>
        <w:rPr>
          <w:rFonts w:cs="Arial"/>
          <w:color w:val="000000" w:themeColor="text1"/>
          <w:szCs w:val="22"/>
        </w:rPr>
      </w:pPr>
      <w:r w:rsidRPr="00B33BB6">
        <w:rPr>
          <w:rFonts w:cs="Arial"/>
          <w:color w:val="000000" w:themeColor="text1"/>
          <w:szCs w:val="22"/>
        </w:rPr>
        <w:t>Modelling Fuelwood Savings Scenarios (</w:t>
      </w:r>
      <w:proofErr w:type="spellStart"/>
      <w:r w:rsidRPr="00B33BB6">
        <w:rPr>
          <w:rFonts w:cs="Arial"/>
          <w:color w:val="000000" w:themeColor="text1"/>
          <w:szCs w:val="22"/>
        </w:rPr>
        <w:t>MoFuSS</w:t>
      </w:r>
      <w:proofErr w:type="spellEnd"/>
      <w:r w:rsidRPr="00B33BB6">
        <w:rPr>
          <w:rFonts w:cs="Arial"/>
          <w:color w:val="000000" w:themeColor="text1"/>
          <w:szCs w:val="22"/>
        </w:rPr>
        <w:t xml:space="preserve">): </w:t>
      </w:r>
      <w:hyperlink r:id="rId20" w:history="1">
        <w:r w:rsidRPr="00B33BB6">
          <w:rPr>
            <w:rStyle w:val="Hyperlink"/>
            <w:rFonts w:cs="Arial"/>
            <w:szCs w:val="22"/>
          </w:rPr>
          <w:t>https://www.mofuss.unam.mx/</w:t>
        </w:r>
      </w:hyperlink>
      <w:r w:rsidRPr="00B33BB6">
        <w:rPr>
          <w:rFonts w:cs="Arial"/>
          <w:color w:val="000000" w:themeColor="text1"/>
          <w:szCs w:val="22"/>
        </w:rPr>
        <w:t xml:space="preserve">  </w:t>
      </w:r>
    </w:p>
    <w:p w14:paraId="60F985EB" w14:textId="77777777" w:rsidR="00ED6C93" w:rsidRPr="00B33BB6" w:rsidRDefault="00ED6C93" w:rsidP="00620061">
      <w:pPr>
        <w:pStyle w:val="ListParagraph"/>
        <w:numPr>
          <w:ilvl w:val="0"/>
          <w:numId w:val="32"/>
        </w:numPr>
        <w:pBdr>
          <w:top w:val="nil"/>
          <w:left w:val="nil"/>
          <w:bottom w:val="nil"/>
          <w:right w:val="nil"/>
          <w:between w:val="nil"/>
        </w:pBdr>
        <w:tabs>
          <w:tab w:val="left" w:pos="510"/>
        </w:tabs>
        <w:spacing w:before="60" w:after="60" w:line="276" w:lineRule="auto"/>
        <w:contextualSpacing w:val="0"/>
        <w:jc w:val="left"/>
        <w:rPr>
          <w:rFonts w:eastAsia="Arial" w:cs="Arial"/>
          <w:iCs/>
          <w:color w:val="000000"/>
        </w:rPr>
      </w:pPr>
      <w:r w:rsidRPr="00B33BB6">
        <w:rPr>
          <w:rFonts w:eastAsia="Arial" w:cs="Arial"/>
          <w:iCs/>
          <w:color w:val="000000"/>
        </w:rPr>
        <w:t xml:space="preserve">Mini-Grid Emissions Tool from </w:t>
      </w:r>
      <w:proofErr w:type="spellStart"/>
      <w:r w:rsidRPr="00B33BB6">
        <w:rPr>
          <w:rFonts w:eastAsia="Arial" w:cs="Arial"/>
          <w:iCs/>
          <w:color w:val="000000"/>
        </w:rPr>
        <w:t>SEforAll</w:t>
      </w:r>
      <w:proofErr w:type="spellEnd"/>
      <w:r w:rsidRPr="00B33BB6">
        <w:rPr>
          <w:rFonts w:eastAsia="Arial" w:cs="Arial"/>
          <w:iCs/>
          <w:color w:val="000000"/>
        </w:rPr>
        <w:t xml:space="preserve">: </w:t>
      </w:r>
      <w:hyperlink r:id="rId21" w:history="1">
        <w:r w:rsidRPr="00B33BB6">
          <w:rPr>
            <w:rStyle w:val="Hyperlink"/>
            <w:rFonts w:eastAsia="Arial" w:cs="Arial"/>
            <w:iCs/>
          </w:rPr>
          <w:t>https://www.seforall.org/mini-grids-emissions-tool</w:t>
        </w:r>
      </w:hyperlink>
      <w:r w:rsidRPr="00B33BB6">
        <w:rPr>
          <w:rFonts w:eastAsia="Arial" w:cs="Arial"/>
          <w:iCs/>
          <w:color w:val="000000"/>
        </w:rPr>
        <w:t xml:space="preserve"> </w:t>
      </w:r>
    </w:p>
    <w:p w14:paraId="5F937637" w14:textId="77777777" w:rsidR="00ED6C93" w:rsidRPr="00B33BB6" w:rsidRDefault="00ED6C93" w:rsidP="00ED6C93">
      <w:pPr>
        <w:pBdr>
          <w:top w:val="nil"/>
          <w:left w:val="nil"/>
          <w:bottom w:val="nil"/>
          <w:right w:val="nil"/>
          <w:between w:val="nil"/>
        </w:pBdr>
        <w:tabs>
          <w:tab w:val="left" w:pos="510"/>
        </w:tabs>
        <w:spacing w:before="60" w:after="60"/>
        <w:ind w:left="57"/>
        <w:rPr>
          <w:rFonts w:eastAsia="Arial" w:cs="Arial"/>
          <w:iCs/>
          <w:color w:val="000000"/>
          <w:szCs w:val="22"/>
        </w:rPr>
      </w:pPr>
    </w:p>
    <w:p w14:paraId="3AC5EDEA" w14:textId="18A17F67" w:rsidR="00C57549" w:rsidRDefault="00C57549" w:rsidP="00C57549">
      <w:pPr>
        <w:pStyle w:val="SDMPara"/>
      </w:pPr>
      <w:r>
        <w:t>This methodology is based on the following sources of information</w:t>
      </w:r>
      <w:r w:rsidR="00223B3B">
        <w:t>:</w:t>
      </w:r>
    </w:p>
    <w:p w14:paraId="0B7E8E07" w14:textId="77777777" w:rsidR="00115C31" w:rsidRDefault="00115C31" w:rsidP="00115C31">
      <w:pPr>
        <w:pBdr>
          <w:top w:val="nil"/>
          <w:left w:val="nil"/>
          <w:bottom w:val="nil"/>
          <w:right w:val="nil"/>
          <w:between w:val="nil"/>
        </w:pBdr>
        <w:tabs>
          <w:tab w:val="left" w:pos="510"/>
        </w:tabs>
        <w:spacing w:before="60" w:after="60"/>
        <w:rPr>
          <w:rFonts w:eastAsia="Montserrat" w:cs="Arial"/>
          <w:szCs w:val="22"/>
        </w:rPr>
      </w:pPr>
    </w:p>
    <w:p w14:paraId="05C5751D" w14:textId="77777777" w:rsidR="0042323B" w:rsidRPr="00B33BB6" w:rsidRDefault="0042323B" w:rsidP="00115C31">
      <w:pPr>
        <w:pBdr>
          <w:top w:val="nil"/>
          <w:left w:val="nil"/>
          <w:bottom w:val="nil"/>
          <w:right w:val="nil"/>
          <w:between w:val="nil"/>
        </w:pBdr>
        <w:tabs>
          <w:tab w:val="left" w:pos="510"/>
        </w:tabs>
        <w:spacing w:before="60" w:after="60"/>
        <w:rPr>
          <w:rFonts w:eastAsia="Arial" w:cs="Arial"/>
          <w:color w:val="000000"/>
          <w:szCs w:val="22"/>
        </w:rPr>
      </w:pPr>
      <w:r w:rsidRPr="00B33BB6">
        <w:rPr>
          <w:rFonts w:eastAsia="Montserrat" w:cs="Arial"/>
          <w:szCs w:val="22"/>
        </w:rPr>
        <w:t xml:space="preserve">The CLEAR methodology was developed in alignment with the </w:t>
      </w:r>
      <w:hyperlink r:id="rId22" w:history="1">
        <w:r w:rsidRPr="00B33BB6">
          <w:rPr>
            <w:rStyle w:val="Hyperlink"/>
            <w:rFonts w:eastAsia="Montserrat" w:cs="Arial"/>
            <w:szCs w:val="22"/>
          </w:rPr>
          <w:t>Principles for Responsible Carbon Finance in Clean Cooking.</w:t>
        </w:r>
      </w:hyperlink>
    </w:p>
    <w:p w14:paraId="032A7E54" w14:textId="77777777" w:rsidR="00115C31" w:rsidRDefault="00115C31" w:rsidP="00115C31">
      <w:pPr>
        <w:pBdr>
          <w:top w:val="nil"/>
          <w:left w:val="nil"/>
          <w:bottom w:val="nil"/>
          <w:right w:val="nil"/>
          <w:between w:val="nil"/>
        </w:pBdr>
        <w:tabs>
          <w:tab w:val="left" w:pos="510"/>
        </w:tabs>
        <w:spacing w:before="60" w:after="60"/>
        <w:rPr>
          <w:rFonts w:eastAsia="Arial" w:cs="Arial"/>
          <w:iCs/>
          <w:color w:val="000000"/>
          <w:szCs w:val="22"/>
        </w:rPr>
      </w:pPr>
    </w:p>
    <w:p w14:paraId="103D171D" w14:textId="5772C6D8" w:rsidR="0042323B" w:rsidRPr="00B33BB6" w:rsidRDefault="0042323B" w:rsidP="00115C31">
      <w:pPr>
        <w:pBdr>
          <w:top w:val="nil"/>
          <w:left w:val="nil"/>
          <w:bottom w:val="nil"/>
          <w:right w:val="nil"/>
          <w:between w:val="nil"/>
        </w:pBdr>
        <w:tabs>
          <w:tab w:val="left" w:pos="510"/>
        </w:tabs>
        <w:spacing w:before="60" w:after="60"/>
        <w:rPr>
          <w:rFonts w:eastAsia="Arial" w:cs="Arial"/>
          <w:color w:val="000000"/>
          <w:szCs w:val="22"/>
        </w:rPr>
      </w:pPr>
      <w:r w:rsidRPr="00B33BB6">
        <w:rPr>
          <w:rFonts w:eastAsia="Arial" w:cs="Arial"/>
          <w:color w:val="000000" w:themeColor="text1"/>
          <w:szCs w:val="22"/>
        </w:rPr>
        <w:t xml:space="preserve">The CLEAR methodology also references the following sources which include general guidance for conducting high-quality baseline and project surveys in the </w:t>
      </w:r>
      <w:r w:rsidR="006D264D">
        <w:rPr>
          <w:rFonts w:eastAsia="Arial" w:cs="Arial"/>
          <w:color w:val="000000" w:themeColor="text1"/>
          <w:szCs w:val="22"/>
        </w:rPr>
        <w:t>low- and middle-income country (</w:t>
      </w:r>
      <w:r w:rsidRPr="00B33BB6">
        <w:rPr>
          <w:rFonts w:eastAsia="Arial" w:cs="Arial"/>
          <w:color w:val="000000" w:themeColor="text1"/>
          <w:szCs w:val="22"/>
        </w:rPr>
        <w:t>LMIC</w:t>
      </w:r>
      <w:r w:rsidR="006D264D">
        <w:rPr>
          <w:rFonts w:eastAsia="Arial" w:cs="Arial"/>
          <w:color w:val="000000" w:themeColor="text1"/>
          <w:szCs w:val="22"/>
        </w:rPr>
        <w:t>)</w:t>
      </w:r>
      <w:r w:rsidRPr="00B33BB6">
        <w:rPr>
          <w:rFonts w:eastAsia="Arial" w:cs="Arial"/>
          <w:color w:val="000000" w:themeColor="text1"/>
          <w:szCs w:val="22"/>
        </w:rPr>
        <w:t xml:space="preserve"> context:</w:t>
      </w:r>
    </w:p>
    <w:p w14:paraId="12AC68AA" w14:textId="77777777" w:rsidR="0042323B" w:rsidRPr="00B33BB6" w:rsidRDefault="0042323B" w:rsidP="00620061">
      <w:pPr>
        <w:numPr>
          <w:ilvl w:val="0"/>
          <w:numId w:val="31"/>
        </w:numPr>
        <w:shd w:val="clear" w:color="auto" w:fill="FFFFFF"/>
        <w:jc w:val="left"/>
        <w:textAlignment w:val="baseline"/>
        <w:rPr>
          <w:rFonts w:cs="Arial"/>
          <w:color w:val="181F25"/>
          <w:szCs w:val="22"/>
        </w:rPr>
      </w:pPr>
      <w:r w:rsidRPr="00B33BB6">
        <w:rPr>
          <w:rFonts w:cs="Arial"/>
          <w:color w:val="181F25"/>
          <w:szCs w:val="22"/>
        </w:rPr>
        <w:t xml:space="preserve">Clean Cooking Alliance’s </w:t>
      </w:r>
      <w:hyperlink r:id="rId23" w:history="1">
        <w:r w:rsidRPr="00B33BB6">
          <w:rPr>
            <w:rFonts w:cs="Arial"/>
            <w:color w:val="1155CC"/>
            <w:szCs w:val="22"/>
            <w:u w:val="single"/>
          </w:rPr>
          <w:t>Fuel Stacking Toolkit</w:t>
        </w:r>
      </w:hyperlink>
    </w:p>
    <w:p w14:paraId="7B3803EB" w14:textId="77777777" w:rsidR="0042323B" w:rsidRPr="00B33BB6" w:rsidRDefault="0042323B" w:rsidP="00620061">
      <w:pPr>
        <w:numPr>
          <w:ilvl w:val="0"/>
          <w:numId w:val="31"/>
        </w:numPr>
        <w:jc w:val="left"/>
        <w:textAlignment w:val="baseline"/>
        <w:rPr>
          <w:rFonts w:cs="Arial"/>
          <w:color w:val="000000"/>
          <w:szCs w:val="22"/>
        </w:rPr>
      </w:pPr>
      <w:hyperlink r:id="rId24" w:history="1">
        <w:r w:rsidRPr="00B33BB6">
          <w:rPr>
            <w:rFonts w:cs="Arial"/>
            <w:color w:val="1155CC"/>
            <w:szCs w:val="22"/>
            <w:u w:val="single"/>
          </w:rPr>
          <w:t>Designing Household Survey Samples: Practical Guidelines</w:t>
        </w:r>
      </w:hyperlink>
    </w:p>
    <w:p w14:paraId="2EFB371F" w14:textId="77777777" w:rsidR="0042323B" w:rsidRPr="00B33BB6" w:rsidRDefault="0042323B" w:rsidP="00620061">
      <w:pPr>
        <w:numPr>
          <w:ilvl w:val="0"/>
          <w:numId w:val="31"/>
        </w:numPr>
        <w:shd w:val="clear" w:color="auto" w:fill="FFFFFF"/>
        <w:jc w:val="left"/>
        <w:textAlignment w:val="baseline"/>
        <w:rPr>
          <w:rFonts w:cs="Arial"/>
          <w:color w:val="000000"/>
          <w:szCs w:val="22"/>
        </w:rPr>
      </w:pPr>
      <w:r w:rsidRPr="00B33BB6">
        <w:rPr>
          <w:rFonts w:cs="Arial"/>
          <w:color w:val="000000"/>
          <w:szCs w:val="22"/>
        </w:rPr>
        <w:t xml:space="preserve">Gold Standard’s </w:t>
      </w:r>
      <w:hyperlink r:id="rId25" w:history="1">
        <w:r w:rsidRPr="00B33BB6">
          <w:rPr>
            <w:rFonts w:cs="Arial"/>
            <w:color w:val="1155CC"/>
            <w:szCs w:val="22"/>
            <w:u w:val="single"/>
          </w:rPr>
          <w:t>MECD Survey Questionnaire</w:t>
        </w:r>
      </w:hyperlink>
    </w:p>
    <w:p w14:paraId="767E778D" w14:textId="77777777" w:rsidR="0042323B" w:rsidRPr="00B33BB6" w:rsidRDefault="0042323B" w:rsidP="00620061">
      <w:pPr>
        <w:numPr>
          <w:ilvl w:val="0"/>
          <w:numId w:val="31"/>
        </w:numPr>
        <w:shd w:val="clear" w:color="auto" w:fill="FFFFFF"/>
        <w:jc w:val="left"/>
        <w:textAlignment w:val="baseline"/>
        <w:rPr>
          <w:rFonts w:cs="Arial"/>
          <w:color w:val="181F25"/>
          <w:szCs w:val="22"/>
        </w:rPr>
      </w:pPr>
      <w:r w:rsidRPr="00B33BB6">
        <w:rPr>
          <w:rFonts w:cs="Arial"/>
          <w:color w:val="000000"/>
          <w:szCs w:val="22"/>
        </w:rPr>
        <w:t>Gold Standard’s</w:t>
      </w:r>
      <w:r w:rsidRPr="00B33BB6">
        <w:rPr>
          <w:rFonts w:cs="Arial"/>
          <w:color w:val="181F25"/>
          <w:szCs w:val="22"/>
        </w:rPr>
        <w:t xml:space="preserve"> </w:t>
      </w:r>
      <w:hyperlink r:id="rId26" w:history="1">
        <w:r w:rsidRPr="00B33BB6">
          <w:rPr>
            <w:rFonts w:cs="Arial"/>
            <w:color w:val="1155CC"/>
            <w:szCs w:val="22"/>
            <w:u w:val="single"/>
          </w:rPr>
          <w:t>TPDDTEC Survey Questionnaire</w:t>
        </w:r>
      </w:hyperlink>
    </w:p>
    <w:p w14:paraId="6CBD4D83" w14:textId="77777777" w:rsidR="0042323B" w:rsidRPr="00B33BB6" w:rsidRDefault="0042323B" w:rsidP="00620061">
      <w:pPr>
        <w:numPr>
          <w:ilvl w:val="0"/>
          <w:numId w:val="31"/>
        </w:numPr>
        <w:shd w:val="clear" w:color="auto" w:fill="FFFFFF" w:themeFill="background1"/>
        <w:jc w:val="left"/>
        <w:textAlignment w:val="baseline"/>
        <w:rPr>
          <w:rFonts w:cs="Arial"/>
          <w:color w:val="000000"/>
          <w:szCs w:val="22"/>
        </w:rPr>
      </w:pPr>
      <w:hyperlink r:id="rId27">
        <w:r w:rsidRPr="00B33BB6">
          <w:rPr>
            <w:rFonts w:cs="Arial"/>
            <w:color w:val="1155CC"/>
            <w:szCs w:val="22"/>
            <w:u w:val="single"/>
          </w:rPr>
          <w:t>Guidance on survey design</w:t>
        </w:r>
      </w:hyperlink>
      <w:r w:rsidRPr="00B33BB6">
        <w:rPr>
          <w:rFonts w:cs="Arial"/>
          <w:color w:val="181F25"/>
          <w:szCs w:val="22"/>
        </w:rPr>
        <w:t xml:space="preserve"> from the authors of Gill-Wiehl, A., </w:t>
      </w:r>
      <w:proofErr w:type="spellStart"/>
      <w:r w:rsidRPr="00B33BB6">
        <w:rPr>
          <w:rFonts w:cs="Arial"/>
          <w:color w:val="181F25"/>
          <w:szCs w:val="22"/>
        </w:rPr>
        <w:t>Kammen</w:t>
      </w:r>
      <w:proofErr w:type="spellEnd"/>
      <w:r w:rsidRPr="00B33BB6">
        <w:rPr>
          <w:rFonts w:cs="Arial"/>
          <w:color w:val="181F25"/>
          <w:szCs w:val="22"/>
        </w:rPr>
        <w:t xml:space="preserve">, D.M. &amp; Haya, B.K. Pervasive over-crediting from cookstove offset methodologies. Nat Sustain 7, 191–202 (2024). </w:t>
      </w:r>
      <w:hyperlink r:id="rId28" w:history="1">
        <w:r w:rsidRPr="00B33BB6">
          <w:rPr>
            <w:rFonts w:cs="Arial"/>
            <w:color w:val="1155CC"/>
            <w:szCs w:val="22"/>
            <w:u w:val="single"/>
          </w:rPr>
          <w:t>https://doi.org/10.1038/s41893-023-01259-6</w:t>
        </w:r>
      </w:hyperlink>
    </w:p>
    <w:p w14:paraId="35538D02" w14:textId="77777777" w:rsidR="0042323B" w:rsidRPr="00B33BB6" w:rsidRDefault="0042323B" w:rsidP="00620061">
      <w:pPr>
        <w:numPr>
          <w:ilvl w:val="0"/>
          <w:numId w:val="31"/>
        </w:numPr>
        <w:jc w:val="left"/>
        <w:textAlignment w:val="baseline"/>
        <w:rPr>
          <w:rFonts w:cs="Arial"/>
          <w:color w:val="000000"/>
          <w:szCs w:val="22"/>
        </w:rPr>
      </w:pPr>
      <w:hyperlink r:id="rId29" w:history="1">
        <w:r w:rsidRPr="00B33BB6">
          <w:rPr>
            <w:rFonts w:cs="Arial"/>
            <w:color w:val="1155CC"/>
            <w:szCs w:val="22"/>
            <w:u w:val="single"/>
          </w:rPr>
          <w:t>Household Sample Surveys in Developing and Transition Countries</w:t>
        </w:r>
      </w:hyperlink>
    </w:p>
    <w:p w14:paraId="6155474A" w14:textId="77777777" w:rsidR="0042323B" w:rsidRPr="00B33BB6" w:rsidRDefault="0042323B" w:rsidP="00620061">
      <w:pPr>
        <w:numPr>
          <w:ilvl w:val="0"/>
          <w:numId w:val="31"/>
        </w:numPr>
        <w:jc w:val="left"/>
        <w:textAlignment w:val="baseline"/>
        <w:rPr>
          <w:rFonts w:cs="Arial"/>
          <w:color w:val="000000"/>
          <w:szCs w:val="22"/>
        </w:rPr>
      </w:pPr>
      <w:proofErr w:type="spellStart"/>
      <w:proofErr w:type="gramStart"/>
      <w:r w:rsidRPr="00B33BB6">
        <w:rPr>
          <w:rFonts w:cs="Arial"/>
          <w:color w:val="181F25"/>
          <w:szCs w:val="22"/>
          <w:lang w:val="es-GT"/>
        </w:rPr>
        <w:lastRenderedPageBreak/>
        <w:t>Siwatu,Gbemisola</w:t>
      </w:r>
      <w:proofErr w:type="spellEnd"/>
      <w:proofErr w:type="gramEnd"/>
      <w:r w:rsidRPr="00B33BB6">
        <w:rPr>
          <w:rFonts w:cs="Arial"/>
          <w:color w:val="181F25"/>
          <w:szCs w:val="22"/>
          <w:lang w:val="es-GT"/>
        </w:rPr>
        <w:t xml:space="preserve"> </w:t>
      </w:r>
      <w:proofErr w:type="spellStart"/>
      <w:r w:rsidRPr="00B33BB6">
        <w:rPr>
          <w:rFonts w:cs="Arial"/>
          <w:color w:val="181F25"/>
          <w:szCs w:val="22"/>
          <w:lang w:val="es-GT"/>
        </w:rPr>
        <w:t>Oseni</w:t>
      </w:r>
      <w:proofErr w:type="spellEnd"/>
      <w:r w:rsidRPr="00B33BB6">
        <w:rPr>
          <w:rFonts w:cs="Arial"/>
          <w:color w:val="181F25"/>
          <w:szCs w:val="22"/>
          <w:lang w:val="es-GT"/>
        </w:rPr>
        <w:t>; Palacios-</w:t>
      </w:r>
      <w:proofErr w:type="spellStart"/>
      <w:proofErr w:type="gramStart"/>
      <w:r w:rsidRPr="00B33BB6">
        <w:rPr>
          <w:rFonts w:cs="Arial"/>
          <w:color w:val="181F25"/>
          <w:szCs w:val="22"/>
          <w:lang w:val="es-GT"/>
        </w:rPr>
        <w:t>Lopez,Amparo</w:t>
      </w:r>
      <w:proofErr w:type="spellEnd"/>
      <w:proofErr w:type="gramEnd"/>
      <w:r w:rsidRPr="00B33BB6">
        <w:rPr>
          <w:rFonts w:cs="Arial"/>
          <w:color w:val="181F25"/>
          <w:szCs w:val="22"/>
          <w:lang w:val="es-GT"/>
        </w:rPr>
        <w:t xml:space="preserve">; </w:t>
      </w:r>
      <w:proofErr w:type="spellStart"/>
      <w:proofErr w:type="gramStart"/>
      <w:r w:rsidRPr="00B33BB6">
        <w:rPr>
          <w:rFonts w:cs="Arial"/>
          <w:color w:val="181F25"/>
          <w:szCs w:val="22"/>
          <w:lang w:val="es-GT"/>
        </w:rPr>
        <w:t>Mugera,Harriet</w:t>
      </w:r>
      <w:proofErr w:type="spellEnd"/>
      <w:proofErr w:type="gramEnd"/>
      <w:r w:rsidRPr="00B33BB6">
        <w:rPr>
          <w:rFonts w:cs="Arial"/>
          <w:color w:val="181F25"/>
          <w:szCs w:val="22"/>
          <w:lang w:val="es-GT"/>
        </w:rPr>
        <w:t xml:space="preserve"> </w:t>
      </w:r>
      <w:proofErr w:type="spellStart"/>
      <w:r w:rsidRPr="00B33BB6">
        <w:rPr>
          <w:rFonts w:cs="Arial"/>
          <w:color w:val="181F25"/>
          <w:szCs w:val="22"/>
          <w:lang w:val="es-GT"/>
        </w:rPr>
        <w:t>Kasidi</w:t>
      </w:r>
      <w:proofErr w:type="spellEnd"/>
      <w:r w:rsidRPr="00B33BB6">
        <w:rPr>
          <w:rFonts w:cs="Arial"/>
          <w:color w:val="181F25"/>
          <w:szCs w:val="22"/>
          <w:lang w:val="es-GT"/>
        </w:rPr>
        <w:t xml:space="preserve">; </w:t>
      </w:r>
      <w:proofErr w:type="spellStart"/>
      <w:proofErr w:type="gramStart"/>
      <w:r w:rsidRPr="00B33BB6">
        <w:rPr>
          <w:rFonts w:cs="Arial"/>
          <w:color w:val="181F25"/>
          <w:szCs w:val="22"/>
          <w:lang w:val="es-GT"/>
        </w:rPr>
        <w:t>Durazo,Josefine</w:t>
      </w:r>
      <w:proofErr w:type="spellEnd"/>
      <w:proofErr w:type="gramEnd"/>
      <w:r w:rsidRPr="00B33BB6">
        <w:rPr>
          <w:rFonts w:cs="Arial"/>
          <w:color w:val="181F25"/>
          <w:szCs w:val="22"/>
          <w:lang w:val="es-GT"/>
        </w:rPr>
        <w:t xml:space="preserve">. </w:t>
      </w:r>
      <w:r w:rsidRPr="00B33BB6">
        <w:rPr>
          <w:rFonts w:cs="Arial"/>
          <w:i/>
          <w:iCs/>
          <w:color w:val="181F25"/>
          <w:szCs w:val="22"/>
        </w:rPr>
        <w:t xml:space="preserve">Capturing What Matters: Essential Guidelines for Designing Household Surveys (English). </w:t>
      </w:r>
      <w:r w:rsidRPr="00B33BB6">
        <w:rPr>
          <w:rFonts w:cs="Arial"/>
          <w:color w:val="181F25"/>
          <w:szCs w:val="22"/>
        </w:rPr>
        <w:t>LSMS Guidebook Washington, D.C.: World Bank Group.</w:t>
      </w:r>
      <w:r w:rsidRPr="00B33BB6">
        <w:rPr>
          <w:rFonts w:cs="Arial"/>
          <w:color w:val="000000"/>
          <w:szCs w:val="22"/>
        </w:rPr>
        <w:t xml:space="preserve"> </w:t>
      </w:r>
      <w:hyperlink r:id="rId30" w:history="1">
        <w:r w:rsidRPr="00B33BB6">
          <w:rPr>
            <w:rStyle w:val="Hyperlink"/>
            <w:rFonts w:cs="Arial"/>
            <w:szCs w:val="22"/>
          </w:rPr>
          <w:t>http://documents.worldbank.org/curated/en/381751639456530686</w:t>
        </w:r>
      </w:hyperlink>
    </w:p>
    <w:p w14:paraId="1F9CB940" w14:textId="77777777" w:rsidR="0042323B" w:rsidRPr="00B33BB6" w:rsidRDefault="0042323B" w:rsidP="00620061">
      <w:pPr>
        <w:numPr>
          <w:ilvl w:val="0"/>
          <w:numId w:val="31"/>
        </w:numPr>
        <w:shd w:val="clear" w:color="auto" w:fill="FFFFFF"/>
        <w:jc w:val="left"/>
        <w:textAlignment w:val="baseline"/>
        <w:rPr>
          <w:rFonts w:cs="Arial"/>
          <w:color w:val="181F25"/>
          <w:szCs w:val="22"/>
        </w:rPr>
      </w:pPr>
      <w:r w:rsidRPr="00B33BB6">
        <w:rPr>
          <w:rFonts w:cs="Arial"/>
          <w:color w:val="1155CC"/>
          <w:szCs w:val="22"/>
          <w:u w:val="single"/>
        </w:rPr>
        <w:t>WHO World Health Survey Manual</w:t>
      </w:r>
      <w:r w:rsidRPr="00B33BB6">
        <w:rPr>
          <w:rFonts w:cs="Arial"/>
          <w:color w:val="000000"/>
          <w:szCs w:val="22"/>
        </w:rPr>
        <w:t>.</w:t>
      </w:r>
    </w:p>
    <w:p w14:paraId="5A7B9E25" w14:textId="77777777" w:rsidR="0042323B" w:rsidRPr="00B33BB6" w:rsidRDefault="0042323B" w:rsidP="0042323B">
      <w:pPr>
        <w:shd w:val="clear" w:color="auto" w:fill="FFFFFF"/>
        <w:textAlignment w:val="baseline"/>
        <w:rPr>
          <w:rFonts w:cs="Arial"/>
          <w:color w:val="181F25"/>
          <w:szCs w:val="22"/>
        </w:rPr>
      </w:pPr>
    </w:p>
    <w:p w14:paraId="536EDFBC" w14:textId="22A28920" w:rsidR="0042323B" w:rsidRPr="00B33BB6" w:rsidRDefault="0042323B" w:rsidP="0042323B">
      <w:pPr>
        <w:shd w:val="clear" w:color="auto" w:fill="FFFFFF" w:themeFill="background1"/>
        <w:spacing w:before="60" w:after="60"/>
        <w:rPr>
          <w:rFonts w:cs="Arial"/>
          <w:szCs w:val="22"/>
        </w:rPr>
      </w:pPr>
      <w:r w:rsidRPr="00B33BB6">
        <w:rPr>
          <w:rFonts w:cs="Arial"/>
          <w:szCs w:val="22"/>
        </w:rPr>
        <w:t xml:space="preserve">Additional sources used in CLEAR </w:t>
      </w:r>
      <w:r w:rsidRPr="00B33BB6">
        <w:rPr>
          <w:rFonts w:cs="Arial"/>
          <w:i/>
          <w:szCs w:val="22"/>
        </w:rPr>
        <w:t>Appendix 4: Upstream Emissions from Other Fuels</w:t>
      </w:r>
      <w:r w:rsidRPr="00B33BB6">
        <w:rPr>
          <w:rFonts w:cs="Arial"/>
          <w:szCs w:val="22"/>
        </w:rPr>
        <w:t xml:space="preserve"> and </w:t>
      </w:r>
      <w:r w:rsidRPr="00B33BB6">
        <w:rPr>
          <w:rFonts w:cs="Arial"/>
          <w:i/>
          <w:szCs w:val="22"/>
        </w:rPr>
        <w:t>Appendix 5: Default Point of Use Emission Factors, Thermal Efficiencies, and NCVs:</w:t>
      </w:r>
    </w:p>
    <w:p w14:paraId="5F8A1785" w14:textId="77777777" w:rsidR="0042323B" w:rsidRPr="00B33BB6" w:rsidRDefault="0042323B" w:rsidP="0042323B">
      <w:pPr>
        <w:shd w:val="clear" w:color="auto" w:fill="FFFFFF" w:themeFill="background1"/>
        <w:spacing w:before="60" w:after="60"/>
        <w:rPr>
          <w:rFonts w:eastAsia="Arial" w:cs="Arial"/>
          <w:color w:val="000000"/>
          <w:szCs w:val="22"/>
        </w:rPr>
      </w:pPr>
    </w:p>
    <w:p w14:paraId="4FB53C8E" w14:textId="77777777" w:rsidR="0042323B" w:rsidRPr="00B33BB6" w:rsidRDefault="0042323B" w:rsidP="0042323B">
      <w:pPr>
        <w:tabs>
          <w:tab w:val="left" w:pos="720"/>
        </w:tabs>
        <w:spacing w:line="288" w:lineRule="auto"/>
        <w:ind w:left="284" w:hanging="284"/>
        <w:rPr>
          <w:rFonts w:eastAsia="Montserrat" w:cs="Arial"/>
          <w:color w:val="222222"/>
          <w:szCs w:val="22"/>
        </w:rPr>
      </w:pPr>
      <w:r w:rsidRPr="00B33BB6">
        <w:rPr>
          <w:rFonts w:eastAsia="Montserrat" w:cs="Arial"/>
          <w:color w:val="222222"/>
          <w:szCs w:val="22"/>
        </w:rPr>
        <w:t xml:space="preserve">Akagi, S. K., R. J. Yokelson, C. </w:t>
      </w:r>
      <w:proofErr w:type="spellStart"/>
      <w:r w:rsidRPr="00B33BB6">
        <w:rPr>
          <w:rFonts w:eastAsia="Montserrat" w:cs="Arial"/>
          <w:color w:val="222222"/>
          <w:szCs w:val="22"/>
        </w:rPr>
        <w:t>Wiedinmyer</w:t>
      </w:r>
      <w:proofErr w:type="spellEnd"/>
      <w:r w:rsidRPr="00B33BB6">
        <w:rPr>
          <w:rFonts w:eastAsia="Montserrat" w:cs="Arial"/>
          <w:color w:val="222222"/>
          <w:szCs w:val="22"/>
        </w:rPr>
        <w:t xml:space="preserve">, M. J. Alvarado, J. S. Reid, T. Karl, J. D. Crounse, and P. O. Wennberg. “Emission Factors for Open and Domestic Biomass Burning for Use in Atmospheric Models.” Atmospheric Chemistry and Physics 11, no. 9 (May 3, 2011): 4039–72. </w:t>
      </w:r>
      <w:hyperlink r:id="rId31">
        <w:r w:rsidRPr="00B33BB6">
          <w:rPr>
            <w:rFonts w:eastAsia="Montserrat" w:cs="Arial"/>
            <w:color w:val="1163C1"/>
            <w:szCs w:val="22"/>
            <w:u w:val="single"/>
          </w:rPr>
          <w:t>https://doi.org/10.5194/acp-11-4039-2011</w:t>
        </w:r>
      </w:hyperlink>
    </w:p>
    <w:p w14:paraId="76E0FB5C" w14:textId="77777777" w:rsidR="0042323B" w:rsidRPr="00B33BB6" w:rsidRDefault="0042323B" w:rsidP="0042323B">
      <w:pPr>
        <w:tabs>
          <w:tab w:val="left" w:pos="720"/>
        </w:tabs>
        <w:spacing w:line="288" w:lineRule="auto"/>
        <w:ind w:left="284" w:hanging="284"/>
        <w:rPr>
          <w:rFonts w:eastAsia="Montserrat" w:cs="Arial"/>
          <w:color w:val="222222"/>
          <w:szCs w:val="22"/>
        </w:rPr>
      </w:pPr>
    </w:p>
    <w:p w14:paraId="3017E837" w14:textId="77777777" w:rsidR="0042323B" w:rsidRPr="00B33BB6" w:rsidRDefault="0042323B" w:rsidP="0042323B">
      <w:pPr>
        <w:tabs>
          <w:tab w:val="left" w:pos="720"/>
        </w:tabs>
        <w:spacing w:line="288" w:lineRule="auto"/>
        <w:ind w:left="284" w:hanging="284"/>
        <w:rPr>
          <w:rFonts w:eastAsia="Montserrat" w:cs="Arial"/>
          <w:color w:val="222222"/>
          <w:szCs w:val="22"/>
        </w:rPr>
      </w:pPr>
      <w:r w:rsidRPr="00B33BB6">
        <w:rPr>
          <w:rFonts w:eastAsia="Montserrat" w:cs="Arial"/>
          <w:color w:val="222222"/>
          <w:szCs w:val="22"/>
        </w:rPr>
        <w:t>Bertschi, Isaac T., Robert J. Yokelson, Darold E. Ward, Ted J. Christian, and Wei Min Hao. “Trace Gas Emissions from the Production and Use of Domestic Biofuels in Zambia Measured by Open-Path Fourier Transform Infrared Spectroscopy.” Journal of Geophysical Research-Atmosphere 108 (2003): 5–1, 5–13</w:t>
      </w:r>
    </w:p>
    <w:p w14:paraId="2034601F" w14:textId="77777777" w:rsidR="0042323B" w:rsidRPr="00B33BB6" w:rsidRDefault="0042323B" w:rsidP="0042323B">
      <w:pPr>
        <w:tabs>
          <w:tab w:val="left" w:pos="720"/>
        </w:tabs>
        <w:spacing w:line="288" w:lineRule="auto"/>
        <w:ind w:left="284" w:hanging="284"/>
        <w:rPr>
          <w:rFonts w:eastAsia="Montserrat" w:cs="Arial"/>
          <w:color w:val="222222"/>
          <w:szCs w:val="22"/>
        </w:rPr>
      </w:pPr>
    </w:p>
    <w:p w14:paraId="14584C72" w14:textId="77777777" w:rsidR="0042323B" w:rsidRPr="00B33BB6" w:rsidRDefault="0042323B" w:rsidP="0042323B">
      <w:pPr>
        <w:shd w:val="clear" w:color="auto" w:fill="FFFFFF" w:themeFill="background1"/>
        <w:spacing w:line="288" w:lineRule="auto"/>
        <w:ind w:left="284" w:hanging="284"/>
        <w:rPr>
          <w:rFonts w:eastAsia="Montserrat" w:cs="Arial"/>
          <w:szCs w:val="22"/>
        </w:rPr>
      </w:pPr>
      <w:r w:rsidRPr="00B33BB6">
        <w:rPr>
          <w:rFonts w:eastAsia="Montserrat" w:cs="Arial"/>
          <w:szCs w:val="22"/>
        </w:rPr>
        <w:t xml:space="preserve">Brocard, D., C. </w:t>
      </w:r>
      <w:proofErr w:type="spellStart"/>
      <w:r w:rsidRPr="00B33BB6">
        <w:rPr>
          <w:rFonts w:eastAsia="Montserrat" w:cs="Arial"/>
          <w:szCs w:val="22"/>
        </w:rPr>
        <w:t>Lacaux</w:t>
      </w:r>
      <w:proofErr w:type="spellEnd"/>
      <w:r w:rsidRPr="00B33BB6">
        <w:rPr>
          <w:rFonts w:eastAsia="Montserrat" w:cs="Arial"/>
          <w:szCs w:val="22"/>
        </w:rPr>
        <w:t xml:space="preserve">, J. P. </w:t>
      </w:r>
      <w:proofErr w:type="spellStart"/>
      <w:r w:rsidRPr="00B33BB6">
        <w:rPr>
          <w:rFonts w:eastAsia="Montserrat" w:cs="Arial"/>
          <w:szCs w:val="22"/>
        </w:rPr>
        <w:t>Lacaux</w:t>
      </w:r>
      <w:proofErr w:type="spellEnd"/>
      <w:r w:rsidRPr="00B33BB6">
        <w:rPr>
          <w:rFonts w:eastAsia="Montserrat" w:cs="Arial"/>
          <w:szCs w:val="22"/>
        </w:rPr>
        <w:t>, G. Kouadio, and V. Yoboue. “Emissions from the Combustion of Biofuels in Western Africa.” In Biomass Burning and Global Change, edited by J. S. Levine, 1:350–60. Cambridge, MA: MIT Press, 1996.</w:t>
      </w:r>
    </w:p>
    <w:p w14:paraId="1A797A52" w14:textId="77777777" w:rsidR="0042323B" w:rsidRPr="00B33BB6" w:rsidRDefault="0042323B" w:rsidP="0042323B">
      <w:pPr>
        <w:tabs>
          <w:tab w:val="left" w:pos="720"/>
        </w:tabs>
        <w:spacing w:line="288" w:lineRule="auto"/>
        <w:ind w:left="284" w:hanging="284"/>
        <w:rPr>
          <w:rFonts w:eastAsia="Montserrat" w:cs="Arial"/>
          <w:color w:val="222222"/>
          <w:szCs w:val="22"/>
        </w:rPr>
      </w:pPr>
    </w:p>
    <w:p w14:paraId="41566B83" w14:textId="77777777" w:rsidR="0042323B" w:rsidRPr="00B33BB6" w:rsidRDefault="0042323B" w:rsidP="0042323B">
      <w:pPr>
        <w:tabs>
          <w:tab w:val="left" w:pos="720"/>
        </w:tabs>
        <w:spacing w:line="288" w:lineRule="auto"/>
        <w:ind w:left="284" w:hanging="284"/>
        <w:rPr>
          <w:rFonts w:eastAsia="Montserrat" w:cs="Arial"/>
          <w:color w:val="1163C1"/>
          <w:szCs w:val="22"/>
          <w:u w:val="single"/>
        </w:rPr>
      </w:pPr>
      <w:r w:rsidRPr="00B33BB6">
        <w:rPr>
          <w:rFonts w:eastAsia="Montserrat" w:cs="Arial"/>
          <w:color w:val="222222"/>
          <w:szCs w:val="22"/>
        </w:rPr>
        <w:t xml:space="preserve">Christian, T. J., R. J. Yokelson, B. Cárdenas, L. T. Molina, G. Engling, and S.-C. Hsu. “Trace Gas and Particle Emissions from Domestic and Industrial Biofuel Use and Garbage Burning in Central Mexico.” Atmospheric Chemistry and Physics 10, no. 2 (January 21, 2010): 565–84. </w:t>
      </w:r>
      <w:hyperlink r:id="rId32" w:history="1">
        <w:r w:rsidRPr="00B33BB6">
          <w:rPr>
            <w:rStyle w:val="Hyperlink"/>
            <w:rFonts w:eastAsia="Montserrat" w:cs="Arial"/>
            <w:color w:val="1163C1"/>
            <w:szCs w:val="22"/>
          </w:rPr>
          <w:t>h</w:t>
        </w:r>
      </w:hyperlink>
      <w:r w:rsidRPr="00B33BB6">
        <w:rPr>
          <w:rFonts w:eastAsia="Montserrat" w:cs="Arial"/>
          <w:color w:val="1163C1"/>
          <w:szCs w:val="22"/>
          <w:u w:val="single"/>
        </w:rPr>
        <w:t>ttps://doi.org/10.5194/acp-10-565-2010</w:t>
      </w:r>
    </w:p>
    <w:p w14:paraId="2B67649F" w14:textId="77777777" w:rsidR="0042323B" w:rsidRPr="00B33BB6" w:rsidRDefault="0042323B" w:rsidP="0042323B">
      <w:pPr>
        <w:tabs>
          <w:tab w:val="left" w:pos="720"/>
        </w:tabs>
        <w:spacing w:line="288" w:lineRule="auto"/>
        <w:ind w:left="284" w:hanging="284"/>
        <w:rPr>
          <w:rFonts w:eastAsia="Montserrat" w:cs="Arial"/>
          <w:color w:val="1163C1"/>
          <w:szCs w:val="22"/>
          <w:u w:val="single"/>
        </w:rPr>
      </w:pPr>
    </w:p>
    <w:p w14:paraId="388BEE0C" w14:textId="77777777" w:rsidR="0042323B" w:rsidRPr="00B33BB6" w:rsidRDefault="0042323B" w:rsidP="0042323B">
      <w:pPr>
        <w:shd w:val="clear" w:color="auto" w:fill="FFFFFF" w:themeFill="background1"/>
        <w:spacing w:line="288" w:lineRule="auto"/>
        <w:ind w:left="284" w:hanging="284"/>
        <w:rPr>
          <w:rFonts w:eastAsia="Montserrat" w:cs="Arial"/>
          <w:szCs w:val="22"/>
        </w:rPr>
      </w:pPr>
      <w:r w:rsidRPr="00B33BB6">
        <w:rPr>
          <w:rFonts w:eastAsia="Montserrat" w:cs="Arial"/>
          <w:szCs w:val="22"/>
        </w:rPr>
        <w:t xml:space="preserve">Fleming LT, Weltman R, Yadav A, et al. Emissions from village cookstoves in Haryana, India, and their potential impacts on air quality. Atmos Chem Phys. </w:t>
      </w:r>
      <w:proofErr w:type="gramStart"/>
      <w:r w:rsidRPr="00B33BB6">
        <w:rPr>
          <w:rFonts w:eastAsia="Montserrat" w:cs="Arial"/>
          <w:szCs w:val="22"/>
        </w:rPr>
        <w:t>2018;18:15169</w:t>
      </w:r>
      <w:proofErr w:type="gramEnd"/>
      <w:r w:rsidRPr="00B33BB6">
        <w:rPr>
          <w:rFonts w:eastAsia="Montserrat" w:cs="Arial"/>
          <w:szCs w:val="22"/>
        </w:rPr>
        <w:t>–15182.</w:t>
      </w:r>
    </w:p>
    <w:p w14:paraId="6B38045E" w14:textId="77777777" w:rsidR="0042323B" w:rsidRPr="00B33BB6" w:rsidRDefault="0042323B" w:rsidP="0042323B">
      <w:pPr>
        <w:tabs>
          <w:tab w:val="left" w:pos="720"/>
        </w:tabs>
        <w:spacing w:line="288" w:lineRule="auto"/>
        <w:rPr>
          <w:rFonts w:eastAsia="Montserrat" w:cs="Arial"/>
          <w:color w:val="222222"/>
          <w:szCs w:val="22"/>
        </w:rPr>
      </w:pPr>
    </w:p>
    <w:p w14:paraId="5F0C8B53" w14:textId="77777777" w:rsidR="0042323B" w:rsidRPr="00B33BB6" w:rsidRDefault="0042323B" w:rsidP="0042323B">
      <w:pPr>
        <w:tabs>
          <w:tab w:val="left" w:pos="720"/>
        </w:tabs>
        <w:spacing w:line="288" w:lineRule="auto"/>
        <w:ind w:left="284" w:hanging="284"/>
        <w:rPr>
          <w:rFonts w:eastAsia="Montserrat" w:cs="Arial"/>
          <w:color w:val="222222"/>
          <w:szCs w:val="22"/>
        </w:rPr>
      </w:pPr>
      <w:proofErr w:type="spellStart"/>
      <w:r w:rsidRPr="00B33BB6">
        <w:rPr>
          <w:rFonts w:eastAsia="Montserrat" w:cs="Arial"/>
          <w:color w:val="222222"/>
          <w:szCs w:val="22"/>
        </w:rPr>
        <w:t>Floess</w:t>
      </w:r>
      <w:proofErr w:type="spellEnd"/>
      <w:r w:rsidRPr="00B33BB6">
        <w:rPr>
          <w:rFonts w:eastAsia="Montserrat" w:cs="Arial"/>
          <w:color w:val="222222"/>
          <w:szCs w:val="22"/>
        </w:rPr>
        <w:t xml:space="preserve">, E., Grieshop, A., </w:t>
      </w:r>
      <w:proofErr w:type="spellStart"/>
      <w:r w:rsidRPr="00B33BB6">
        <w:rPr>
          <w:rFonts w:eastAsia="Montserrat" w:cs="Arial"/>
          <w:color w:val="222222"/>
          <w:szCs w:val="22"/>
        </w:rPr>
        <w:t>Puzzolo</w:t>
      </w:r>
      <w:proofErr w:type="spellEnd"/>
      <w:r w:rsidRPr="00B33BB6">
        <w:rPr>
          <w:rFonts w:eastAsia="Montserrat" w:cs="Arial"/>
          <w:color w:val="222222"/>
          <w:szCs w:val="22"/>
        </w:rPr>
        <w:t xml:space="preserve">, E., Pope, D., Leach, N., Smith, C., Gill-Wiehl, A., Landesman, K., and Bailis, R. “Scaling up gas and electric cooking in low- and middle-income countries: climate threat or mitigation strategy with co-benefits?” Environmental Research Letters 18, no. 3 (2023). </w:t>
      </w:r>
      <w:hyperlink r:id="rId33" w:history="1">
        <w:r w:rsidRPr="00B33BB6">
          <w:rPr>
            <w:rStyle w:val="Hyperlink"/>
            <w:rFonts w:eastAsia="Montserrat" w:cs="Arial"/>
            <w:szCs w:val="22"/>
          </w:rPr>
          <w:t>https://doi.org/10.1088/1748-9326/acb501</w:t>
        </w:r>
      </w:hyperlink>
      <w:r w:rsidRPr="00B33BB6">
        <w:rPr>
          <w:rFonts w:eastAsia="Montserrat" w:cs="Arial"/>
          <w:color w:val="222222"/>
          <w:szCs w:val="22"/>
        </w:rPr>
        <w:t xml:space="preserve"> </w:t>
      </w:r>
    </w:p>
    <w:p w14:paraId="7F49CEAF" w14:textId="77777777" w:rsidR="0042323B" w:rsidRPr="00B33BB6" w:rsidRDefault="0042323B" w:rsidP="0042323B">
      <w:pPr>
        <w:tabs>
          <w:tab w:val="left" w:pos="720"/>
        </w:tabs>
        <w:spacing w:line="288" w:lineRule="auto"/>
        <w:ind w:left="284" w:hanging="284"/>
        <w:rPr>
          <w:rFonts w:eastAsia="Montserrat" w:cs="Arial"/>
          <w:color w:val="222222"/>
          <w:szCs w:val="22"/>
        </w:rPr>
      </w:pPr>
    </w:p>
    <w:p w14:paraId="4D8B001E" w14:textId="77777777" w:rsidR="0042323B" w:rsidRPr="00B33BB6" w:rsidRDefault="0042323B" w:rsidP="0042323B">
      <w:pPr>
        <w:spacing w:line="288" w:lineRule="auto"/>
        <w:ind w:left="284" w:hanging="284"/>
        <w:rPr>
          <w:rFonts w:eastAsia="Montserrat" w:cs="Arial"/>
          <w:szCs w:val="22"/>
        </w:rPr>
      </w:pPr>
      <w:r w:rsidRPr="00B33BB6">
        <w:rPr>
          <w:rFonts w:eastAsia="Montserrat" w:cs="Arial"/>
          <w:szCs w:val="22"/>
        </w:rPr>
        <w:t xml:space="preserve">Gomez, Darío R., and John D. Watterson. 2006. </w:t>
      </w:r>
      <w:r w:rsidRPr="00B33BB6">
        <w:rPr>
          <w:rFonts w:eastAsia="Montserrat" w:cs="Arial"/>
          <w:i/>
          <w:szCs w:val="22"/>
        </w:rPr>
        <w:t>2006 IPCC Guidelines for National Greenhouse Gas Inventories</w:t>
      </w:r>
      <w:r w:rsidRPr="00B33BB6">
        <w:rPr>
          <w:rFonts w:eastAsia="Montserrat" w:cs="Arial"/>
          <w:szCs w:val="22"/>
        </w:rPr>
        <w:t xml:space="preserve">. edited by S. Eggleston, L. Buendia, K. Miwa, T. Ngara, and K. Tanabe. </w:t>
      </w:r>
      <w:proofErr w:type="spellStart"/>
      <w:r w:rsidRPr="00B33BB6">
        <w:rPr>
          <w:rFonts w:eastAsia="Montserrat" w:cs="Arial"/>
          <w:szCs w:val="22"/>
        </w:rPr>
        <w:t>Kamiyamaguchi</w:t>
      </w:r>
      <w:proofErr w:type="spellEnd"/>
      <w:r w:rsidRPr="00B33BB6">
        <w:rPr>
          <w:rFonts w:eastAsia="Montserrat" w:cs="Arial"/>
          <w:szCs w:val="22"/>
        </w:rPr>
        <w:t xml:space="preserve"> Hayama, Japan: Institute for Global Environmental Strategies.</w:t>
      </w:r>
    </w:p>
    <w:p w14:paraId="689051FE" w14:textId="77777777" w:rsidR="0042323B" w:rsidRPr="00B33BB6" w:rsidRDefault="0042323B" w:rsidP="0042323B">
      <w:pPr>
        <w:tabs>
          <w:tab w:val="left" w:pos="720"/>
        </w:tabs>
        <w:spacing w:line="288" w:lineRule="auto"/>
        <w:rPr>
          <w:rFonts w:eastAsia="Montserrat" w:cs="Arial"/>
          <w:color w:val="222222"/>
          <w:szCs w:val="22"/>
          <w:vertAlign w:val="superscript"/>
        </w:rPr>
      </w:pPr>
    </w:p>
    <w:p w14:paraId="03A667FA" w14:textId="77777777" w:rsidR="0042323B" w:rsidRPr="00B33BB6" w:rsidRDefault="0042323B" w:rsidP="0042323B">
      <w:pPr>
        <w:tabs>
          <w:tab w:val="left" w:pos="720"/>
        </w:tabs>
        <w:spacing w:line="288" w:lineRule="auto"/>
        <w:ind w:left="284" w:hanging="284"/>
        <w:rPr>
          <w:rFonts w:eastAsia="Montserrat" w:cs="Arial"/>
          <w:color w:val="222222"/>
          <w:szCs w:val="22"/>
        </w:rPr>
      </w:pPr>
      <w:proofErr w:type="spellStart"/>
      <w:r w:rsidRPr="00B33BB6">
        <w:rPr>
          <w:rFonts w:eastAsia="Montserrat" w:cs="Arial"/>
          <w:color w:val="222222"/>
          <w:szCs w:val="22"/>
        </w:rPr>
        <w:t>Lacaux</w:t>
      </w:r>
      <w:proofErr w:type="spellEnd"/>
      <w:r w:rsidRPr="00B33BB6">
        <w:rPr>
          <w:rFonts w:eastAsia="Montserrat" w:cs="Arial"/>
          <w:color w:val="222222"/>
          <w:szCs w:val="22"/>
        </w:rPr>
        <w:t xml:space="preserve">, J. P., J. M. </w:t>
      </w:r>
      <w:proofErr w:type="spellStart"/>
      <w:r w:rsidRPr="00B33BB6">
        <w:rPr>
          <w:rFonts w:eastAsia="Montserrat" w:cs="Arial"/>
          <w:color w:val="222222"/>
          <w:szCs w:val="22"/>
        </w:rPr>
        <w:t>Brustet</w:t>
      </w:r>
      <w:proofErr w:type="spellEnd"/>
      <w:r w:rsidRPr="00B33BB6">
        <w:rPr>
          <w:rFonts w:eastAsia="Montserrat" w:cs="Arial"/>
          <w:color w:val="222222"/>
          <w:szCs w:val="22"/>
        </w:rPr>
        <w:t xml:space="preserve">, R. Delmas, J. C. Menaut, L. Abbadie, B. </w:t>
      </w:r>
      <w:proofErr w:type="spellStart"/>
      <w:r w:rsidRPr="00B33BB6">
        <w:rPr>
          <w:rFonts w:eastAsia="Montserrat" w:cs="Arial"/>
          <w:color w:val="222222"/>
          <w:szCs w:val="22"/>
        </w:rPr>
        <w:t>Bonsang</w:t>
      </w:r>
      <w:proofErr w:type="spellEnd"/>
      <w:r w:rsidRPr="00B33BB6">
        <w:rPr>
          <w:rFonts w:eastAsia="Montserrat" w:cs="Arial"/>
          <w:color w:val="222222"/>
          <w:szCs w:val="22"/>
        </w:rPr>
        <w:t xml:space="preserve">, H. </w:t>
      </w:r>
      <w:proofErr w:type="spellStart"/>
      <w:r w:rsidRPr="00B33BB6">
        <w:rPr>
          <w:rFonts w:eastAsia="Montserrat" w:cs="Arial"/>
          <w:color w:val="222222"/>
          <w:szCs w:val="22"/>
        </w:rPr>
        <w:t>Cachier</w:t>
      </w:r>
      <w:proofErr w:type="spellEnd"/>
      <w:r w:rsidRPr="00B33BB6">
        <w:rPr>
          <w:rFonts w:eastAsia="Montserrat" w:cs="Arial"/>
          <w:color w:val="222222"/>
          <w:szCs w:val="22"/>
        </w:rPr>
        <w:t xml:space="preserve">, J. Baudet, M. O. Andreae, and G. Helas. “Biomass Burning in the Tropical Savannas of Ivory Coast: An Overview of the Field Experiment Fire of Savannas (FOS/DECAFE 91).” Journal </w:t>
      </w:r>
      <w:r w:rsidRPr="00B33BB6">
        <w:rPr>
          <w:rFonts w:eastAsia="Montserrat" w:cs="Arial"/>
          <w:color w:val="222222"/>
          <w:szCs w:val="22"/>
        </w:rPr>
        <w:lastRenderedPageBreak/>
        <w:t xml:space="preserve">of Atmospheric Chemistry 22, no. 1–2 (October 1995): 195–216. </w:t>
      </w:r>
      <w:hyperlink r:id="rId34">
        <w:r w:rsidRPr="00B33BB6">
          <w:rPr>
            <w:rFonts w:eastAsia="Montserrat" w:cs="Arial"/>
            <w:color w:val="1163C1"/>
            <w:szCs w:val="22"/>
            <w:u w:val="single"/>
          </w:rPr>
          <w:t>https://doi.org/10.1007/BF00708189</w:t>
        </w:r>
      </w:hyperlink>
    </w:p>
    <w:p w14:paraId="21EF881C" w14:textId="77777777" w:rsidR="0042323B" w:rsidRPr="00B33BB6" w:rsidRDefault="0042323B" w:rsidP="0042323B">
      <w:pPr>
        <w:tabs>
          <w:tab w:val="left" w:pos="720"/>
        </w:tabs>
        <w:spacing w:line="288" w:lineRule="auto"/>
        <w:rPr>
          <w:rFonts w:eastAsia="Montserrat" w:cs="Arial"/>
          <w:color w:val="222222"/>
          <w:szCs w:val="22"/>
          <w:vertAlign w:val="superscript"/>
        </w:rPr>
      </w:pPr>
    </w:p>
    <w:p w14:paraId="7D456D0A" w14:textId="77777777" w:rsidR="0042323B" w:rsidRPr="00B33BB6" w:rsidRDefault="0042323B" w:rsidP="0042323B">
      <w:pPr>
        <w:tabs>
          <w:tab w:val="left" w:pos="720"/>
        </w:tabs>
        <w:spacing w:line="288" w:lineRule="auto"/>
        <w:ind w:left="284" w:hanging="284"/>
        <w:rPr>
          <w:rFonts w:eastAsia="Montserrat" w:cs="Arial"/>
          <w:color w:val="222222"/>
          <w:szCs w:val="22"/>
        </w:rPr>
      </w:pPr>
      <w:r w:rsidRPr="00B33BB6">
        <w:rPr>
          <w:rFonts w:eastAsia="Montserrat" w:cs="Arial"/>
          <w:color w:val="222222"/>
          <w:szCs w:val="22"/>
        </w:rPr>
        <w:t>Pennise, D., K. R. Smith, J. P. Kithinji, M. E. Rezende, T. J. Raad, J. Zhang, and C. Fan. “Emissions of Greenhouse Gases and Other Airborne Pollutants from Charcoal-Making in Kenya and Brazil.” Journal of Geophysical Research-Atmosphere 106 (2001): 24143–55</w:t>
      </w:r>
    </w:p>
    <w:p w14:paraId="6B7514C9" w14:textId="77777777" w:rsidR="0042323B" w:rsidRPr="00B33BB6" w:rsidRDefault="0042323B" w:rsidP="0042323B">
      <w:pPr>
        <w:tabs>
          <w:tab w:val="left" w:pos="720"/>
        </w:tabs>
        <w:spacing w:line="288" w:lineRule="auto"/>
        <w:ind w:left="284" w:hanging="284"/>
        <w:rPr>
          <w:rFonts w:eastAsia="Montserrat" w:cs="Arial"/>
          <w:color w:val="222222"/>
          <w:szCs w:val="22"/>
        </w:rPr>
      </w:pPr>
    </w:p>
    <w:p w14:paraId="05AB627A" w14:textId="77777777" w:rsidR="0042323B" w:rsidRPr="00B33BB6" w:rsidRDefault="0042323B" w:rsidP="0042323B">
      <w:pPr>
        <w:tabs>
          <w:tab w:val="left" w:pos="720"/>
        </w:tabs>
        <w:spacing w:line="288" w:lineRule="auto"/>
        <w:ind w:left="284" w:hanging="284"/>
        <w:rPr>
          <w:rFonts w:eastAsia="Montserrat" w:cs="Arial"/>
          <w:color w:val="222222"/>
          <w:szCs w:val="22"/>
        </w:rPr>
      </w:pPr>
      <w:r w:rsidRPr="00B33BB6">
        <w:rPr>
          <w:rFonts w:eastAsia="Montserrat" w:cs="Arial"/>
          <w:color w:val="222222"/>
          <w:szCs w:val="22"/>
        </w:rPr>
        <w:t xml:space="preserve">Smith, K. R., D. P. Pennise, P. </w:t>
      </w:r>
      <w:proofErr w:type="spellStart"/>
      <w:r w:rsidRPr="00B33BB6">
        <w:rPr>
          <w:rFonts w:eastAsia="Montserrat" w:cs="Arial"/>
          <w:color w:val="222222"/>
          <w:szCs w:val="22"/>
        </w:rPr>
        <w:t>Khummongkol</w:t>
      </w:r>
      <w:proofErr w:type="spellEnd"/>
      <w:r w:rsidRPr="00B33BB6">
        <w:rPr>
          <w:rFonts w:eastAsia="Montserrat" w:cs="Arial"/>
          <w:color w:val="222222"/>
          <w:szCs w:val="22"/>
        </w:rPr>
        <w:t xml:space="preserve">, V. Chaiwong, K. </w:t>
      </w:r>
      <w:proofErr w:type="spellStart"/>
      <w:r w:rsidRPr="00B33BB6">
        <w:rPr>
          <w:rFonts w:eastAsia="Montserrat" w:cs="Arial"/>
          <w:color w:val="222222"/>
          <w:szCs w:val="22"/>
        </w:rPr>
        <w:t>Ritgeen</w:t>
      </w:r>
      <w:proofErr w:type="spellEnd"/>
      <w:r w:rsidRPr="00B33BB6">
        <w:rPr>
          <w:rFonts w:eastAsia="Montserrat" w:cs="Arial"/>
          <w:color w:val="222222"/>
          <w:szCs w:val="22"/>
        </w:rPr>
        <w:t xml:space="preserve">, J. Zhang, W. </w:t>
      </w:r>
      <w:proofErr w:type="spellStart"/>
      <w:r w:rsidRPr="00B33BB6">
        <w:rPr>
          <w:rFonts w:eastAsia="Montserrat" w:cs="Arial"/>
          <w:color w:val="222222"/>
          <w:szCs w:val="22"/>
        </w:rPr>
        <w:t>Panyathanya</w:t>
      </w:r>
      <w:proofErr w:type="spellEnd"/>
      <w:r w:rsidRPr="00B33BB6">
        <w:rPr>
          <w:rFonts w:eastAsia="Montserrat" w:cs="Arial"/>
          <w:color w:val="222222"/>
          <w:szCs w:val="22"/>
        </w:rPr>
        <w:t xml:space="preserve">, R. A. Rasmussen, and M. A. K. Khalil. “Greenhouse Gases from Small-Scale Combustion in Developing Countries: Charcoal Making Kilns in Thailand.” Research Triangle Park, NC: US EPA, 1999 </w:t>
      </w:r>
    </w:p>
    <w:p w14:paraId="1AED94C0" w14:textId="77777777" w:rsidR="0042323B" w:rsidRPr="00B33BB6" w:rsidRDefault="0042323B" w:rsidP="0042323B">
      <w:pPr>
        <w:tabs>
          <w:tab w:val="left" w:pos="720"/>
        </w:tabs>
        <w:spacing w:line="288" w:lineRule="auto"/>
        <w:ind w:left="284" w:hanging="284"/>
        <w:rPr>
          <w:rFonts w:eastAsia="Montserrat" w:cs="Arial"/>
          <w:color w:val="222222"/>
          <w:szCs w:val="22"/>
        </w:rPr>
      </w:pPr>
    </w:p>
    <w:p w14:paraId="27704698" w14:textId="77777777" w:rsidR="0042323B" w:rsidRPr="00B33BB6" w:rsidRDefault="0042323B" w:rsidP="0042323B">
      <w:pPr>
        <w:shd w:val="clear" w:color="auto" w:fill="FFFFFF" w:themeFill="background1"/>
        <w:spacing w:line="288" w:lineRule="auto"/>
        <w:ind w:left="284" w:hanging="284"/>
        <w:rPr>
          <w:rFonts w:eastAsia="Montserrat" w:cs="Arial"/>
          <w:szCs w:val="22"/>
        </w:rPr>
      </w:pPr>
      <w:r w:rsidRPr="00B33BB6">
        <w:rPr>
          <w:rFonts w:eastAsia="Montserrat" w:cs="Arial"/>
          <w:szCs w:val="22"/>
        </w:rPr>
        <w:t>Stockwell CE, Christian TJ, Goetz JD, et al. Nepal Ambient Monitoring and Source Testing Experiment (</w:t>
      </w:r>
      <w:proofErr w:type="spellStart"/>
      <w:r w:rsidRPr="00B33BB6">
        <w:rPr>
          <w:rFonts w:eastAsia="Montserrat" w:cs="Arial"/>
          <w:szCs w:val="22"/>
        </w:rPr>
        <w:t>NAMaSTE</w:t>
      </w:r>
      <w:proofErr w:type="spellEnd"/>
      <w:r w:rsidRPr="00B33BB6">
        <w:rPr>
          <w:rFonts w:eastAsia="Montserrat" w:cs="Arial"/>
          <w:szCs w:val="22"/>
        </w:rPr>
        <w:t xml:space="preserve">): emissions of trace gases and light-absorbing carbon from wood and dung cooking fires, garbage and crop residue burning, brick kilns, and other sources. Atmospheric Chemistry and Physics. </w:t>
      </w:r>
      <w:proofErr w:type="gramStart"/>
      <w:r w:rsidRPr="00B33BB6">
        <w:rPr>
          <w:rFonts w:eastAsia="Montserrat" w:cs="Arial"/>
          <w:szCs w:val="22"/>
        </w:rPr>
        <w:t>2016;16:11043</w:t>
      </w:r>
      <w:proofErr w:type="gramEnd"/>
      <w:r w:rsidRPr="00B33BB6">
        <w:rPr>
          <w:rFonts w:eastAsia="Montserrat" w:cs="Arial"/>
          <w:szCs w:val="22"/>
        </w:rPr>
        <w:t>–11081.</w:t>
      </w:r>
    </w:p>
    <w:p w14:paraId="1950FB94" w14:textId="77777777" w:rsidR="0042323B" w:rsidRPr="00B33BB6" w:rsidRDefault="0042323B" w:rsidP="0042323B">
      <w:pPr>
        <w:shd w:val="clear" w:color="auto" w:fill="FFFFFF" w:themeFill="background1"/>
        <w:spacing w:line="288" w:lineRule="auto"/>
        <w:ind w:left="284" w:hanging="284"/>
        <w:rPr>
          <w:rFonts w:eastAsia="Montserrat" w:cs="Arial"/>
          <w:szCs w:val="22"/>
        </w:rPr>
      </w:pPr>
    </w:p>
    <w:p w14:paraId="52D025BF" w14:textId="77777777" w:rsidR="0042323B" w:rsidRPr="00B33BB6" w:rsidRDefault="0042323B" w:rsidP="0042323B">
      <w:pPr>
        <w:shd w:val="clear" w:color="auto" w:fill="FFFFFF" w:themeFill="background1"/>
        <w:spacing w:line="288" w:lineRule="auto"/>
        <w:ind w:left="284" w:hanging="284"/>
        <w:rPr>
          <w:rFonts w:cs="Arial"/>
          <w:color w:val="1163C1"/>
          <w:szCs w:val="22"/>
        </w:rPr>
      </w:pPr>
      <w:r w:rsidRPr="00B33BB6" w:rsidDel="00427278">
        <w:rPr>
          <w:rFonts w:cs="Arial"/>
          <w:szCs w:val="22"/>
        </w:rPr>
        <w:t xml:space="preserve">The Earth’s Energy Budget, Climate </w:t>
      </w:r>
      <w:proofErr w:type="gramStart"/>
      <w:r w:rsidRPr="00B33BB6" w:rsidDel="00427278">
        <w:rPr>
          <w:rFonts w:cs="Arial"/>
          <w:szCs w:val="22"/>
        </w:rPr>
        <w:t>Feedbacks</w:t>
      </w:r>
      <w:proofErr w:type="gramEnd"/>
      <w:r w:rsidRPr="00B33BB6" w:rsidDel="00427278">
        <w:rPr>
          <w:rFonts w:cs="Arial"/>
          <w:szCs w:val="22"/>
        </w:rPr>
        <w:t xml:space="preserve"> and Climate Sensitivity</w:t>
      </w:r>
      <w:r w:rsidRPr="00B33BB6">
        <w:rPr>
          <w:rFonts w:cs="Arial"/>
          <w:szCs w:val="22"/>
        </w:rPr>
        <w:t>,</w:t>
      </w:r>
      <w:r w:rsidRPr="00B33BB6" w:rsidDel="00427278">
        <w:rPr>
          <w:rFonts w:cs="Arial"/>
          <w:szCs w:val="22"/>
        </w:rPr>
        <w:t xml:space="preserve"> Table 7.15 in AR6 WG1 Chapter 7</w:t>
      </w:r>
      <w:r w:rsidRPr="00B33BB6">
        <w:rPr>
          <w:rFonts w:cs="Arial"/>
          <w:szCs w:val="22"/>
        </w:rPr>
        <w:t>.</w:t>
      </w:r>
      <w:r w:rsidRPr="00B33BB6" w:rsidDel="00427278">
        <w:rPr>
          <w:rFonts w:cs="Arial"/>
          <w:szCs w:val="22"/>
        </w:rPr>
        <w:t xml:space="preserve"> </w:t>
      </w:r>
      <w:hyperlink r:id="rId35" w:history="1">
        <w:r w:rsidRPr="00B33BB6" w:rsidDel="00427278">
          <w:rPr>
            <w:rStyle w:val="Hyperlink"/>
            <w:rFonts w:cs="Arial"/>
            <w:color w:val="1163C1"/>
            <w:szCs w:val="22"/>
          </w:rPr>
          <w:t>https://doi.org/10.1017/9781009157896.009</w:t>
        </w:r>
      </w:hyperlink>
      <w:r w:rsidRPr="00B33BB6">
        <w:rPr>
          <w:rFonts w:cs="Arial"/>
          <w:color w:val="1163C1"/>
          <w:szCs w:val="22"/>
        </w:rPr>
        <w:t xml:space="preserve"> </w:t>
      </w:r>
    </w:p>
    <w:p w14:paraId="1644E715" w14:textId="77777777" w:rsidR="0042323B" w:rsidRPr="00B33BB6" w:rsidRDefault="0042323B" w:rsidP="0042323B">
      <w:pPr>
        <w:shd w:val="clear" w:color="auto" w:fill="FFFFFF" w:themeFill="background1"/>
        <w:spacing w:line="288" w:lineRule="auto"/>
        <w:rPr>
          <w:rFonts w:cs="Arial"/>
          <w:color w:val="1163C1"/>
          <w:szCs w:val="22"/>
        </w:rPr>
      </w:pPr>
    </w:p>
    <w:p w14:paraId="6C61CA2C" w14:textId="77777777" w:rsidR="0042323B" w:rsidRPr="00B33BB6" w:rsidRDefault="0042323B" w:rsidP="0042323B">
      <w:pPr>
        <w:shd w:val="clear" w:color="auto" w:fill="FFFFFF" w:themeFill="background1"/>
        <w:textAlignment w:val="baseline"/>
        <w:rPr>
          <w:rFonts w:cs="Arial"/>
          <w:color w:val="181F25"/>
          <w:szCs w:val="22"/>
        </w:rPr>
      </w:pPr>
      <w:r w:rsidRPr="00B33BB6">
        <w:rPr>
          <w:rFonts w:cs="Arial"/>
          <w:color w:val="181F25"/>
          <w:szCs w:val="22"/>
        </w:rPr>
        <w:t>Other references:</w:t>
      </w:r>
    </w:p>
    <w:p w14:paraId="7E95E700" w14:textId="77777777" w:rsidR="0042323B" w:rsidRPr="00B33BB6" w:rsidRDefault="0042323B" w:rsidP="0042323B">
      <w:pPr>
        <w:shd w:val="clear" w:color="auto" w:fill="FFFFFF"/>
        <w:textAlignment w:val="baseline"/>
        <w:rPr>
          <w:rFonts w:cs="Arial"/>
          <w:color w:val="181F25"/>
          <w:szCs w:val="22"/>
        </w:rPr>
      </w:pPr>
    </w:p>
    <w:p w14:paraId="57CBF64A" w14:textId="77777777" w:rsidR="0042323B" w:rsidRPr="00B33BB6" w:rsidRDefault="0042323B" w:rsidP="0042323B">
      <w:pPr>
        <w:shd w:val="clear" w:color="auto" w:fill="FFFFFF" w:themeFill="background1"/>
        <w:ind w:left="720" w:hanging="720"/>
        <w:rPr>
          <w:rFonts w:cs="Arial"/>
          <w:color w:val="181F25"/>
          <w:szCs w:val="22"/>
        </w:rPr>
      </w:pPr>
      <w:r w:rsidRPr="00B33BB6">
        <w:rPr>
          <w:rFonts w:cs="Arial"/>
          <w:color w:val="181F25"/>
          <w:szCs w:val="22"/>
        </w:rPr>
        <w:t xml:space="preserve">Bailis, R., Drigo, R., Ghilardi, A., and </w:t>
      </w:r>
      <w:proofErr w:type="spellStart"/>
      <w:r w:rsidRPr="00B33BB6">
        <w:rPr>
          <w:rFonts w:cs="Arial"/>
          <w:color w:val="181F25"/>
          <w:szCs w:val="22"/>
        </w:rPr>
        <w:t>Masera</w:t>
      </w:r>
      <w:proofErr w:type="spellEnd"/>
      <w:r w:rsidRPr="00B33BB6">
        <w:rPr>
          <w:rFonts w:cs="Arial"/>
          <w:color w:val="181F25"/>
          <w:szCs w:val="22"/>
        </w:rPr>
        <w:t xml:space="preserve">, O. (2015). The carbon footprint of traditional </w:t>
      </w:r>
      <w:proofErr w:type="spellStart"/>
      <w:r w:rsidRPr="00B33BB6">
        <w:rPr>
          <w:rFonts w:cs="Arial"/>
          <w:color w:val="181F25"/>
          <w:szCs w:val="22"/>
        </w:rPr>
        <w:t>woodfuels</w:t>
      </w:r>
      <w:proofErr w:type="spellEnd"/>
      <w:r w:rsidRPr="00B33BB6">
        <w:rPr>
          <w:rFonts w:cs="Arial"/>
          <w:color w:val="181F25"/>
          <w:szCs w:val="22"/>
        </w:rPr>
        <w:t>. Nature Climate Change, 5(3), 266-272.</w:t>
      </w:r>
    </w:p>
    <w:p w14:paraId="46B4687F" w14:textId="77777777" w:rsidR="0042323B" w:rsidRPr="00B33BB6" w:rsidRDefault="0042323B" w:rsidP="0042323B">
      <w:pPr>
        <w:shd w:val="clear" w:color="auto" w:fill="FFFFFF" w:themeFill="background1"/>
        <w:ind w:left="720" w:hanging="720"/>
        <w:rPr>
          <w:rFonts w:cs="Arial"/>
          <w:color w:val="181F25"/>
          <w:szCs w:val="22"/>
        </w:rPr>
      </w:pPr>
    </w:p>
    <w:p w14:paraId="1219B465" w14:textId="77777777" w:rsidR="0042323B" w:rsidRPr="00B33BB6" w:rsidRDefault="0042323B" w:rsidP="0042323B">
      <w:pPr>
        <w:shd w:val="clear" w:color="auto" w:fill="FFFFFF" w:themeFill="background1"/>
        <w:ind w:left="720" w:hanging="720"/>
        <w:rPr>
          <w:rFonts w:cs="Arial"/>
          <w:color w:val="181F25"/>
          <w:szCs w:val="22"/>
        </w:rPr>
      </w:pPr>
      <w:r w:rsidRPr="00B33BB6">
        <w:rPr>
          <w:rFonts w:cs="Arial"/>
          <w:color w:val="181F25"/>
          <w:szCs w:val="22"/>
        </w:rPr>
        <w:t xml:space="preserve">Berkeley Air Monitoring Group (2024). Research Brief: Biomass Energy Initiative for Africa: Hawthorne Effect Investigation. Available at: </w:t>
      </w:r>
      <w:hyperlink r:id="rId36">
        <w:r w:rsidRPr="00B33BB6">
          <w:rPr>
            <w:rStyle w:val="Hyperlink"/>
            <w:rFonts w:cs="Arial"/>
            <w:szCs w:val="22"/>
          </w:rPr>
          <w:t>https://cleancooking.org/wp-content/uploads/2025/03/Berkeley-Air-Research-Frief_Hawthorne-Effect-Investigation.pdf</w:t>
        </w:r>
      </w:hyperlink>
      <w:r w:rsidRPr="00B33BB6">
        <w:rPr>
          <w:rFonts w:cs="Arial"/>
          <w:color w:val="181F25"/>
          <w:szCs w:val="22"/>
        </w:rPr>
        <w:t xml:space="preserve">  </w:t>
      </w:r>
    </w:p>
    <w:p w14:paraId="7F2A3B83" w14:textId="77777777" w:rsidR="0042323B" w:rsidRPr="00B33BB6" w:rsidRDefault="0042323B" w:rsidP="0042323B">
      <w:pPr>
        <w:spacing w:before="240" w:after="240"/>
        <w:ind w:left="720" w:hanging="720"/>
        <w:rPr>
          <w:rFonts w:cs="Arial"/>
          <w:color w:val="181F25"/>
          <w:szCs w:val="22"/>
        </w:rPr>
      </w:pPr>
      <w:r w:rsidRPr="00B33BB6">
        <w:rPr>
          <w:rFonts w:cs="Arial"/>
          <w:color w:val="181F25"/>
          <w:szCs w:val="22"/>
        </w:rPr>
        <w:t xml:space="preserve">Ghilardi, A., and Bailis, R. (2024). Updated </w:t>
      </w:r>
      <w:proofErr w:type="spellStart"/>
      <w:r w:rsidRPr="00B33BB6">
        <w:rPr>
          <w:rFonts w:cs="Arial"/>
          <w:color w:val="181F25"/>
          <w:szCs w:val="22"/>
        </w:rPr>
        <w:t>fNRB</w:t>
      </w:r>
      <w:proofErr w:type="spellEnd"/>
      <w:r w:rsidRPr="00B33BB6">
        <w:rPr>
          <w:rFonts w:cs="Arial"/>
          <w:color w:val="181F25"/>
          <w:szCs w:val="22"/>
        </w:rPr>
        <w:t xml:space="preserve"> Values for </w:t>
      </w:r>
      <w:proofErr w:type="spellStart"/>
      <w:r w:rsidRPr="00B33BB6">
        <w:rPr>
          <w:rFonts w:cs="Arial"/>
          <w:color w:val="181F25"/>
          <w:szCs w:val="22"/>
        </w:rPr>
        <w:t>Woodfuel</w:t>
      </w:r>
      <w:proofErr w:type="spellEnd"/>
      <w:r w:rsidRPr="00B33BB6">
        <w:rPr>
          <w:rFonts w:cs="Arial"/>
          <w:color w:val="181F25"/>
          <w:szCs w:val="22"/>
        </w:rPr>
        <w:t xml:space="preserve"> Interventions. </w:t>
      </w:r>
      <w:hyperlink r:id="rId37">
        <w:r w:rsidRPr="00B33BB6">
          <w:rPr>
            <w:rStyle w:val="Hyperlink"/>
            <w:rFonts w:eastAsia="Arial" w:cs="Arial"/>
            <w:szCs w:val="22"/>
          </w:rPr>
          <w:t>https://cdm.unfccc.int/Sunset_CMS_ControlledSlots/public_inputs/sunsetcms/storage/contents/stored-file-20240624161613578/Report_on_Updated_fNRB_Values_20%20June%202024.pdf</w:t>
        </w:r>
      </w:hyperlink>
    </w:p>
    <w:p w14:paraId="123A12F8" w14:textId="77777777" w:rsidR="0042323B" w:rsidRPr="00B33BB6" w:rsidRDefault="0042323B" w:rsidP="0042323B">
      <w:pPr>
        <w:shd w:val="clear" w:color="auto" w:fill="FFFFFF" w:themeFill="background1"/>
        <w:ind w:left="720" w:hanging="720"/>
        <w:textAlignment w:val="baseline"/>
        <w:rPr>
          <w:rFonts w:cs="Arial"/>
          <w:color w:val="181F25"/>
          <w:szCs w:val="22"/>
        </w:rPr>
      </w:pPr>
      <w:r w:rsidRPr="00B33BB6">
        <w:rPr>
          <w:rFonts w:cs="Arial"/>
          <w:color w:val="181F25"/>
          <w:szCs w:val="22"/>
        </w:rPr>
        <w:t>Gill-Wiehl, A., Hogan, M., Haya, B. “Quantifying leakage from cookstove projects.” Journal publication forthcoming (in preparation).</w:t>
      </w:r>
    </w:p>
    <w:p w14:paraId="58F669AB" w14:textId="77777777" w:rsidR="0042323B" w:rsidRPr="00B33BB6" w:rsidRDefault="0042323B" w:rsidP="0042323B">
      <w:pPr>
        <w:shd w:val="clear" w:color="auto" w:fill="FFFFFF" w:themeFill="background1"/>
        <w:ind w:left="720" w:hanging="720"/>
        <w:textAlignment w:val="baseline"/>
        <w:rPr>
          <w:rFonts w:cs="Arial"/>
          <w:color w:val="181F25"/>
          <w:szCs w:val="22"/>
        </w:rPr>
      </w:pPr>
    </w:p>
    <w:p w14:paraId="00409A18" w14:textId="77777777" w:rsidR="0042323B" w:rsidRPr="00B33BB6" w:rsidRDefault="0042323B" w:rsidP="0042323B">
      <w:pPr>
        <w:shd w:val="clear" w:color="auto" w:fill="FFFFFF" w:themeFill="background1"/>
        <w:ind w:left="720" w:hanging="720"/>
        <w:textAlignment w:val="baseline"/>
        <w:rPr>
          <w:rFonts w:cs="Arial"/>
          <w:color w:val="181F25"/>
          <w:szCs w:val="22"/>
        </w:rPr>
      </w:pPr>
      <w:r w:rsidRPr="00B33BB6">
        <w:rPr>
          <w:rFonts w:cs="Arial"/>
          <w:color w:val="181F25"/>
          <w:szCs w:val="22"/>
        </w:rPr>
        <w:t xml:space="preserve">International Energy Agency (2023). A Vision for Clean Cooking Access for All. Available at: </w:t>
      </w:r>
      <w:hyperlink r:id="rId38" w:history="1">
        <w:r w:rsidRPr="00B33BB6">
          <w:rPr>
            <w:rStyle w:val="Hyperlink"/>
            <w:rFonts w:cs="Arial"/>
            <w:szCs w:val="22"/>
          </w:rPr>
          <w:t>https://www.iea.org/reports/a-vision-for-clean-cooking-access-for-all/executive-summary</w:t>
        </w:r>
      </w:hyperlink>
      <w:r w:rsidRPr="00B33BB6">
        <w:rPr>
          <w:rFonts w:cs="Arial"/>
          <w:color w:val="181F25"/>
          <w:szCs w:val="22"/>
        </w:rPr>
        <w:t xml:space="preserve"> </w:t>
      </w:r>
    </w:p>
    <w:p w14:paraId="49643D72" w14:textId="77777777" w:rsidR="0042323B" w:rsidRPr="00B33BB6" w:rsidRDefault="0042323B" w:rsidP="0042323B">
      <w:pPr>
        <w:shd w:val="clear" w:color="auto" w:fill="FFFFFF" w:themeFill="background1"/>
        <w:ind w:left="720" w:hanging="720"/>
        <w:textAlignment w:val="baseline"/>
        <w:rPr>
          <w:rFonts w:cs="Arial"/>
          <w:color w:val="181F25"/>
          <w:szCs w:val="22"/>
        </w:rPr>
      </w:pPr>
    </w:p>
    <w:p w14:paraId="25961722" w14:textId="77777777" w:rsidR="0042323B" w:rsidRPr="00B33BB6" w:rsidRDefault="0042323B" w:rsidP="0042323B">
      <w:pPr>
        <w:shd w:val="clear" w:color="auto" w:fill="FFFFFF" w:themeFill="background1"/>
        <w:ind w:left="720" w:hanging="720"/>
        <w:textAlignment w:val="baseline"/>
        <w:rPr>
          <w:rFonts w:cs="Arial"/>
          <w:color w:val="181F25"/>
          <w:szCs w:val="22"/>
        </w:rPr>
      </w:pPr>
      <w:r w:rsidRPr="00B33BB6">
        <w:rPr>
          <w:rFonts w:cs="Arial"/>
          <w:color w:val="181F25"/>
          <w:szCs w:val="22"/>
        </w:rPr>
        <w:t xml:space="preserve">International Finance Corporation (2025). Outcome-based Finance in Clean Cooking, Distributed Renewable Energy, and Small-Scale Agribusiness. Available at: </w:t>
      </w:r>
      <w:hyperlink r:id="rId39" w:history="1">
        <w:r w:rsidRPr="00B33BB6">
          <w:rPr>
            <w:rStyle w:val="Hyperlink"/>
            <w:rFonts w:cs="Arial"/>
            <w:szCs w:val="22"/>
          </w:rPr>
          <w:t>https://www.ifc.org/content/dam/ifc/doc/2025/unlocking-social-and-environmental-impact-outcome-based-finance.pdf</w:t>
        </w:r>
      </w:hyperlink>
      <w:r w:rsidRPr="00B33BB6">
        <w:rPr>
          <w:rFonts w:cs="Arial"/>
          <w:color w:val="181F25"/>
          <w:szCs w:val="22"/>
        </w:rPr>
        <w:t xml:space="preserve"> </w:t>
      </w:r>
    </w:p>
    <w:p w14:paraId="0A02379D" w14:textId="77777777" w:rsidR="0042323B" w:rsidRPr="00B33BB6" w:rsidRDefault="0042323B" w:rsidP="0042323B">
      <w:pPr>
        <w:shd w:val="clear" w:color="auto" w:fill="FFFFFF" w:themeFill="background1"/>
        <w:ind w:left="720" w:hanging="720"/>
        <w:rPr>
          <w:rFonts w:cs="Arial"/>
          <w:color w:val="181F25"/>
          <w:szCs w:val="22"/>
        </w:rPr>
      </w:pPr>
    </w:p>
    <w:p w14:paraId="121C47B9" w14:textId="77777777" w:rsidR="0042323B" w:rsidRPr="00B33BB6" w:rsidRDefault="0042323B" w:rsidP="0042323B">
      <w:pPr>
        <w:shd w:val="clear" w:color="auto" w:fill="FFFFFF" w:themeFill="background1"/>
        <w:ind w:left="720" w:hanging="720"/>
        <w:rPr>
          <w:rFonts w:cs="Arial"/>
          <w:color w:val="181F25"/>
          <w:szCs w:val="22"/>
        </w:rPr>
      </w:pPr>
      <w:r w:rsidRPr="00B33BB6">
        <w:rPr>
          <w:rFonts w:cs="Arial"/>
          <w:color w:val="181F25"/>
          <w:szCs w:val="22"/>
        </w:rPr>
        <w:lastRenderedPageBreak/>
        <w:t xml:space="preserve">Modi, V., McDade, S., Lallement, D., and Saghir, J. (2005). Energy Services for the Millennium Development Goals. Energy Sector Management Assistance Programme, United Nations Development Programme, UN Millennium Project, and World Bank. Available at: </w:t>
      </w:r>
      <w:hyperlink r:id="rId40">
        <w:r w:rsidRPr="00B33BB6">
          <w:rPr>
            <w:rStyle w:val="Hyperlink"/>
            <w:rFonts w:cs="Arial"/>
            <w:szCs w:val="22"/>
          </w:rPr>
          <w:t>https://qsel.columbia.edu/assets/uploads/blog/2016/publications/energy-services-for-the-millennium-development-goals.pdf</w:t>
        </w:r>
      </w:hyperlink>
      <w:r w:rsidRPr="00B33BB6">
        <w:rPr>
          <w:rFonts w:cs="Arial"/>
          <w:color w:val="181F25"/>
          <w:szCs w:val="22"/>
        </w:rPr>
        <w:t xml:space="preserve">  </w:t>
      </w:r>
    </w:p>
    <w:p w14:paraId="61F834D5" w14:textId="77777777" w:rsidR="0042323B" w:rsidRPr="00B33BB6" w:rsidRDefault="0042323B" w:rsidP="0042323B">
      <w:pPr>
        <w:shd w:val="clear" w:color="auto" w:fill="FFFFFF" w:themeFill="background1"/>
        <w:ind w:left="720" w:hanging="720"/>
        <w:rPr>
          <w:rFonts w:cs="Arial"/>
          <w:color w:val="181F25"/>
          <w:szCs w:val="22"/>
        </w:rPr>
      </w:pPr>
    </w:p>
    <w:p w14:paraId="0A0FCB2A" w14:textId="77777777" w:rsidR="0042323B" w:rsidRPr="00B33BB6" w:rsidRDefault="0042323B" w:rsidP="0042323B">
      <w:pPr>
        <w:shd w:val="clear" w:color="auto" w:fill="FFFFFF" w:themeFill="background1"/>
        <w:ind w:left="720" w:hanging="720"/>
        <w:rPr>
          <w:rFonts w:cs="Arial"/>
          <w:color w:val="181F25"/>
          <w:szCs w:val="22"/>
        </w:rPr>
      </w:pPr>
      <w:r w:rsidRPr="00B33BB6">
        <w:rPr>
          <w:rFonts w:cs="Arial"/>
          <w:color w:val="181F25"/>
          <w:szCs w:val="22"/>
        </w:rPr>
        <w:t xml:space="preserve">Stoner, O., Lewis, J., Lucio, I., </w:t>
      </w:r>
      <w:proofErr w:type="spellStart"/>
      <w:r w:rsidRPr="00B33BB6">
        <w:rPr>
          <w:rFonts w:cs="Arial"/>
          <w:color w:val="181F25"/>
          <w:szCs w:val="22"/>
        </w:rPr>
        <w:t>Gumy</w:t>
      </w:r>
      <w:proofErr w:type="spellEnd"/>
      <w:r w:rsidRPr="00B33BB6">
        <w:rPr>
          <w:rFonts w:cs="Arial"/>
          <w:color w:val="181F25"/>
          <w:szCs w:val="22"/>
        </w:rPr>
        <w:t xml:space="preserve">, S., Economou, T., and Adair-Rohani, H. “Household Cooking Fuel Estimates at Global and Country Level for 1990 to 2030.” Nature Communications 12, no. 1 (October 4, 2021): 5793. </w:t>
      </w:r>
      <w:hyperlink r:id="rId41">
        <w:r w:rsidRPr="00B33BB6">
          <w:rPr>
            <w:rStyle w:val="Hyperlink"/>
            <w:rFonts w:cs="Arial"/>
            <w:szCs w:val="22"/>
          </w:rPr>
          <w:t>https://doi.org/10.1038/s41467-021-26036-x</w:t>
        </w:r>
      </w:hyperlink>
      <w:r w:rsidRPr="00B33BB6">
        <w:rPr>
          <w:rFonts w:cs="Arial"/>
          <w:color w:val="181F25"/>
          <w:szCs w:val="22"/>
        </w:rPr>
        <w:t xml:space="preserve"> </w:t>
      </w:r>
    </w:p>
    <w:p w14:paraId="1AF1C06F" w14:textId="77777777" w:rsidR="0042323B" w:rsidRPr="00B33BB6" w:rsidRDefault="0042323B" w:rsidP="0042323B">
      <w:pPr>
        <w:shd w:val="clear" w:color="auto" w:fill="FFFFFF" w:themeFill="background1"/>
        <w:ind w:left="720" w:hanging="720"/>
        <w:rPr>
          <w:rFonts w:cs="Arial"/>
          <w:color w:val="181F25"/>
          <w:szCs w:val="22"/>
        </w:rPr>
      </w:pPr>
    </w:p>
    <w:p w14:paraId="33E1358C" w14:textId="441E781B" w:rsidR="0042323B" w:rsidRPr="00115C31" w:rsidRDefault="0042323B" w:rsidP="00115C31">
      <w:pPr>
        <w:shd w:val="clear" w:color="auto" w:fill="FFFFFF" w:themeFill="background1"/>
        <w:ind w:left="720" w:hanging="720"/>
        <w:rPr>
          <w:rFonts w:eastAsia="Montserrat" w:cs="Arial"/>
          <w:color w:val="181F25"/>
          <w:szCs w:val="22"/>
        </w:rPr>
      </w:pPr>
      <w:r w:rsidRPr="00B33BB6">
        <w:rPr>
          <w:rFonts w:cs="Arial"/>
          <w:color w:val="181F25"/>
          <w:szCs w:val="22"/>
        </w:rPr>
        <w:t xml:space="preserve">Urban, J., Berger, J., Botha, Y., Boafo-Mensah, G., </w:t>
      </w:r>
      <w:proofErr w:type="spellStart"/>
      <w:r w:rsidRPr="00B33BB6">
        <w:rPr>
          <w:rFonts w:cs="Arial"/>
          <w:color w:val="181F25"/>
          <w:szCs w:val="22"/>
        </w:rPr>
        <w:t>Mkwate</w:t>
      </w:r>
      <w:proofErr w:type="spellEnd"/>
      <w:r w:rsidRPr="00B33BB6">
        <w:rPr>
          <w:rFonts w:cs="Arial"/>
          <w:color w:val="181F25"/>
          <w:szCs w:val="22"/>
        </w:rPr>
        <w:t xml:space="preserve">, A., </w:t>
      </w:r>
      <w:proofErr w:type="spellStart"/>
      <w:r w:rsidRPr="00B33BB6">
        <w:rPr>
          <w:rFonts w:cs="Arial"/>
          <w:color w:val="181F25"/>
          <w:szCs w:val="22"/>
        </w:rPr>
        <w:t>Tiewayo</w:t>
      </w:r>
      <w:proofErr w:type="spellEnd"/>
      <w:r w:rsidRPr="00B33BB6">
        <w:rPr>
          <w:rFonts w:cs="Arial"/>
          <w:color w:val="181F25"/>
          <w:szCs w:val="22"/>
        </w:rPr>
        <w:t xml:space="preserve">, J., Bentson, S., and </w:t>
      </w:r>
      <w:proofErr w:type="spellStart"/>
      <w:r w:rsidRPr="00B33BB6">
        <w:rPr>
          <w:rFonts w:cs="Arial"/>
          <w:color w:val="181F25"/>
          <w:szCs w:val="22"/>
        </w:rPr>
        <w:t>MacCarty</w:t>
      </w:r>
      <w:proofErr w:type="spellEnd"/>
      <w:r w:rsidRPr="00B33BB6">
        <w:rPr>
          <w:rFonts w:cs="Arial"/>
          <w:color w:val="181F25"/>
          <w:szCs w:val="22"/>
        </w:rPr>
        <w:t xml:space="preserve">, N. (2024). White Paper: Quantifying conversion factors for the value chain of charcoal production in Malawi and Ghana. Oregon State University, </w:t>
      </w:r>
      <w:proofErr w:type="spellStart"/>
      <w:r w:rsidRPr="00B33BB6">
        <w:rPr>
          <w:rFonts w:cs="Arial"/>
          <w:color w:val="181F25"/>
          <w:szCs w:val="22"/>
        </w:rPr>
        <w:t>Aprovecho</w:t>
      </w:r>
      <w:proofErr w:type="spellEnd"/>
      <w:r w:rsidRPr="00B33BB6">
        <w:rPr>
          <w:rFonts w:cs="Arial"/>
          <w:color w:val="181F25"/>
          <w:szCs w:val="22"/>
        </w:rPr>
        <w:t xml:space="preserve"> Research </w:t>
      </w:r>
      <w:proofErr w:type="spellStart"/>
      <w:r w:rsidRPr="00B33BB6">
        <w:rPr>
          <w:rFonts w:cs="Arial"/>
          <w:color w:val="181F25"/>
          <w:szCs w:val="22"/>
        </w:rPr>
        <w:t>Center</w:t>
      </w:r>
      <w:proofErr w:type="spellEnd"/>
      <w:r w:rsidRPr="00B33BB6">
        <w:rPr>
          <w:rFonts w:cs="Arial"/>
          <w:color w:val="181F25"/>
          <w:szCs w:val="22"/>
        </w:rPr>
        <w:t xml:space="preserve">, </w:t>
      </w:r>
      <w:proofErr w:type="spellStart"/>
      <w:r w:rsidRPr="00B33BB6">
        <w:rPr>
          <w:rFonts w:cs="Arial"/>
          <w:color w:val="181F25"/>
          <w:szCs w:val="22"/>
        </w:rPr>
        <w:t>SunFire</w:t>
      </w:r>
      <w:proofErr w:type="spellEnd"/>
      <w:r w:rsidRPr="00B33BB6">
        <w:rPr>
          <w:rFonts w:cs="Arial"/>
          <w:color w:val="181F25"/>
          <w:szCs w:val="22"/>
        </w:rPr>
        <w:t xml:space="preserve"> Energy Malawi, and Council of Scientific Research-IIR Ghana. Available at: </w:t>
      </w:r>
      <w:hyperlink r:id="rId42">
        <w:r w:rsidRPr="00B33BB6">
          <w:rPr>
            <w:rStyle w:val="Hyperlink"/>
            <w:rFonts w:cs="Arial"/>
            <w:szCs w:val="22"/>
          </w:rPr>
          <w:t>https://ir.library.oregonstate.edu/concern/technical_reports/2f75rj10q</w:t>
        </w:r>
      </w:hyperlink>
      <w:r w:rsidRPr="00B33BB6">
        <w:rPr>
          <w:rFonts w:cs="Arial"/>
          <w:color w:val="181F25"/>
          <w:szCs w:val="22"/>
        </w:rPr>
        <w:t xml:space="preserve">  </w:t>
      </w:r>
    </w:p>
    <w:p w14:paraId="60C7C120" w14:textId="2141006F" w:rsidR="00EA4A56" w:rsidRDefault="00EA4A56" w:rsidP="00620061">
      <w:pPr>
        <w:pStyle w:val="SDMHead1"/>
        <w:numPr>
          <w:ilvl w:val="0"/>
          <w:numId w:val="18"/>
        </w:numPr>
      </w:pPr>
      <w:r>
        <w:t>Applicability</w:t>
      </w:r>
    </w:p>
    <w:p w14:paraId="2AA4519F" w14:textId="69FF2E03" w:rsidR="00767160" w:rsidRDefault="00767160" w:rsidP="00D43286">
      <w:pPr>
        <w:pStyle w:val="SDMPara"/>
      </w:pPr>
      <w:r>
        <w:t>The methodology is applicable under the following conditions:</w:t>
      </w:r>
    </w:p>
    <w:p w14:paraId="59AC69FA" w14:textId="77777777" w:rsidR="00D43286" w:rsidRDefault="00D43286" w:rsidP="00D43286">
      <w:pPr>
        <w:pStyle w:val="SDMPara"/>
        <w:numPr>
          <w:ilvl w:val="0"/>
          <w:numId w:val="0"/>
        </w:numPr>
        <w:ind w:left="709"/>
      </w:pPr>
    </w:p>
    <w:p w14:paraId="4D9DBF59" w14:textId="77777777" w:rsidR="00D43286" w:rsidRPr="00B33BB6" w:rsidRDefault="00313CC0" w:rsidP="00D43286">
      <w:pPr>
        <w:pStyle w:val="SDMSubPara1"/>
        <w:spacing w:before="20" w:after="20"/>
        <w:ind w:right="161"/>
        <w:rPr>
          <w:rFonts w:eastAsia="Arial Nova"/>
        </w:rPr>
      </w:pPr>
      <w:r w:rsidRPr="00D43286">
        <w:rPr>
          <w:rFonts w:eastAsia="Arial Nova"/>
        </w:rPr>
        <w:t>The CLEAR methodology can be applied to nearly all cooking energy transitions implemented at the household level that result in reductions of emissions of carbon dioxide (CO</w:t>
      </w:r>
      <w:r w:rsidRPr="00D43286">
        <w:rPr>
          <w:rFonts w:eastAsia="Arial Nova"/>
          <w:vertAlign w:val="subscript"/>
        </w:rPr>
        <w:t>2</w:t>
      </w:r>
      <w:r w:rsidRPr="00D43286">
        <w:rPr>
          <w:rFonts w:eastAsia="Arial Nova"/>
        </w:rPr>
        <w:t>), methane (CH</w:t>
      </w:r>
      <w:r w:rsidRPr="00D43286">
        <w:rPr>
          <w:rFonts w:eastAsia="Arial Nova"/>
          <w:vertAlign w:val="subscript"/>
        </w:rPr>
        <w:t>4</w:t>
      </w:r>
      <w:r w:rsidRPr="00D43286">
        <w:rPr>
          <w:rFonts w:eastAsia="Arial Nova"/>
        </w:rPr>
        <w:t>), and nitrous oxide (N</w:t>
      </w:r>
      <w:r w:rsidRPr="00D43286">
        <w:rPr>
          <w:rFonts w:eastAsia="Arial Nova"/>
          <w:vertAlign w:val="subscript"/>
        </w:rPr>
        <w:t>2</w:t>
      </w:r>
      <w:r w:rsidRPr="00D43286">
        <w:rPr>
          <w:rFonts w:eastAsia="Arial Nova"/>
        </w:rPr>
        <w:t>O), collectively referred to on a CO</w:t>
      </w:r>
      <w:r w:rsidRPr="00D43286">
        <w:rPr>
          <w:rFonts w:eastAsia="Arial Nova"/>
          <w:vertAlign w:val="subscript"/>
        </w:rPr>
        <w:t>2</w:t>
      </w:r>
      <w:r w:rsidRPr="00D43286">
        <w:rPr>
          <w:rFonts w:eastAsia="Arial Nova"/>
        </w:rPr>
        <w:t>e basis. Future iterations will also apply to institutional and commercial cookstove projects.</w:t>
      </w:r>
    </w:p>
    <w:p w14:paraId="3D80DD12" w14:textId="22B19E35" w:rsidR="00D43286" w:rsidRPr="00B33BB6" w:rsidRDefault="00313CC0" w:rsidP="00D43286">
      <w:pPr>
        <w:pStyle w:val="SDMSubPara1"/>
        <w:spacing w:before="20" w:after="20"/>
        <w:ind w:right="161"/>
        <w:rPr>
          <w:rFonts w:eastAsia="Arial Nova"/>
        </w:rPr>
      </w:pPr>
      <w:r w:rsidRPr="00D43286">
        <w:rPr>
          <w:rFonts w:eastAsia="Arial Nova"/>
        </w:rPr>
        <w:t xml:space="preserve">This methodology is applicable for project activities that would not occur in the absence of revenues from carbon credit sales, which must be demonstrated by following the additionality requirements </w:t>
      </w:r>
      <w:r w:rsidRPr="00D47D9F">
        <w:rPr>
          <w:rFonts w:eastAsia="Arial Nova"/>
        </w:rPr>
        <w:t xml:space="preserve">described in </w:t>
      </w:r>
      <w:hyperlink w:anchor="S9" w:history="1">
        <w:r w:rsidR="00BE1FE5" w:rsidRPr="00D47D9F">
          <w:rPr>
            <w:rStyle w:val="Hyperlink"/>
            <w:rFonts w:eastAsia="Arial Nova"/>
          </w:rPr>
          <w:t>S</w:t>
        </w:r>
        <w:r w:rsidRPr="00D47D9F" w:rsidDel="00551F76">
          <w:rPr>
            <w:rStyle w:val="Hyperlink"/>
            <w:rFonts w:eastAsia="Arial Nova"/>
          </w:rPr>
          <w:t>ection 9</w:t>
        </w:r>
      </w:hyperlink>
      <w:r w:rsidRPr="00D47D9F">
        <w:rPr>
          <w:rFonts w:eastAsia="Arial Nova"/>
        </w:rPr>
        <w:t>. There</w:t>
      </w:r>
      <w:r w:rsidRPr="00D43286">
        <w:rPr>
          <w:rFonts w:eastAsia="Arial Nova"/>
        </w:rPr>
        <w:t xml:space="preserve"> is no restriction on the number of households involved or the total emission reductions achieved. </w:t>
      </w:r>
    </w:p>
    <w:p w14:paraId="109A67FF" w14:textId="77777777" w:rsidR="00D43286" w:rsidRPr="00B33BB6" w:rsidRDefault="00313CC0" w:rsidP="00D43286">
      <w:pPr>
        <w:pStyle w:val="SDMSubPara1"/>
        <w:spacing w:before="20" w:after="20"/>
        <w:ind w:right="161"/>
        <w:rPr>
          <w:rFonts w:eastAsia="Arial Nova"/>
        </w:rPr>
      </w:pPr>
      <w:r w:rsidRPr="00D43286">
        <w:rPr>
          <w:rFonts w:eastAsia="Arial Nova"/>
        </w:rPr>
        <w:t>To qualify to use this methodology, projects must meet the following criteria.</w:t>
      </w:r>
    </w:p>
    <w:p w14:paraId="0E946633" w14:textId="77777777" w:rsidR="00D43286" w:rsidRPr="00B33BB6" w:rsidRDefault="00313CC0" w:rsidP="00D43286">
      <w:pPr>
        <w:pStyle w:val="SDMSubPara2"/>
        <w:spacing w:before="20" w:after="20"/>
        <w:ind w:right="161"/>
        <w:rPr>
          <w:rFonts w:eastAsia="Arial Nova"/>
        </w:rPr>
      </w:pPr>
      <w:r w:rsidRPr="00D43286">
        <w:rPr>
          <w:rFonts w:eastAsia="Arial Nova"/>
        </w:rPr>
        <w:t xml:space="preserve">Project cookstoves shall be identified with a permanent unique identifier affixed to the cookstove </w:t>
      </w:r>
      <w:proofErr w:type="gramStart"/>
      <w:r w:rsidRPr="00D43286">
        <w:rPr>
          <w:rFonts w:eastAsia="Arial Nova"/>
        </w:rPr>
        <w:t>in order to</w:t>
      </w:r>
      <w:proofErr w:type="gramEnd"/>
      <w:r w:rsidRPr="00D43286">
        <w:rPr>
          <w:rFonts w:eastAsia="Arial Nova"/>
        </w:rPr>
        <w:t xml:space="preserve"> avoid double counting of emission reductions by other mitigation actions. Each identifier shall be linked to a specific household, and the project proponent shall have an identifier management system in place to manage the replacement of any cookstoves within the crediting period. </w:t>
      </w:r>
    </w:p>
    <w:p w14:paraId="6E216DB8" w14:textId="77777777" w:rsidR="00D43286" w:rsidRPr="00B33BB6" w:rsidRDefault="00313CC0" w:rsidP="00D43286">
      <w:pPr>
        <w:pStyle w:val="SDMSubPara2"/>
        <w:spacing w:before="20" w:after="20"/>
        <w:ind w:right="161"/>
        <w:rPr>
          <w:rFonts w:eastAsia="Arial Nova"/>
        </w:rPr>
      </w:pPr>
      <w:r w:rsidRPr="00D43286">
        <w:rPr>
          <w:rFonts w:eastAsia="Arial Nova"/>
        </w:rPr>
        <w:t xml:space="preserve">All projects must identify and replace or retrofit malfunctioning cookstoves with a technology of comparable or better quality and thermal </w:t>
      </w:r>
      <w:proofErr w:type="gramStart"/>
      <w:r w:rsidRPr="00D43286">
        <w:rPr>
          <w:rFonts w:eastAsia="Arial Nova"/>
        </w:rPr>
        <w:t>efficiency, or</w:t>
      </w:r>
      <w:proofErr w:type="gramEnd"/>
      <w:r w:rsidRPr="00D43286">
        <w:rPr>
          <w:rFonts w:eastAsia="Arial Nova"/>
        </w:rPr>
        <w:t xml:space="preserve"> not claim emission reductions for households when such failures occur. Projects must include a documented plan for this process at the project design phase.</w:t>
      </w:r>
    </w:p>
    <w:p w14:paraId="137B18B8" w14:textId="77777777" w:rsidR="00D43286" w:rsidRPr="00B33BB6" w:rsidRDefault="00313CC0" w:rsidP="00313CC0">
      <w:pPr>
        <w:pStyle w:val="SDMSubPara2"/>
        <w:spacing w:before="20" w:after="20"/>
        <w:ind w:right="161"/>
        <w:rPr>
          <w:rFonts w:eastAsia="Arial Nova"/>
        </w:rPr>
      </w:pPr>
      <w:r w:rsidRPr="00D43286">
        <w:rPr>
          <w:rFonts w:eastAsia="Arial Nova"/>
        </w:rPr>
        <w:t xml:space="preserve">All biomass-burning project cookstove models must be tested for thermal efficiency using the International Organization for Standardization (ISO) Standard 19867-1:20184. For wood-burning project technologies that use a griddle surface (e.g., plancha cookstoves for making tortillas), the thermal efficiency requirement is 20% or higher. Project cookstoves </w:t>
      </w:r>
      <w:r w:rsidRPr="00D43286">
        <w:rPr>
          <w:rFonts w:eastAsia="Arial Nova"/>
        </w:rPr>
        <w:lastRenderedPageBreak/>
        <w:t>burning charcoal must achieve 30% or higher. All other biomass-burning project cookstoves must achieve 25% or higher.</w:t>
      </w:r>
    </w:p>
    <w:p w14:paraId="469F3745" w14:textId="77777777" w:rsidR="00D43286" w:rsidRDefault="00313CC0" w:rsidP="00D43286">
      <w:pPr>
        <w:pStyle w:val="SDMSubPara1"/>
        <w:spacing w:before="20" w:after="20"/>
        <w:ind w:right="161"/>
        <w:rPr>
          <w:rFonts w:eastAsia="Arial Nova"/>
        </w:rPr>
      </w:pPr>
      <w:r w:rsidRPr="00D43286">
        <w:rPr>
          <w:rFonts w:eastAsia="Arial Nova"/>
        </w:rPr>
        <w:t>Caveats and restrictions</w:t>
      </w:r>
      <w:r w:rsidR="00D43286" w:rsidRPr="00D43286">
        <w:rPr>
          <w:rFonts w:eastAsia="Arial Nova"/>
        </w:rPr>
        <w:t>:</w:t>
      </w:r>
    </w:p>
    <w:p w14:paraId="6B400D69" w14:textId="77777777" w:rsidR="00D43286" w:rsidRPr="00B33BB6" w:rsidRDefault="00313CC0" w:rsidP="00D43286">
      <w:pPr>
        <w:pStyle w:val="SDMSubPara2"/>
        <w:spacing w:before="20" w:after="20"/>
        <w:ind w:right="161"/>
        <w:rPr>
          <w:rFonts w:eastAsia="Arial Nova"/>
        </w:rPr>
      </w:pPr>
      <w:r w:rsidRPr="00D43286">
        <w:rPr>
          <w:rFonts w:eastAsia="Arial Nova"/>
        </w:rPr>
        <w:t>Projects must follow any relevant carbon-crediting program requirements for avoiding long-term lock-in of fossil fuels for cooking.</w:t>
      </w:r>
    </w:p>
    <w:p w14:paraId="134F5B80" w14:textId="77777777" w:rsidR="00D43286" w:rsidRPr="00B33BB6" w:rsidRDefault="00313CC0" w:rsidP="00D43286">
      <w:pPr>
        <w:pStyle w:val="SDMSubPara2"/>
        <w:spacing w:before="20" w:after="20"/>
        <w:ind w:right="161"/>
        <w:rPr>
          <w:rFonts w:eastAsia="Arial Nova"/>
        </w:rPr>
      </w:pPr>
      <w:r w:rsidRPr="00D43286">
        <w:rPr>
          <w:rFonts w:eastAsia="Arial Nova"/>
        </w:rPr>
        <w:t>For artisanal cookstoves, at least three randomly selected samples of each cookstove model must be used when testing for ISO thermal efficiency, and when undertaking CCTs. The mean value from the three samples must be applied.</w:t>
      </w:r>
    </w:p>
    <w:p w14:paraId="6675F59F" w14:textId="77777777" w:rsidR="00D43286" w:rsidRPr="00B33BB6" w:rsidRDefault="00313CC0" w:rsidP="00D43286">
      <w:pPr>
        <w:pStyle w:val="SDMSubPara2"/>
        <w:spacing w:before="20" w:after="20"/>
        <w:ind w:right="161"/>
        <w:rPr>
          <w:rFonts w:eastAsia="Arial Nova"/>
        </w:rPr>
      </w:pPr>
      <w:r w:rsidRPr="00D43286">
        <w:rPr>
          <w:rFonts w:eastAsia="Arial Nova"/>
        </w:rPr>
        <w:t>For biogas projects, this methodology is only applicable to those using a CTEC approach. It calculates emission reductions only from cooking fuel consumption, not the use of generated slurry</w:t>
      </w:r>
      <w:r w:rsidRPr="00B33BB6">
        <w:rPr>
          <w:rStyle w:val="FootnoteReference"/>
          <w:rFonts w:eastAsia="Arial Nova"/>
        </w:rPr>
        <w:footnoteReference w:id="4"/>
      </w:r>
      <w:r w:rsidRPr="00D43286">
        <w:rPr>
          <w:rFonts w:eastAsia="Arial Nova"/>
        </w:rPr>
        <w:t>.</w:t>
      </w:r>
    </w:p>
    <w:p w14:paraId="565CB079" w14:textId="77777777" w:rsidR="00D43286" w:rsidRPr="00D43286" w:rsidRDefault="00313CC0" w:rsidP="00D43286">
      <w:pPr>
        <w:pStyle w:val="SDMSubPara2"/>
        <w:spacing w:before="20" w:after="20"/>
        <w:ind w:right="161"/>
        <w:rPr>
          <w:rStyle w:val="normaltextrun"/>
          <w:rFonts w:eastAsia="Arial Nova"/>
        </w:rPr>
      </w:pPr>
      <w:r w:rsidRPr="00D43286">
        <w:rPr>
          <w:rFonts w:eastAsia="Arial Nova"/>
        </w:rPr>
        <w:t xml:space="preserve">For CTEC projects, fuel sale records can be used to track consumption of pellets, liquified petroleum gas (LPG), and ethanol where LPG and ethanol fuel delivery systems are designed exclusively for use in a specific project technology. Projects shall implement safeguards to prevent fuel diversion for non-project activities (e.g., sealed canisters, tamper-evident meters, delivery log cross-verification, etc.), and cross-check household fuel consumption </w:t>
      </w:r>
      <w:r w:rsidRPr="00D43286">
        <w:rPr>
          <w:rStyle w:val="normaltextrun"/>
          <w:color w:val="000000" w:themeColor="text1"/>
        </w:rPr>
        <w:t>tracked through fuel sale records against average project energy consumption values</w:t>
      </w:r>
      <w:r w:rsidRPr="00D43286">
        <w:rPr>
          <w:rFonts w:eastAsia="Arial Nova"/>
        </w:rPr>
        <w:t xml:space="preserve">. </w:t>
      </w:r>
      <w:r w:rsidRPr="00D43286">
        <w:rPr>
          <w:rStyle w:val="normaltextrun"/>
          <w:color w:val="000000" w:themeColor="text1"/>
        </w:rPr>
        <w:t xml:space="preserve">Any outliers, </w:t>
      </w:r>
      <w:r w:rsidRPr="00D43286">
        <w:rPr>
          <w:rFonts w:eastAsia="Arial"/>
        </w:rPr>
        <w:t>defined as a household where the per person energy consumption for the given monitoring period is greater than 1.5 times the interquartile range (IQR) above the third quartile</w:t>
      </w:r>
      <w:r w:rsidRPr="00D43286">
        <w:rPr>
          <w:rStyle w:val="normaltextrun"/>
          <w:color w:val="000000" w:themeColor="text1"/>
        </w:rPr>
        <w:t xml:space="preserve"> must be justified, or the household excluded</w:t>
      </w:r>
      <w:r w:rsidRPr="00D43286">
        <w:rPr>
          <w:rStyle w:val="normaltextrun"/>
          <w:rFonts w:eastAsia="Arial Nova"/>
          <w:color w:val="000000" w:themeColor="text1"/>
        </w:rPr>
        <w:t>.</w:t>
      </w:r>
    </w:p>
    <w:p w14:paraId="21301B8D" w14:textId="36A29CC5" w:rsidR="00313CC0" w:rsidRPr="00D43286" w:rsidRDefault="00313CC0" w:rsidP="00D43286">
      <w:pPr>
        <w:pStyle w:val="SDMSubPara2"/>
        <w:spacing w:before="20" w:after="20"/>
        <w:ind w:right="161"/>
        <w:rPr>
          <w:rFonts w:eastAsia="Arial Nova"/>
        </w:rPr>
      </w:pPr>
      <w:r w:rsidRPr="00D43286">
        <w:rPr>
          <w:rFonts w:eastAsia="Arial Nova"/>
        </w:rPr>
        <w:t>This methodology is not applicable for households who use electricity as their primary baseline fuel</w:t>
      </w:r>
      <w:r w:rsidRPr="00B33BB6">
        <w:rPr>
          <w:rStyle w:val="FootnoteReference"/>
          <w:rFonts w:eastAsia="Arial Nova"/>
        </w:rPr>
        <w:footnoteReference w:id="5"/>
      </w:r>
      <w:r w:rsidRPr="00D43286">
        <w:rPr>
          <w:rFonts w:eastAsia="Arial Nova"/>
        </w:rPr>
        <w:t>.</w:t>
      </w:r>
    </w:p>
    <w:bookmarkEnd w:id="31"/>
    <w:bookmarkEnd w:id="32"/>
    <w:bookmarkEnd w:id="33"/>
    <w:bookmarkEnd w:id="34"/>
    <w:bookmarkEnd w:id="35"/>
    <w:bookmarkEnd w:id="36"/>
    <w:p w14:paraId="111AC726" w14:textId="7623AB2D" w:rsidR="000A736D" w:rsidRPr="002304E9" w:rsidRDefault="000A736D" w:rsidP="00620061">
      <w:pPr>
        <w:pStyle w:val="SDMHead1"/>
        <w:numPr>
          <w:ilvl w:val="0"/>
          <w:numId w:val="18"/>
        </w:numPr>
      </w:pPr>
      <w:r w:rsidRPr="002304E9">
        <w:t>Avoidance of double-counting</w:t>
      </w:r>
    </w:p>
    <w:p w14:paraId="3726A595" w14:textId="77777777" w:rsidR="00BC6C73" w:rsidRPr="003E3B39" w:rsidRDefault="007763FC" w:rsidP="00BC6C73">
      <w:pPr>
        <w:pStyle w:val="SDMPara"/>
        <w:rPr>
          <w:color w:val="A6A6A6" w:themeColor="background1" w:themeShade="A6"/>
        </w:rPr>
      </w:pPr>
      <w:r w:rsidRPr="003E3B39">
        <w:rPr>
          <w:color w:val="A6A6A6" w:themeColor="background1" w:themeShade="A6"/>
        </w:rPr>
        <w:t xml:space="preserve">The risk of double counting in clean cooking projects is low compared to other sectors, </w:t>
      </w:r>
      <w:r w:rsidR="00743732" w:rsidRPr="003E3B39">
        <w:rPr>
          <w:color w:val="A6A6A6" w:themeColor="background1" w:themeShade="A6"/>
        </w:rPr>
        <w:t xml:space="preserve">as project boundaries are defined by the specific set of households adopting the project technologies, and </w:t>
      </w:r>
      <w:r w:rsidR="00117E69" w:rsidRPr="003E3B39">
        <w:rPr>
          <w:color w:val="A6A6A6" w:themeColor="background1" w:themeShade="A6"/>
        </w:rPr>
        <w:t>these can be uniquely identified and monitored. Nonetheless, overlaps can arise in three ways: through</w:t>
      </w:r>
      <w:r w:rsidR="002E5169" w:rsidRPr="003E3B39">
        <w:rPr>
          <w:color w:val="A6A6A6" w:themeColor="background1" w:themeShade="A6"/>
        </w:rPr>
        <w:t xml:space="preserve"> households bein</w:t>
      </w:r>
      <w:r w:rsidR="00547900" w:rsidRPr="003E3B39">
        <w:rPr>
          <w:color w:val="A6A6A6" w:themeColor="background1" w:themeShade="A6"/>
        </w:rPr>
        <w:t>g</w:t>
      </w:r>
      <w:r w:rsidR="002E5169" w:rsidRPr="003E3B39">
        <w:rPr>
          <w:color w:val="A6A6A6" w:themeColor="background1" w:themeShade="A6"/>
        </w:rPr>
        <w:t xml:space="preserve"> included in more than one carbon project</w:t>
      </w:r>
      <w:r w:rsidR="00B65C5A" w:rsidRPr="003E3B39">
        <w:rPr>
          <w:color w:val="A6A6A6" w:themeColor="background1" w:themeShade="A6"/>
        </w:rPr>
        <w:t>;</w:t>
      </w:r>
      <w:r w:rsidR="002E5169" w:rsidRPr="003E3B39">
        <w:rPr>
          <w:color w:val="A6A6A6" w:themeColor="background1" w:themeShade="A6"/>
        </w:rPr>
        <w:t xml:space="preserve"> through </w:t>
      </w:r>
      <w:r w:rsidR="00F02020" w:rsidRPr="003E3B39">
        <w:rPr>
          <w:color w:val="A6A6A6" w:themeColor="background1" w:themeShade="A6"/>
        </w:rPr>
        <w:t>reductions being simultaneously reported under national mitigation schemes or NDCs</w:t>
      </w:r>
      <w:r w:rsidR="00B65C5A" w:rsidRPr="003E3B39">
        <w:rPr>
          <w:color w:val="A6A6A6" w:themeColor="background1" w:themeShade="A6"/>
        </w:rPr>
        <w:t>;</w:t>
      </w:r>
      <w:r w:rsidR="00F02020" w:rsidRPr="003E3B39">
        <w:rPr>
          <w:color w:val="A6A6A6" w:themeColor="background1" w:themeShade="A6"/>
        </w:rPr>
        <w:t xml:space="preserve"> or through participation in parallel</w:t>
      </w:r>
      <w:r w:rsidR="005C2E3B" w:rsidRPr="003E3B39">
        <w:rPr>
          <w:color w:val="A6A6A6" w:themeColor="background1" w:themeShade="A6"/>
        </w:rPr>
        <w:t xml:space="preserve"> results-b</w:t>
      </w:r>
      <w:r w:rsidR="0056268F" w:rsidRPr="003E3B39">
        <w:rPr>
          <w:color w:val="A6A6A6" w:themeColor="background1" w:themeShade="A6"/>
        </w:rPr>
        <w:t>a</w:t>
      </w:r>
      <w:r w:rsidR="005C2E3B" w:rsidRPr="003E3B39">
        <w:rPr>
          <w:color w:val="A6A6A6" w:themeColor="background1" w:themeShade="A6"/>
        </w:rPr>
        <w:t>sed financing or environmental markets.</w:t>
      </w:r>
    </w:p>
    <w:p w14:paraId="59D97540" w14:textId="57C816E0" w:rsidR="006D76A9" w:rsidRPr="00115C31" w:rsidRDefault="005C2E3B" w:rsidP="00BC6C73">
      <w:pPr>
        <w:pStyle w:val="SDMPara"/>
      </w:pPr>
      <w:r w:rsidRPr="00115C31">
        <w:t>The CLEAR methodology requires</w:t>
      </w:r>
      <w:r w:rsidR="54562168">
        <w:t>:</w:t>
      </w:r>
      <w:r w:rsidR="006379F3" w:rsidRPr="00115C31">
        <w:t xml:space="preserve"> (</w:t>
      </w:r>
      <w:proofErr w:type="spellStart"/>
      <w:r w:rsidR="006379F3" w:rsidRPr="00115C31">
        <w:t>i</w:t>
      </w:r>
      <w:proofErr w:type="spellEnd"/>
      <w:r w:rsidR="006379F3" w:rsidRPr="00115C31">
        <w:t>)</w:t>
      </w:r>
      <w:r w:rsidR="005B054C" w:rsidRPr="00115C31">
        <w:t xml:space="preserve"> a</w:t>
      </w:r>
      <w:r w:rsidR="007B1C5A" w:rsidRPr="00115C31">
        <w:t xml:space="preserve"> permanent</w:t>
      </w:r>
      <w:r w:rsidRPr="00115C31">
        <w:t xml:space="preserve"> unique identifier a</w:t>
      </w:r>
      <w:r w:rsidR="00BF4D31" w:rsidRPr="00115C31">
        <w:t>ffixed to the cookstove and linked to a specific household</w:t>
      </w:r>
      <w:r w:rsidR="00B862D8" w:rsidRPr="00115C31">
        <w:t xml:space="preserve">, with an identifier management system in place to </w:t>
      </w:r>
      <w:r w:rsidR="00275820" w:rsidRPr="00115C31">
        <w:t>manage the replacement of any cookstoves within the crediting period</w:t>
      </w:r>
      <w:r w:rsidR="7B4ED7AC">
        <w:t>;</w:t>
      </w:r>
      <w:r w:rsidR="006379F3" w:rsidRPr="00115C31">
        <w:t xml:space="preserve"> (ii) a regulatory </w:t>
      </w:r>
      <w:r w:rsidR="0056268F" w:rsidRPr="00115C31">
        <w:t>analysis</w:t>
      </w:r>
      <w:r w:rsidR="006379F3" w:rsidRPr="00115C31">
        <w:t xml:space="preserve"> to assess potential overlaps with domestic schemes</w:t>
      </w:r>
      <w:r w:rsidR="4B0ED18F">
        <w:t>;</w:t>
      </w:r>
      <w:r w:rsidR="006379F3" w:rsidRPr="00115C31">
        <w:t xml:space="preserve"> and (iii)</w:t>
      </w:r>
      <w:r w:rsidR="0056268F" w:rsidRPr="00115C31">
        <w:t xml:space="preserve"> disclosure of other programmes to ensure emission reductions are not claimed more than once.</w:t>
      </w:r>
    </w:p>
    <w:p w14:paraId="7DFE3A5A" w14:textId="3FA7015B" w:rsidR="002B78F7" w:rsidRDefault="00E4540D" w:rsidP="00620061">
      <w:pPr>
        <w:pStyle w:val="SDMHead1"/>
        <w:numPr>
          <w:ilvl w:val="0"/>
          <w:numId w:val="18"/>
        </w:numPr>
      </w:pPr>
      <w:r>
        <w:lastRenderedPageBreak/>
        <w:t xml:space="preserve">Demonstration of alignment with the policies, options and implementation plans </w:t>
      </w:r>
      <w:proofErr w:type="gramStart"/>
      <w:r>
        <w:t>with regard to</w:t>
      </w:r>
      <w:proofErr w:type="gramEnd"/>
      <w:r>
        <w:t xml:space="preserve"> the NDC</w:t>
      </w:r>
      <w:r w:rsidR="00BA587A">
        <w:t xml:space="preserve"> and LT-LEDS</w:t>
      </w:r>
      <w:r>
        <w:t xml:space="preserve"> of the host Party</w:t>
      </w:r>
      <w:r w:rsidR="00BA587A">
        <w:t xml:space="preserve"> </w:t>
      </w:r>
      <w:r>
        <w:t>and the long-term temperature goal of the Paris Agreement and long-term goals of the Paris Agreement</w:t>
      </w:r>
    </w:p>
    <w:p w14:paraId="1D117C2B" w14:textId="5CF233CC" w:rsidR="002B78F7" w:rsidRDefault="00BA587A" w:rsidP="007A021D">
      <w:pPr>
        <w:pStyle w:val="SDMPara"/>
      </w:pPr>
      <w:r>
        <w:t xml:space="preserve">Activity participants shall provide to the DOE </w:t>
      </w:r>
      <w:r w:rsidR="00D42AD6">
        <w:t xml:space="preserve">responsible to perform the validation of the Article 6.4 project </w:t>
      </w:r>
      <w:r w:rsidR="00333F39">
        <w:t>an assessment, undertaken by the DNA of the host Party, of the activity’s consistency with Decision 3/CMA.3 paragraph 40 (c) and paragraph 27 (a) as part of the host Party’s approval</w:t>
      </w:r>
      <w:r w:rsidR="00D9029C" w:rsidRPr="00EC4CA9">
        <w:t>.</w:t>
      </w:r>
    </w:p>
    <w:p w14:paraId="60798CA2" w14:textId="47C5FA29" w:rsidR="00F16219" w:rsidRDefault="00796068" w:rsidP="00620061">
      <w:pPr>
        <w:pStyle w:val="SDMHead1"/>
        <w:numPr>
          <w:ilvl w:val="0"/>
          <w:numId w:val="18"/>
        </w:numPr>
      </w:pPr>
      <w:r>
        <w:t>Activity Boundary</w:t>
      </w:r>
    </w:p>
    <w:p w14:paraId="543FAAB2" w14:textId="77777777" w:rsidR="00065A2F" w:rsidRDefault="00065A2F" w:rsidP="00065A2F">
      <w:pPr>
        <w:tabs>
          <w:tab w:val="left" w:pos="510"/>
        </w:tabs>
        <w:spacing w:before="60" w:after="60"/>
        <w:rPr>
          <w:rFonts w:eastAsia="Arial" w:cs="Arial"/>
          <w:szCs w:val="22"/>
        </w:rPr>
      </w:pPr>
    </w:p>
    <w:p w14:paraId="71C80E90" w14:textId="11353847" w:rsidR="00C318E3" w:rsidRPr="002304E9" w:rsidRDefault="00065A2F" w:rsidP="002304E9">
      <w:pPr>
        <w:pStyle w:val="SDMPara"/>
        <w:tabs>
          <w:tab w:val="left" w:pos="510"/>
        </w:tabs>
        <w:spacing w:before="60" w:after="60"/>
        <w:rPr>
          <w:rFonts w:eastAsia="Arial"/>
        </w:rPr>
      </w:pPr>
      <w:r w:rsidRPr="002304E9">
        <w:rPr>
          <w:rFonts w:eastAsia="Arial"/>
        </w:rPr>
        <w:t xml:space="preserve">Under the CLEAR methodology, the project boundary corresponds to the physical, geographical sites where project technologies operate including the location from which baseline and project fuels are produced or collected. </w:t>
      </w:r>
      <w:r w:rsidRPr="002304E9">
        <w:rPr>
          <w:rFonts w:eastAsia="Arial"/>
          <w:iCs/>
        </w:rPr>
        <w:t>Where project devices use electricity, the project boundary includes the electricity generation system and, where applicable, also the T&amp;D system.</w:t>
      </w:r>
    </w:p>
    <w:p w14:paraId="092A5FA5" w14:textId="79A2F7C6" w:rsidR="00EC41F3" w:rsidRDefault="00EC41F3" w:rsidP="00EC41F3">
      <w:pPr>
        <w:pStyle w:val="Caption"/>
        <w:ind w:hanging="1956"/>
      </w:pPr>
      <w:r>
        <w:t xml:space="preserve">Table </w:t>
      </w:r>
      <w:r>
        <w:fldChar w:fldCharType="begin"/>
      </w:r>
      <w:r>
        <w:instrText>SEQ Table \* ARABIC</w:instrText>
      </w:r>
      <w:r>
        <w:fldChar w:fldCharType="separate"/>
      </w:r>
      <w:r w:rsidR="004C6E01">
        <w:rPr>
          <w:noProof/>
        </w:rPr>
        <w:t>2</w:t>
      </w:r>
      <w:r>
        <w:fldChar w:fldCharType="end"/>
      </w:r>
      <w:r>
        <w:rPr>
          <w:lang w:val="en-US"/>
        </w:rPr>
        <w:t xml:space="preserve">. </w:t>
      </w:r>
      <w:r w:rsidRPr="00C8677A">
        <w:rPr>
          <w:lang w:val="en-US"/>
        </w:rPr>
        <w:t>Emissions sources</w:t>
      </w:r>
      <w:r w:rsidR="00BE503C">
        <w:rPr>
          <w:lang w:val="en-US"/>
        </w:rPr>
        <w:t xml:space="preserve"> and sinks</w:t>
      </w:r>
      <w:r w:rsidRPr="00C8677A">
        <w:rPr>
          <w:lang w:val="en-US"/>
        </w:rPr>
        <w:t xml:space="preserve"> included in or excluded from the </w:t>
      </w:r>
      <w:r>
        <w:rPr>
          <w:lang w:val="en-US"/>
        </w:rPr>
        <w:t>activity</w:t>
      </w:r>
      <w:r w:rsidRPr="00C8677A">
        <w:rPr>
          <w:lang w:val="en-US"/>
        </w:rPr>
        <w:t xml:space="preserve"> boundary</w:t>
      </w:r>
    </w:p>
    <w:tbl>
      <w:tblPr>
        <w:tblStyle w:val="SDMTable"/>
        <w:tblW w:w="9243" w:type="dxa"/>
        <w:tblInd w:w="108" w:type="dxa"/>
        <w:tblLook w:val="04A0" w:firstRow="1" w:lastRow="0" w:firstColumn="1" w:lastColumn="0" w:noHBand="0" w:noVBand="1"/>
      </w:tblPr>
      <w:tblGrid>
        <w:gridCol w:w="610"/>
        <w:gridCol w:w="1895"/>
        <w:gridCol w:w="752"/>
        <w:gridCol w:w="1646"/>
        <w:gridCol w:w="1638"/>
        <w:gridCol w:w="2702"/>
      </w:tblGrid>
      <w:tr w:rsidR="000E786F" w:rsidRPr="00BC72D9" w14:paraId="1608E727" w14:textId="77777777" w:rsidTr="005A64E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6" w:type="dxa"/>
            <w:shd w:val="clear" w:color="auto" w:fill="D9D9D9" w:themeFill="background1" w:themeFillShade="D9"/>
          </w:tcPr>
          <w:p w14:paraId="0A538D3F" w14:textId="77777777" w:rsidR="000E786F" w:rsidRPr="00BC72D9" w:rsidRDefault="000E786F" w:rsidP="00BF6D3C">
            <w:pPr>
              <w:pStyle w:val="SDMPara"/>
              <w:numPr>
                <w:ilvl w:val="0"/>
                <w:numId w:val="0"/>
              </w:numPr>
              <w:spacing w:before="60" w:after="40"/>
              <w:rPr>
                <w:sz w:val="20"/>
                <w:szCs w:val="20"/>
              </w:rPr>
            </w:pPr>
          </w:p>
        </w:tc>
        <w:tc>
          <w:tcPr>
            <w:tcW w:w="1580" w:type="dxa"/>
            <w:tcBorders>
              <w:right w:val="single" w:sz="4" w:space="0" w:color="auto"/>
            </w:tcBorders>
            <w:shd w:val="clear" w:color="auto" w:fill="D9D9D9" w:themeFill="background1" w:themeFillShade="D9"/>
          </w:tcPr>
          <w:p w14:paraId="425E6B13" w14:textId="74DA4E17" w:rsidR="000E786F" w:rsidRPr="00BC72D9" w:rsidRDefault="000E786F" w:rsidP="00BF6D3C">
            <w:pPr>
              <w:pStyle w:val="SDMPara"/>
              <w:numPr>
                <w:ilvl w:val="0"/>
                <w:numId w:val="0"/>
              </w:numPr>
              <w:spacing w:before="60" w:after="40"/>
              <w:cnfStyle w:val="100000000000" w:firstRow="1" w:lastRow="0" w:firstColumn="0" w:lastColumn="0" w:oddVBand="0" w:evenVBand="0" w:oddHBand="0" w:evenHBand="0" w:firstRowFirstColumn="0" w:firstRowLastColumn="0" w:lastRowFirstColumn="0" w:lastRowLastColumn="0"/>
              <w:rPr>
                <w:sz w:val="20"/>
                <w:szCs w:val="20"/>
              </w:rPr>
            </w:pPr>
            <w:r w:rsidRPr="00BC72D9">
              <w:rPr>
                <w:sz w:val="20"/>
                <w:szCs w:val="20"/>
              </w:rPr>
              <w:t>Source</w:t>
            </w:r>
          </w:p>
        </w:tc>
        <w:tc>
          <w:tcPr>
            <w:tcW w:w="4094" w:type="dxa"/>
            <w:gridSpan w:val="3"/>
            <w:tcBorders>
              <w:left w:val="single" w:sz="4" w:space="0" w:color="auto"/>
              <w:right w:val="single" w:sz="4" w:space="0" w:color="auto"/>
            </w:tcBorders>
            <w:shd w:val="clear" w:color="auto" w:fill="D9D9D9" w:themeFill="background1" w:themeFillShade="D9"/>
          </w:tcPr>
          <w:p w14:paraId="7C07DB8D" w14:textId="288B84B5" w:rsidR="000E786F" w:rsidRPr="00BC72D9" w:rsidRDefault="000E786F" w:rsidP="000E786F">
            <w:pPr>
              <w:pStyle w:val="SDMPara"/>
              <w:numPr>
                <w:ilvl w:val="0"/>
                <w:numId w:val="0"/>
              </w:numPr>
              <w:spacing w:before="60" w:after="40"/>
              <w:jc w:val="center"/>
              <w:cnfStyle w:val="100000000000" w:firstRow="1" w:lastRow="0" w:firstColumn="0" w:lastColumn="0" w:oddVBand="0" w:evenVBand="0" w:oddHBand="0" w:evenHBand="0" w:firstRowFirstColumn="0" w:firstRowLastColumn="0" w:lastRowFirstColumn="0" w:lastRowLastColumn="0"/>
              <w:rPr>
                <w:sz w:val="20"/>
                <w:szCs w:val="20"/>
              </w:rPr>
            </w:pPr>
            <w:r w:rsidRPr="00BC72D9">
              <w:rPr>
                <w:sz w:val="20"/>
                <w:szCs w:val="20"/>
              </w:rPr>
              <w:t>GHG</w:t>
            </w:r>
          </w:p>
        </w:tc>
        <w:tc>
          <w:tcPr>
            <w:tcW w:w="2933" w:type="dxa"/>
            <w:tcBorders>
              <w:left w:val="single" w:sz="4" w:space="0" w:color="auto"/>
            </w:tcBorders>
            <w:shd w:val="clear" w:color="auto" w:fill="D9D9D9" w:themeFill="background1" w:themeFillShade="D9"/>
          </w:tcPr>
          <w:p w14:paraId="062A0B87" w14:textId="653BA276" w:rsidR="000E786F" w:rsidRPr="00BC72D9" w:rsidRDefault="000E786F" w:rsidP="00BF6D3C">
            <w:pPr>
              <w:pStyle w:val="SDMPara"/>
              <w:numPr>
                <w:ilvl w:val="0"/>
                <w:numId w:val="0"/>
              </w:numPr>
              <w:spacing w:before="60" w:after="40"/>
              <w:cnfStyle w:val="100000000000" w:firstRow="1" w:lastRow="0" w:firstColumn="0" w:lastColumn="0" w:oddVBand="0" w:evenVBand="0" w:oddHBand="0" w:evenHBand="0" w:firstRowFirstColumn="0" w:firstRowLastColumn="0" w:lastRowFirstColumn="0" w:lastRowLastColumn="0"/>
              <w:rPr>
                <w:sz w:val="20"/>
                <w:szCs w:val="20"/>
              </w:rPr>
            </w:pPr>
            <w:r w:rsidRPr="00BC72D9">
              <w:rPr>
                <w:sz w:val="20"/>
                <w:szCs w:val="20"/>
              </w:rPr>
              <w:t>Justification / Explanation</w:t>
            </w:r>
          </w:p>
        </w:tc>
      </w:tr>
      <w:tr w:rsidR="000C72D0" w:rsidRPr="00BC72D9" w14:paraId="0629E726" w14:textId="77777777">
        <w:tc>
          <w:tcPr>
            <w:cnfStyle w:val="001000000000" w:firstRow="0" w:lastRow="0" w:firstColumn="1" w:lastColumn="0" w:oddVBand="0" w:evenVBand="0" w:oddHBand="0" w:evenHBand="0" w:firstRowFirstColumn="0" w:firstRowLastColumn="0" w:lastRowFirstColumn="0" w:lastRowLastColumn="0"/>
            <w:tcW w:w="636" w:type="dxa"/>
            <w:vMerge w:val="restart"/>
            <w:textDirection w:val="btLr"/>
            <w:vAlign w:val="center"/>
          </w:tcPr>
          <w:p w14:paraId="6E9883FA" w14:textId="6AD12B81" w:rsidR="009A2F8D" w:rsidRPr="00BC72D9" w:rsidRDefault="009A2F8D" w:rsidP="00B36921">
            <w:pPr>
              <w:pStyle w:val="SDMPara"/>
              <w:numPr>
                <w:ilvl w:val="0"/>
                <w:numId w:val="0"/>
              </w:numPr>
              <w:spacing w:before="0"/>
              <w:ind w:left="113" w:right="113"/>
              <w:jc w:val="center"/>
              <w:rPr>
                <w:sz w:val="20"/>
                <w:szCs w:val="20"/>
              </w:rPr>
            </w:pPr>
            <w:r w:rsidRPr="00BC72D9">
              <w:rPr>
                <w:sz w:val="20"/>
                <w:szCs w:val="20"/>
              </w:rPr>
              <w:t>BASELINE</w:t>
            </w:r>
          </w:p>
        </w:tc>
        <w:tc>
          <w:tcPr>
            <w:tcW w:w="1580" w:type="dxa"/>
            <w:vMerge w:val="restart"/>
          </w:tcPr>
          <w:p w14:paraId="6C0C1297" w14:textId="26FA9294" w:rsidR="00AB5A1E" w:rsidRPr="00F61F39" w:rsidRDefault="003D7D6F" w:rsidP="00BE3A4A">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i/>
                <w:iCs/>
                <w:sz w:val="20"/>
                <w:szCs w:val="20"/>
              </w:rPr>
            </w:pPr>
            <w:r w:rsidRPr="00B33BB6">
              <w:rPr>
                <w:sz w:val="20"/>
                <w:szCs w:val="20"/>
              </w:rPr>
              <w:t>Thermal energy generation (burning of fuel)</w:t>
            </w:r>
          </w:p>
        </w:tc>
        <w:tc>
          <w:tcPr>
            <w:tcW w:w="781" w:type="dxa"/>
            <w:vAlign w:val="center"/>
          </w:tcPr>
          <w:p w14:paraId="263225F7" w14:textId="4B5D00FB"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CO</w:t>
            </w:r>
            <w:r w:rsidRPr="00BC72D9">
              <w:rPr>
                <w:sz w:val="20"/>
                <w:szCs w:val="20"/>
                <w:vertAlign w:val="subscript"/>
              </w:rPr>
              <w:t>2</w:t>
            </w:r>
          </w:p>
        </w:tc>
        <w:tc>
          <w:tcPr>
            <w:tcW w:w="1675" w:type="dxa"/>
            <w:vAlign w:val="center"/>
          </w:tcPr>
          <w:p w14:paraId="12480DA2" w14:textId="72FC8DEC" w:rsidR="009A2F8D" w:rsidRPr="00BC72D9" w:rsidRDefault="003D7D6F"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Check2"/>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6CE738FD" w14:textId="713FACE1"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fldChar w:fldCharType="begin">
                <w:ffData>
                  <w:name w:val="Check2"/>
                  <w:enabled/>
                  <w:calcOnExit w:val="0"/>
                  <w:checkBox>
                    <w:size w:val="20"/>
                    <w:default w:val="0"/>
                  </w:checkBox>
                </w:ffData>
              </w:fldChar>
            </w:r>
            <w:r w:rsidRPr="00BC72D9">
              <w:rPr>
                <w:sz w:val="20"/>
                <w:szCs w:val="20"/>
              </w:rPr>
              <w:instrText xml:space="preserve"> FORMCHECKBOX </w:instrText>
            </w:r>
            <w:r w:rsidRPr="00BC72D9">
              <w:rPr>
                <w:sz w:val="20"/>
                <w:szCs w:val="20"/>
              </w:rPr>
            </w:r>
            <w:r w:rsidRPr="00BC72D9">
              <w:rPr>
                <w:sz w:val="20"/>
                <w:szCs w:val="20"/>
              </w:rPr>
              <w:fldChar w:fldCharType="separate"/>
            </w:r>
            <w:r w:rsidRPr="00BC72D9">
              <w:rPr>
                <w:sz w:val="20"/>
                <w:szCs w:val="20"/>
              </w:rPr>
              <w:fldChar w:fldCharType="end"/>
            </w:r>
            <w:r w:rsidRPr="00BC72D9">
              <w:rPr>
                <w:sz w:val="20"/>
                <w:szCs w:val="20"/>
              </w:rPr>
              <w:t xml:space="preserve"> Not included</w:t>
            </w:r>
          </w:p>
        </w:tc>
        <w:tc>
          <w:tcPr>
            <w:tcW w:w="1638" w:type="dxa"/>
            <w:vAlign w:val="center"/>
          </w:tcPr>
          <w:p w14:paraId="6615D812" w14:textId="0D704673" w:rsidR="009A2F8D" w:rsidRPr="00BC72D9" w:rsidRDefault="00B97B1B"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3D7D6F" w:rsidRPr="00BC72D9">
              <w:rPr>
                <w:rFonts w:eastAsia="Times New Roman"/>
                <w:szCs w:val="20"/>
                <w:lang w:eastAsia="de-DE"/>
              </w:rPr>
              <w:t xml:space="preserve"> Controlled</w:t>
            </w:r>
          </w:p>
          <w:p w14:paraId="6F0F1EAD" w14:textId="77777777" w:rsidR="009A2F8D" w:rsidRPr="00BC72D9" w:rsidRDefault="009A2F8D"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Related to</w:t>
            </w:r>
          </w:p>
          <w:p w14:paraId="46F2054C" w14:textId="3218C185"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fldChar w:fldCharType="begin">
                <w:ffData>
                  <w:name w:val="Check2"/>
                  <w:enabled/>
                  <w:calcOnExit w:val="0"/>
                  <w:checkBox>
                    <w:size w:val="20"/>
                    <w:default w:val="0"/>
                  </w:checkBox>
                </w:ffData>
              </w:fldChar>
            </w:r>
            <w:r w:rsidRPr="00BC72D9">
              <w:rPr>
                <w:sz w:val="20"/>
                <w:szCs w:val="20"/>
              </w:rPr>
              <w:instrText xml:space="preserve"> FORMCHECKBOX </w:instrText>
            </w:r>
            <w:r w:rsidRPr="00BC72D9">
              <w:rPr>
                <w:sz w:val="20"/>
                <w:szCs w:val="20"/>
              </w:rPr>
            </w:r>
            <w:r w:rsidRPr="00BC72D9">
              <w:rPr>
                <w:sz w:val="20"/>
                <w:szCs w:val="20"/>
              </w:rPr>
              <w:fldChar w:fldCharType="separate"/>
            </w:r>
            <w:r w:rsidRPr="00BC72D9">
              <w:rPr>
                <w:sz w:val="20"/>
                <w:szCs w:val="20"/>
              </w:rPr>
              <w:fldChar w:fldCharType="end"/>
            </w:r>
            <w:r w:rsidRPr="00BC72D9">
              <w:rPr>
                <w:sz w:val="20"/>
                <w:szCs w:val="20"/>
              </w:rPr>
              <w:t xml:space="preserve"> Affected by</w:t>
            </w:r>
          </w:p>
        </w:tc>
        <w:tc>
          <w:tcPr>
            <w:tcW w:w="2933" w:type="dxa"/>
          </w:tcPr>
          <w:p w14:paraId="7D822DF4" w14:textId="7D641670" w:rsidR="009A2F8D" w:rsidRPr="00BC72D9" w:rsidRDefault="003D7D6F"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&gt;&gt;Major source of emissions</w:t>
            </w:r>
          </w:p>
        </w:tc>
      </w:tr>
      <w:tr w:rsidR="000C72D0" w:rsidRPr="00BC72D9" w14:paraId="6A9D9BAF" w14:textId="77777777">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109559E0" w14:textId="77777777" w:rsidR="009A2F8D" w:rsidRPr="00BC72D9" w:rsidRDefault="009A2F8D" w:rsidP="00B36921">
            <w:pPr>
              <w:pStyle w:val="SDMPara"/>
              <w:numPr>
                <w:ilvl w:val="0"/>
                <w:numId w:val="0"/>
              </w:numPr>
              <w:spacing w:before="0"/>
              <w:jc w:val="center"/>
              <w:rPr>
                <w:sz w:val="20"/>
                <w:szCs w:val="20"/>
              </w:rPr>
            </w:pPr>
          </w:p>
        </w:tc>
        <w:tc>
          <w:tcPr>
            <w:tcW w:w="1580" w:type="dxa"/>
            <w:vMerge/>
          </w:tcPr>
          <w:p w14:paraId="4CA59B46" w14:textId="00A549A8" w:rsidR="009A2F8D" w:rsidRPr="00BC72D9" w:rsidRDefault="009A2F8D" w:rsidP="00BE3A4A">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0842AF6A" w14:textId="49FB77FF"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CH</w:t>
            </w:r>
            <w:r w:rsidRPr="00BC72D9">
              <w:rPr>
                <w:sz w:val="20"/>
                <w:szCs w:val="20"/>
                <w:vertAlign w:val="subscript"/>
              </w:rPr>
              <w:t>4</w:t>
            </w:r>
          </w:p>
        </w:tc>
        <w:tc>
          <w:tcPr>
            <w:tcW w:w="1675" w:type="dxa"/>
            <w:vAlign w:val="center"/>
          </w:tcPr>
          <w:p w14:paraId="32D83A50" w14:textId="42871BD1" w:rsidR="009A2F8D" w:rsidRPr="00BC72D9" w:rsidRDefault="003D7D6F"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015026F7" w14:textId="2C41CB3B"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fldChar w:fldCharType="begin">
                <w:ffData>
                  <w:name w:val="Check2"/>
                  <w:enabled/>
                  <w:calcOnExit w:val="0"/>
                  <w:checkBox>
                    <w:size w:val="20"/>
                    <w:default w:val="0"/>
                  </w:checkBox>
                </w:ffData>
              </w:fldChar>
            </w:r>
            <w:r w:rsidRPr="00BC72D9">
              <w:rPr>
                <w:sz w:val="20"/>
                <w:szCs w:val="20"/>
              </w:rPr>
              <w:instrText xml:space="preserve"> FORMCHECKBOX </w:instrText>
            </w:r>
            <w:r w:rsidRPr="00BC72D9">
              <w:rPr>
                <w:sz w:val="20"/>
                <w:szCs w:val="20"/>
              </w:rPr>
            </w:r>
            <w:r w:rsidRPr="00BC72D9">
              <w:rPr>
                <w:sz w:val="20"/>
                <w:szCs w:val="20"/>
              </w:rPr>
              <w:fldChar w:fldCharType="separate"/>
            </w:r>
            <w:r w:rsidRPr="00BC72D9">
              <w:rPr>
                <w:sz w:val="20"/>
                <w:szCs w:val="20"/>
              </w:rPr>
              <w:fldChar w:fldCharType="end"/>
            </w:r>
            <w:r w:rsidRPr="00BC72D9">
              <w:rPr>
                <w:sz w:val="20"/>
                <w:szCs w:val="20"/>
              </w:rPr>
              <w:t xml:space="preserve"> Not included</w:t>
            </w:r>
          </w:p>
        </w:tc>
        <w:tc>
          <w:tcPr>
            <w:tcW w:w="1638" w:type="dxa"/>
            <w:vAlign w:val="center"/>
          </w:tcPr>
          <w:p w14:paraId="7AC4C9BA" w14:textId="697A0446" w:rsidR="009A2F8D" w:rsidRPr="00BC72D9" w:rsidRDefault="008F75E2"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3D7D6F" w:rsidRPr="00BC72D9">
              <w:rPr>
                <w:rFonts w:eastAsia="Times New Roman"/>
                <w:szCs w:val="20"/>
                <w:lang w:eastAsia="de-DE"/>
              </w:rPr>
              <w:t xml:space="preserve"> Controlled</w:t>
            </w:r>
          </w:p>
          <w:p w14:paraId="6A7BF089" w14:textId="0C2DC914" w:rsidR="009A2F8D" w:rsidRPr="00BC72D9" w:rsidRDefault="008F75E2"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0"/>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3D7D6F" w:rsidRPr="00BC72D9">
              <w:rPr>
                <w:rFonts w:eastAsia="Times New Roman"/>
                <w:szCs w:val="20"/>
                <w:lang w:eastAsia="de-DE"/>
              </w:rPr>
              <w:t xml:space="preserve"> Related to</w:t>
            </w:r>
          </w:p>
          <w:p w14:paraId="3D11F359" w14:textId="2FC79D4C"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fldChar w:fldCharType="begin">
                <w:ffData>
                  <w:name w:val="Check2"/>
                  <w:enabled/>
                  <w:calcOnExit w:val="0"/>
                  <w:checkBox>
                    <w:size w:val="20"/>
                    <w:default w:val="0"/>
                  </w:checkBox>
                </w:ffData>
              </w:fldChar>
            </w:r>
            <w:r w:rsidRPr="00BC72D9">
              <w:rPr>
                <w:sz w:val="20"/>
                <w:szCs w:val="20"/>
              </w:rPr>
              <w:instrText xml:space="preserve"> FORMCHECKBOX </w:instrText>
            </w:r>
            <w:r w:rsidRPr="00BC72D9">
              <w:rPr>
                <w:sz w:val="20"/>
                <w:szCs w:val="20"/>
              </w:rPr>
            </w:r>
            <w:r w:rsidRPr="00BC72D9">
              <w:rPr>
                <w:sz w:val="20"/>
                <w:szCs w:val="20"/>
              </w:rPr>
              <w:fldChar w:fldCharType="separate"/>
            </w:r>
            <w:r w:rsidRPr="00BC72D9">
              <w:rPr>
                <w:sz w:val="20"/>
                <w:szCs w:val="20"/>
              </w:rPr>
              <w:fldChar w:fldCharType="end"/>
            </w:r>
            <w:r w:rsidRPr="00BC72D9">
              <w:rPr>
                <w:sz w:val="20"/>
                <w:szCs w:val="20"/>
              </w:rPr>
              <w:t xml:space="preserve"> Affected by</w:t>
            </w:r>
          </w:p>
        </w:tc>
        <w:tc>
          <w:tcPr>
            <w:tcW w:w="2933" w:type="dxa"/>
          </w:tcPr>
          <w:p w14:paraId="7AF380B5" w14:textId="03BDC698" w:rsidR="009A2F8D" w:rsidRPr="00BC72D9" w:rsidRDefault="003D7D6F"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&gt;&gt;Can be significant for some fuels</w:t>
            </w:r>
          </w:p>
        </w:tc>
      </w:tr>
      <w:tr w:rsidR="000C72D0" w:rsidRPr="00BC72D9" w14:paraId="11A677B9" w14:textId="77777777">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3B6A7E96" w14:textId="77777777" w:rsidR="009A2F8D" w:rsidRPr="00BC72D9" w:rsidRDefault="009A2F8D" w:rsidP="00B36921">
            <w:pPr>
              <w:pStyle w:val="SDMPara"/>
              <w:numPr>
                <w:ilvl w:val="0"/>
                <w:numId w:val="0"/>
              </w:numPr>
              <w:spacing w:before="0"/>
              <w:jc w:val="center"/>
              <w:rPr>
                <w:sz w:val="20"/>
                <w:szCs w:val="20"/>
              </w:rPr>
            </w:pPr>
          </w:p>
        </w:tc>
        <w:tc>
          <w:tcPr>
            <w:tcW w:w="1580" w:type="dxa"/>
            <w:vMerge/>
          </w:tcPr>
          <w:p w14:paraId="7F871D8D" w14:textId="60076E32" w:rsidR="009A2F8D" w:rsidRPr="00BC72D9" w:rsidRDefault="009A2F8D" w:rsidP="00BE3A4A">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7D859AFC" w14:textId="4F37512B"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N</w:t>
            </w:r>
            <w:r w:rsidRPr="00BC72D9">
              <w:rPr>
                <w:sz w:val="20"/>
                <w:szCs w:val="20"/>
                <w:vertAlign w:val="subscript"/>
              </w:rPr>
              <w:t>2</w:t>
            </w:r>
            <w:r w:rsidRPr="00BC72D9">
              <w:rPr>
                <w:sz w:val="20"/>
                <w:szCs w:val="20"/>
              </w:rPr>
              <w:t>O</w:t>
            </w:r>
          </w:p>
        </w:tc>
        <w:tc>
          <w:tcPr>
            <w:tcW w:w="1675" w:type="dxa"/>
            <w:vAlign w:val="center"/>
          </w:tcPr>
          <w:p w14:paraId="731E6ACD" w14:textId="0ED8194F" w:rsidR="009A2F8D" w:rsidRPr="00BC72D9" w:rsidRDefault="003D7D6F"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0997C3FD" w14:textId="70F4288A"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fldChar w:fldCharType="begin">
                <w:ffData>
                  <w:name w:val="Check2"/>
                  <w:enabled/>
                  <w:calcOnExit w:val="0"/>
                  <w:checkBox>
                    <w:size w:val="20"/>
                    <w:default w:val="0"/>
                  </w:checkBox>
                </w:ffData>
              </w:fldChar>
            </w:r>
            <w:r w:rsidRPr="00BC72D9">
              <w:rPr>
                <w:sz w:val="20"/>
                <w:szCs w:val="20"/>
              </w:rPr>
              <w:instrText xml:space="preserve"> FORMCHECKBOX </w:instrText>
            </w:r>
            <w:r w:rsidRPr="00BC72D9">
              <w:rPr>
                <w:sz w:val="20"/>
                <w:szCs w:val="20"/>
              </w:rPr>
            </w:r>
            <w:r w:rsidRPr="00BC72D9">
              <w:rPr>
                <w:sz w:val="20"/>
                <w:szCs w:val="20"/>
              </w:rPr>
              <w:fldChar w:fldCharType="separate"/>
            </w:r>
            <w:r w:rsidRPr="00BC72D9">
              <w:rPr>
                <w:sz w:val="20"/>
                <w:szCs w:val="20"/>
              </w:rPr>
              <w:fldChar w:fldCharType="end"/>
            </w:r>
            <w:r w:rsidRPr="00BC72D9">
              <w:rPr>
                <w:sz w:val="20"/>
                <w:szCs w:val="20"/>
              </w:rPr>
              <w:t xml:space="preserve"> Not included</w:t>
            </w:r>
          </w:p>
        </w:tc>
        <w:tc>
          <w:tcPr>
            <w:tcW w:w="1638" w:type="dxa"/>
            <w:vAlign w:val="center"/>
          </w:tcPr>
          <w:p w14:paraId="17EA4B2C" w14:textId="5DBB7E89" w:rsidR="009A2F8D" w:rsidRPr="00BC72D9" w:rsidRDefault="008F75E2"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3D7D6F" w:rsidRPr="00BC72D9">
              <w:rPr>
                <w:rFonts w:eastAsia="Times New Roman"/>
                <w:szCs w:val="20"/>
                <w:lang w:eastAsia="de-DE"/>
              </w:rPr>
              <w:t xml:space="preserve"> Controlled</w:t>
            </w:r>
          </w:p>
          <w:p w14:paraId="1252934E" w14:textId="77777777" w:rsidR="009A2F8D" w:rsidRPr="00BC72D9" w:rsidRDefault="009A2F8D"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Related to</w:t>
            </w:r>
          </w:p>
          <w:p w14:paraId="1B17B7DE" w14:textId="04E9D348"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fldChar w:fldCharType="begin">
                <w:ffData>
                  <w:name w:val="Check2"/>
                  <w:enabled/>
                  <w:calcOnExit w:val="0"/>
                  <w:checkBox>
                    <w:size w:val="20"/>
                    <w:default w:val="0"/>
                  </w:checkBox>
                </w:ffData>
              </w:fldChar>
            </w:r>
            <w:r w:rsidRPr="00BC72D9">
              <w:rPr>
                <w:sz w:val="20"/>
                <w:szCs w:val="20"/>
              </w:rPr>
              <w:instrText xml:space="preserve"> FORMCHECKBOX </w:instrText>
            </w:r>
            <w:r w:rsidRPr="00BC72D9">
              <w:rPr>
                <w:sz w:val="20"/>
                <w:szCs w:val="20"/>
              </w:rPr>
            </w:r>
            <w:r w:rsidRPr="00BC72D9">
              <w:rPr>
                <w:sz w:val="20"/>
                <w:szCs w:val="20"/>
              </w:rPr>
              <w:fldChar w:fldCharType="separate"/>
            </w:r>
            <w:r w:rsidRPr="00BC72D9">
              <w:rPr>
                <w:sz w:val="20"/>
                <w:szCs w:val="20"/>
              </w:rPr>
              <w:fldChar w:fldCharType="end"/>
            </w:r>
            <w:r w:rsidRPr="00BC72D9">
              <w:rPr>
                <w:sz w:val="20"/>
                <w:szCs w:val="20"/>
              </w:rPr>
              <w:t xml:space="preserve"> Affected by</w:t>
            </w:r>
          </w:p>
        </w:tc>
        <w:tc>
          <w:tcPr>
            <w:tcW w:w="2933" w:type="dxa"/>
          </w:tcPr>
          <w:p w14:paraId="1E467FED" w14:textId="22786B18" w:rsidR="009A2F8D" w:rsidRPr="00BC72D9" w:rsidRDefault="003D7D6F"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&gt;&gt;Can be significant for some fuels</w:t>
            </w:r>
          </w:p>
        </w:tc>
      </w:tr>
      <w:tr w:rsidR="000C72D0" w:rsidRPr="00BC72D9" w14:paraId="47904CC2" w14:textId="77777777">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3A4BB8C4" w14:textId="77777777" w:rsidR="009A2F8D" w:rsidRPr="00BC72D9" w:rsidRDefault="009A2F8D" w:rsidP="00B36921">
            <w:pPr>
              <w:pStyle w:val="SDMPara"/>
              <w:numPr>
                <w:ilvl w:val="0"/>
                <w:numId w:val="0"/>
              </w:numPr>
              <w:spacing w:before="0"/>
              <w:jc w:val="center"/>
              <w:rPr>
                <w:sz w:val="20"/>
                <w:szCs w:val="20"/>
              </w:rPr>
            </w:pPr>
          </w:p>
        </w:tc>
        <w:tc>
          <w:tcPr>
            <w:tcW w:w="1580" w:type="dxa"/>
            <w:vMerge/>
          </w:tcPr>
          <w:p w14:paraId="05FC18C3" w14:textId="181B6EE7" w:rsidR="009A2F8D" w:rsidRPr="00BC72D9" w:rsidRDefault="009A2F8D" w:rsidP="00BE3A4A">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334EB759" w14:textId="1831CF2B"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w:t>
            </w:r>
          </w:p>
        </w:tc>
        <w:tc>
          <w:tcPr>
            <w:tcW w:w="1675" w:type="dxa"/>
            <w:vAlign w:val="center"/>
          </w:tcPr>
          <w:p w14:paraId="61C42FE4" w14:textId="77777777" w:rsidR="009A2F8D" w:rsidRPr="00BC72D9" w:rsidRDefault="009A2F8D"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Included</w:t>
            </w:r>
          </w:p>
          <w:p w14:paraId="6DDCA83F" w14:textId="3E6E1E1D"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fldChar w:fldCharType="begin">
                <w:ffData>
                  <w:name w:val="Check2"/>
                  <w:enabled/>
                  <w:calcOnExit w:val="0"/>
                  <w:checkBox>
                    <w:size w:val="20"/>
                    <w:default w:val="0"/>
                  </w:checkBox>
                </w:ffData>
              </w:fldChar>
            </w:r>
            <w:r w:rsidRPr="00BC72D9">
              <w:rPr>
                <w:sz w:val="20"/>
                <w:szCs w:val="20"/>
              </w:rPr>
              <w:instrText xml:space="preserve"> FORMCHECKBOX </w:instrText>
            </w:r>
            <w:r w:rsidRPr="00BC72D9">
              <w:rPr>
                <w:sz w:val="20"/>
                <w:szCs w:val="20"/>
              </w:rPr>
            </w:r>
            <w:r w:rsidRPr="00BC72D9">
              <w:rPr>
                <w:sz w:val="20"/>
                <w:szCs w:val="20"/>
              </w:rPr>
              <w:fldChar w:fldCharType="separate"/>
            </w:r>
            <w:r w:rsidRPr="00BC72D9">
              <w:rPr>
                <w:sz w:val="20"/>
                <w:szCs w:val="20"/>
              </w:rPr>
              <w:fldChar w:fldCharType="end"/>
            </w:r>
            <w:r w:rsidRPr="00BC72D9">
              <w:rPr>
                <w:sz w:val="20"/>
                <w:szCs w:val="20"/>
              </w:rPr>
              <w:t xml:space="preserve"> Not included</w:t>
            </w:r>
          </w:p>
        </w:tc>
        <w:tc>
          <w:tcPr>
            <w:tcW w:w="1638" w:type="dxa"/>
            <w:vAlign w:val="center"/>
          </w:tcPr>
          <w:p w14:paraId="195B30A0" w14:textId="77777777" w:rsidR="009A2F8D" w:rsidRPr="00BC72D9" w:rsidRDefault="009A2F8D"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5A6517D4" w14:textId="77777777" w:rsidR="009A2F8D" w:rsidRPr="00BC72D9" w:rsidRDefault="009A2F8D" w:rsidP="009A2F8D">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Related to</w:t>
            </w:r>
          </w:p>
          <w:p w14:paraId="1514869F" w14:textId="73501893" w:rsidR="009A2F8D" w:rsidRPr="00BC72D9" w:rsidRDefault="009A2F8D"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fldChar w:fldCharType="begin">
                <w:ffData>
                  <w:name w:val="Check2"/>
                  <w:enabled/>
                  <w:calcOnExit w:val="0"/>
                  <w:checkBox>
                    <w:size w:val="20"/>
                    <w:default w:val="0"/>
                  </w:checkBox>
                </w:ffData>
              </w:fldChar>
            </w:r>
            <w:r w:rsidRPr="00BC72D9">
              <w:rPr>
                <w:sz w:val="20"/>
                <w:szCs w:val="20"/>
              </w:rPr>
              <w:instrText xml:space="preserve"> FORMCHECKBOX </w:instrText>
            </w:r>
            <w:r w:rsidRPr="00BC72D9">
              <w:rPr>
                <w:sz w:val="20"/>
                <w:szCs w:val="20"/>
              </w:rPr>
            </w:r>
            <w:r w:rsidRPr="00BC72D9">
              <w:rPr>
                <w:sz w:val="20"/>
                <w:szCs w:val="20"/>
              </w:rPr>
              <w:fldChar w:fldCharType="separate"/>
            </w:r>
            <w:r w:rsidRPr="00BC72D9">
              <w:rPr>
                <w:sz w:val="20"/>
                <w:szCs w:val="20"/>
              </w:rPr>
              <w:fldChar w:fldCharType="end"/>
            </w:r>
            <w:r w:rsidRPr="00BC72D9">
              <w:rPr>
                <w:sz w:val="20"/>
                <w:szCs w:val="20"/>
              </w:rPr>
              <w:t xml:space="preserve"> Affected by</w:t>
            </w:r>
          </w:p>
        </w:tc>
        <w:tc>
          <w:tcPr>
            <w:tcW w:w="2933" w:type="dxa"/>
          </w:tcPr>
          <w:p w14:paraId="452F6DB3" w14:textId="00B14234" w:rsidR="009A2F8D" w:rsidRPr="00BC72D9" w:rsidRDefault="003D7D6F" w:rsidP="009A2F8D">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w:t>
            </w:r>
          </w:p>
        </w:tc>
      </w:tr>
      <w:tr w:rsidR="003D7D6F" w:rsidRPr="00BC72D9" w14:paraId="5FAA0AB8" w14:textId="77777777">
        <w:tc>
          <w:tcPr>
            <w:cnfStyle w:val="001000000000" w:firstRow="0" w:lastRow="0" w:firstColumn="1" w:lastColumn="0" w:oddVBand="0" w:evenVBand="0" w:oddHBand="0" w:evenHBand="0" w:firstRowFirstColumn="0" w:firstRowLastColumn="0" w:lastRowFirstColumn="0" w:lastRowLastColumn="0"/>
            <w:tcW w:w="636" w:type="dxa"/>
            <w:vMerge w:val="restart"/>
            <w:textDirection w:val="btLr"/>
            <w:vAlign w:val="center"/>
          </w:tcPr>
          <w:p w14:paraId="7BC1E74D" w14:textId="42ECD6E0" w:rsidR="003D7D6F" w:rsidRPr="00BC72D9" w:rsidRDefault="003D7D6F" w:rsidP="003D7D6F">
            <w:pPr>
              <w:pStyle w:val="SDMPara"/>
              <w:numPr>
                <w:ilvl w:val="0"/>
                <w:numId w:val="0"/>
              </w:numPr>
              <w:spacing w:before="0"/>
              <w:ind w:left="113" w:right="113"/>
              <w:jc w:val="center"/>
              <w:rPr>
                <w:sz w:val="20"/>
                <w:szCs w:val="20"/>
              </w:rPr>
            </w:pPr>
            <w:r w:rsidRPr="00BC72D9">
              <w:rPr>
                <w:sz w:val="20"/>
                <w:szCs w:val="20"/>
              </w:rPr>
              <w:t>BASELINE</w:t>
            </w:r>
          </w:p>
        </w:tc>
        <w:tc>
          <w:tcPr>
            <w:tcW w:w="1580" w:type="dxa"/>
            <w:vMerge w:val="restart"/>
          </w:tcPr>
          <w:p w14:paraId="58D366B6" w14:textId="75D5ED09" w:rsidR="003D7D6F" w:rsidRPr="00BC72D9" w:rsidRDefault="003D7D6F" w:rsidP="003D7D6F">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r w:rsidRPr="00B33BB6">
              <w:rPr>
                <w:sz w:val="20"/>
                <w:szCs w:val="20"/>
              </w:rPr>
              <w:t>Fuel production and transport</w:t>
            </w:r>
          </w:p>
        </w:tc>
        <w:tc>
          <w:tcPr>
            <w:tcW w:w="781" w:type="dxa"/>
            <w:vAlign w:val="center"/>
          </w:tcPr>
          <w:p w14:paraId="411849FB" w14:textId="2E08C85D" w:rsidR="003D7D6F" w:rsidRPr="00BC72D9" w:rsidRDefault="003D7D6F" w:rsidP="003D7D6F">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CO</w:t>
            </w:r>
            <w:r w:rsidRPr="00BC72D9">
              <w:rPr>
                <w:sz w:val="20"/>
                <w:szCs w:val="20"/>
                <w:vertAlign w:val="subscript"/>
              </w:rPr>
              <w:t>2</w:t>
            </w:r>
          </w:p>
        </w:tc>
        <w:tc>
          <w:tcPr>
            <w:tcW w:w="1675" w:type="dxa"/>
            <w:vAlign w:val="center"/>
          </w:tcPr>
          <w:p w14:paraId="122EBB16" w14:textId="77777777" w:rsidR="003D7D6F" w:rsidRPr="00BC72D9" w:rsidRDefault="003D7D6F" w:rsidP="003D7D6F">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Check2"/>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5BDAF14E" w14:textId="25CBE8AA" w:rsidR="003D7D6F" w:rsidRPr="00BC72D9" w:rsidRDefault="003D7D6F" w:rsidP="003D7D6F">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6D187BDD" w14:textId="77777777" w:rsidR="003D7D6F" w:rsidRPr="00BC72D9" w:rsidRDefault="003D7D6F" w:rsidP="003D7D6F">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5F54BAAE" w14:textId="7CF2328B" w:rsidR="003D7D6F" w:rsidRPr="00BC72D9" w:rsidRDefault="008F75E2" w:rsidP="003D7D6F">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3D7D6F" w:rsidRPr="00BC72D9">
              <w:rPr>
                <w:rFonts w:eastAsia="Times New Roman"/>
                <w:szCs w:val="20"/>
                <w:lang w:eastAsia="de-DE"/>
              </w:rPr>
              <w:t xml:space="preserve"> Related to</w:t>
            </w:r>
          </w:p>
          <w:p w14:paraId="79683658" w14:textId="508A868B" w:rsidR="003D7D6F" w:rsidRPr="00BC72D9" w:rsidRDefault="003D7D6F" w:rsidP="003D7D6F">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2DF9B539" w14:textId="2B456722" w:rsidR="003D7D6F" w:rsidRPr="00BC72D9" w:rsidRDefault="003D7D6F" w:rsidP="003D7D6F">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&gt;&gt;Major source of emissions for some fuels</w:t>
            </w:r>
          </w:p>
        </w:tc>
      </w:tr>
      <w:tr w:rsidR="00794915" w:rsidRPr="00BC72D9" w14:paraId="6E8FBA6B" w14:textId="77777777" w:rsidTr="005A64ED">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196A2BD5" w14:textId="77777777" w:rsidR="00794915" w:rsidRPr="00BC72D9" w:rsidRDefault="00794915" w:rsidP="00794915">
            <w:pPr>
              <w:pStyle w:val="SDMPara"/>
              <w:numPr>
                <w:ilvl w:val="0"/>
                <w:numId w:val="0"/>
              </w:numPr>
              <w:spacing w:before="0"/>
              <w:jc w:val="center"/>
              <w:rPr>
                <w:sz w:val="20"/>
                <w:szCs w:val="20"/>
              </w:rPr>
            </w:pPr>
          </w:p>
        </w:tc>
        <w:tc>
          <w:tcPr>
            <w:tcW w:w="1580" w:type="dxa"/>
            <w:vMerge/>
            <w:vAlign w:val="center"/>
          </w:tcPr>
          <w:p w14:paraId="19204EF1" w14:textId="77777777" w:rsidR="00794915" w:rsidRPr="00BC72D9" w:rsidRDefault="00794915" w:rsidP="00794915">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07812EBF" w14:textId="21FB572D" w:rsidR="00794915" w:rsidRPr="00BC72D9" w:rsidRDefault="00794915" w:rsidP="00794915">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CH</w:t>
            </w:r>
            <w:r w:rsidRPr="00BC72D9">
              <w:rPr>
                <w:sz w:val="20"/>
                <w:szCs w:val="20"/>
                <w:vertAlign w:val="subscript"/>
              </w:rPr>
              <w:t>4</w:t>
            </w:r>
          </w:p>
        </w:tc>
        <w:tc>
          <w:tcPr>
            <w:tcW w:w="1675" w:type="dxa"/>
            <w:vAlign w:val="center"/>
          </w:tcPr>
          <w:p w14:paraId="1AA97D4A" w14:textId="77777777"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01EB1BE6" w14:textId="73385290"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6D585A76" w14:textId="77777777"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71934425" w14:textId="728A0A76" w:rsidR="00794915" w:rsidRPr="00BC72D9" w:rsidRDefault="008F75E2"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794915" w:rsidRPr="00BC72D9">
              <w:rPr>
                <w:rFonts w:eastAsia="Times New Roman"/>
                <w:szCs w:val="20"/>
                <w:lang w:eastAsia="de-DE"/>
              </w:rPr>
              <w:t xml:space="preserve"> Related to</w:t>
            </w:r>
          </w:p>
          <w:p w14:paraId="3399F71C" w14:textId="39AA3335"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34A9BBA0" w14:textId="20925D92" w:rsidR="00794915" w:rsidRPr="00BC72D9" w:rsidRDefault="00794915" w:rsidP="00794915">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&gt;&gt;Can be significant for some fuels</w:t>
            </w:r>
          </w:p>
        </w:tc>
      </w:tr>
      <w:tr w:rsidR="00794915" w:rsidRPr="00BC72D9" w14:paraId="666A636F" w14:textId="77777777" w:rsidTr="005A64ED">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1AEF9E26" w14:textId="77777777" w:rsidR="00794915" w:rsidRPr="00BC72D9" w:rsidRDefault="00794915" w:rsidP="00794915">
            <w:pPr>
              <w:pStyle w:val="SDMPara"/>
              <w:numPr>
                <w:ilvl w:val="0"/>
                <w:numId w:val="0"/>
              </w:numPr>
              <w:spacing w:before="0"/>
              <w:jc w:val="center"/>
              <w:rPr>
                <w:sz w:val="20"/>
                <w:szCs w:val="20"/>
              </w:rPr>
            </w:pPr>
          </w:p>
        </w:tc>
        <w:tc>
          <w:tcPr>
            <w:tcW w:w="1580" w:type="dxa"/>
            <w:vMerge/>
            <w:vAlign w:val="center"/>
          </w:tcPr>
          <w:p w14:paraId="7592D445" w14:textId="77777777" w:rsidR="00794915" w:rsidRPr="00BC72D9" w:rsidRDefault="00794915" w:rsidP="00794915">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1CE64B50" w14:textId="424C2673" w:rsidR="00794915" w:rsidRPr="00BC72D9" w:rsidRDefault="00794915" w:rsidP="00794915">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N</w:t>
            </w:r>
            <w:r w:rsidRPr="00BC72D9">
              <w:rPr>
                <w:sz w:val="20"/>
                <w:szCs w:val="20"/>
                <w:vertAlign w:val="subscript"/>
              </w:rPr>
              <w:t>2</w:t>
            </w:r>
            <w:r w:rsidRPr="00BC72D9">
              <w:rPr>
                <w:sz w:val="20"/>
                <w:szCs w:val="20"/>
              </w:rPr>
              <w:t>O</w:t>
            </w:r>
          </w:p>
        </w:tc>
        <w:tc>
          <w:tcPr>
            <w:tcW w:w="1675" w:type="dxa"/>
            <w:vAlign w:val="center"/>
          </w:tcPr>
          <w:p w14:paraId="52C45C3B" w14:textId="77777777"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49E3F349" w14:textId="52131388"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517B4428" w14:textId="77777777"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00F28C73" w14:textId="2A5E9EED" w:rsidR="00794915" w:rsidRPr="00BC72D9" w:rsidRDefault="008F75E2"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794915" w:rsidRPr="00BC72D9">
              <w:rPr>
                <w:rFonts w:eastAsia="Times New Roman"/>
                <w:szCs w:val="20"/>
                <w:lang w:eastAsia="de-DE"/>
              </w:rPr>
              <w:t xml:space="preserve"> Related to</w:t>
            </w:r>
          </w:p>
          <w:p w14:paraId="48F90C57" w14:textId="7402CA0D"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155B30C3" w14:textId="2A1C5D54" w:rsidR="00794915" w:rsidRPr="00BC72D9" w:rsidRDefault="00794915" w:rsidP="00794915">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&gt;&gt;Can be significant for some fuels</w:t>
            </w:r>
          </w:p>
        </w:tc>
      </w:tr>
      <w:tr w:rsidR="00794915" w:rsidRPr="00BC72D9" w14:paraId="0F77EAC0" w14:textId="77777777" w:rsidTr="005A64ED">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1A7574D0" w14:textId="77777777" w:rsidR="00794915" w:rsidRPr="00BC72D9" w:rsidRDefault="00794915" w:rsidP="00794915">
            <w:pPr>
              <w:pStyle w:val="SDMPara"/>
              <w:numPr>
                <w:ilvl w:val="0"/>
                <w:numId w:val="0"/>
              </w:numPr>
              <w:spacing w:before="0"/>
              <w:jc w:val="center"/>
              <w:rPr>
                <w:sz w:val="20"/>
                <w:szCs w:val="20"/>
              </w:rPr>
            </w:pPr>
          </w:p>
        </w:tc>
        <w:tc>
          <w:tcPr>
            <w:tcW w:w="1580" w:type="dxa"/>
            <w:vMerge/>
            <w:vAlign w:val="center"/>
          </w:tcPr>
          <w:p w14:paraId="270F2116" w14:textId="77777777" w:rsidR="00794915" w:rsidRPr="00BC72D9" w:rsidRDefault="00794915" w:rsidP="00794915">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0A751473" w14:textId="7E6BE017" w:rsidR="00794915" w:rsidRPr="00BC72D9" w:rsidRDefault="00794915" w:rsidP="00794915">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w:t>
            </w:r>
          </w:p>
        </w:tc>
        <w:tc>
          <w:tcPr>
            <w:tcW w:w="1675" w:type="dxa"/>
            <w:vAlign w:val="center"/>
          </w:tcPr>
          <w:p w14:paraId="40E128EA" w14:textId="77777777"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Included</w:t>
            </w:r>
          </w:p>
          <w:p w14:paraId="489E2FE2" w14:textId="18EB710D"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2A0E505B" w14:textId="77777777"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022D8D34" w14:textId="77777777"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Related to</w:t>
            </w:r>
          </w:p>
          <w:p w14:paraId="779FBC1A" w14:textId="288EA4B6" w:rsidR="00794915" w:rsidRPr="00BC72D9" w:rsidRDefault="00794915" w:rsidP="00794915">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46002AD4" w14:textId="1D3532F3" w:rsidR="00794915" w:rsidRPr="00BC72D9" w:rsidRDefault="00794915" w:rsidP="00794915">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w:t>
            </w:r>
          </w:p>
        </w:tc>
      </w:tr>
      <w:tr w:rsidR="00BE3A4A" w:rsidRPr="00BC72D9" w14:paraId="3232A221" w14:textId="77777777">
        <w:tc>
          <w:tcPr>
            <w:cnfStyle w:val="001000000000" w:firstRow="0" w:lastRow="0" w:firstColumn="1" w:lastColumn="0" w:oddVBand="0" w:evenVBand="0" w:oddHBand="0" w:evenHBand="0" w:firstRowFirstColumn="0" w:firstRowLastColumn="0" w:lastRowFirstColumn="0" w:lastRowLastColumn="0"/>
            <w:tcW w:w="636" w:type="dxa"/>
            <w:vMerge w:val="restart"/>
            <w:textDirection w:val="btLr"/>
            <w:vAlign w:val="center"/>
          </w:tcPr>
          <w:p w14:paraId="763749CE" w14:textId="107CC444" w:rsidR="00BC72D9" w:rsidRPr="00BC72D9" w:rsidRDefault="00BC72D9" w:rsidP="00B36921">
            <w:pPr>
              <w:pStyle w:val="SDMPara"/>
              <w:numPr>
                <w:ilvl w:val="0"/>
                <w:numId w:val="0"/>
              </w:numPr>
              <w:spacing w:before="0"/>
              <w:ind w:left="113" w:right="113"/>
              <w:jc w:val="center"/>
              <w:rPr>
                <w:sz w:val="20"/>
                <w:szCs w:val="20"/>
              </w:rPr>
            </w:pPr>
            <w:r w:rsidRPr="00BC72D9">
              <w:rPr>
                <w:sz w:val="20"/>
                <w:szCs w:val="20"/>
              </w:rPr>
              <w:lastRenderedPageBreak/>
              <w:t>ACTIVITY</w:t>
            </w:r>
          </w:p>
        </w:tc>
        <w:tc>
          <w:tcPr>
            <w:tcW w:w="1580" w:type="dxa"/>
            <w:vMerge w:val="restart"/>
          </w:tcPr>
          <w:p w14:paraId="0731C39E" w14:textId="77777777" w:rsidR="00F5006C" w:rsidRPr="00B33BB6" w:rsidRDefault="00F5006C" w:rsidP="00F5006C">
            <w:pPr>
              <w:spacing w:before="60" w:after="60"/>
              <w:cnfStyle w:val="000000000000" w:firstRow="0" w:lastRow="0" w:firstColumn="0" w:lastColumn="0" w:oddVBand="0" w:evenVBand="0" w:oddHBand="0" w:evenHBand="0" w:firstRowFirstColumn="0" w:firstRowLastColumn="0" w:lastRowFirstColumn="0" w:lastRowLastColumn="0"/>
              <w:rPr>
                <w:rFonts w:cs="Arial"/>
                <w:sz w:val="20"/>
              </w:rPr>
            </w:pPr>
            <w:r w:rsidRPr="00B33BB6">
              <w:rPr>
                <w:rFonts w:cs="Arial"/>
                <w:sz w:val="20"/>
              </w:rPr>
              <w:t xml:space="preserve">Thermal energy generation </w:t>
            </w:r>
          </w:p>
          <w:p w14:paraId="42175354" w14:textId="1B2A448A" w:rsidR="00BC72D9" w:rsidRPr="00BC72D9" w:rsidRDefault="00F5006C" w:rsidP="00BE3A4A">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r w:rsidRPr="00B33BB6">
              <w:rPr>
                <w:sz w:val="20"/>
                <w:szCs w:val="20"/>
              </w:rPr>
              <w:t>(burning of fuel)</w:t>
            </w:r>
          </w:p>
        </w:tc>
        <w:tc>
          <w:tcPr>
            <w:tcW w:w="781" w:type="dxa"/>
            <w:vAlign w:val="center"/>
          </w:tcPr>
          <w:p w14:paraId="13E4A226" w14:textId="45FA1F05" w:rsidR="00BC72D9" w:rsidRPr="00BC72D9" w:rsidRDefault="00BC72D9" w:rsidP="00BC72D9">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CO</w:t>
            </w:r>
            <w:r w:rsidRPr="00BC72D9">
              <w:rPr>
                <w:sz w:val="20"/>
                <w:szCs w:val="20"/>
                <w:vertAlign w:val="subscript"/>
              </w:rPr>
              <w:t>2</w:t>
            </w:r>
          </w:p>
        </w:tc>
        <w:tc>
          <w:tcPr>
            <w:tcW w:w="1675" w:type="dxa"/>
            <w:vAlign w:val="center"/>
          </w:tcPr>
          <w:p w14:paraId="2784D637" w14:textId="3950F64A" w:rsidR="00BC72D9" w:rsidRPr="00BC72D9" w:rsidRDefault="00F5006C"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452D3D1C" w14:textId="2E1AB5D4"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51BE422F" w14:textId="0B03A991" w:rsidR="00BC72D9" w:rsidRPr="00BC72D9" w:rsidRDefault="003B041A"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F5006C" w:rsidRPr="00BC72D9">
              <w:rPr>
                <w:rFonts w:eastAsia="Times New Roman"/>
                <w:szCs w:val="20"/>
                <w:lang w:eastAsia="de-DE"/>
              </w:rPr>
              <w:t xml:space="preserve"> Controlled</w:t>
            </w:r>
          </w:p>
          <w:p w14:paraId="0AFDD972" w14:textId="77777777"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Related to</w:t>
            </w:r>
          </w:p>
          <w:p w14:paraId="738E2293" w14:textId="478BB21F"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2ED16594" w14:textId="777948A4" w:rsidR="00BC72D9" w:rsidRPr="00BC72D9" w:rsidRDefault="00F5006C" w:rsidP="00BC72D9">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&gt;&gt;Major source of emissions</w:t>
            </w:r>
          </w:p>
        </w:tc>
      </w:tr>
      <w:tr w:rsidR="00BC72D9" w:rsidRPr="00BC72D9" w14:paraId="44389DDE" w14:textId="77777777">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3778EC15" w14:textId="77777777" w:rsidR="00BC72D9" w:rsidRPr="00BC72D9" w:rsidRDefault="00BC72D9" w:rsidP="00B36921">
            <w:pPr>
              <w:pStyle w:val="SDMPara"/>
              <w:numPr>
                <w:ilvl w:val="0"/>
                <w:numId w:val="0"/>
              </w:numPr>
              <w:spacing w:before="0"/>
              <w:jc w:val="center"/>
              <w:rPr>
                <w:sz w:val="20"/>
                <w:szCs w:val="20"/>
              </w:rPr>
            </w:pPr>
          </w:p>
        </w:tc>
        <w:tc>
          <w:tcPr>
            <w:tcW w:w="1580" w:type="dxa"/>
            <w:vMerge/>
          </w:tcPr>
          <w:p w14:paraId="3505AAD6" w14:textId="77777777" w:rsidR="00BC72D9" w:rsidRPr="00BC72D9" w:rsidRDefault="00BC72D9" w:rsidP="00BE3A4A">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357798FA" w14:textId="553D2295" w:rsidR="00BC72D9" w:rsidRPr="00BC72D9" w:rsidRDefault="00BC72D9" w:rsidP="00BC72D9">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CH</w:t>
            </w:r>
            <w:r w:rsidRPr="00BC72D9">
              <w:rPr>
                <w:sz w:val="20"/>
                <w:szCs w:val="20"/>
                <w:vertAlign w:val="subscript"/>
              </w:rPr>
              <w:t>4</w:t>
            </w:r>
          </w:p>
        </w:tc>
        <w:tc>
          <w:tcPr>
            <w:tcW w:w="1675" w:type="dxa"/>
            <w:vAlign w:val="center"/>
          </w:tcPr>
          <w:p w14:paraId="2564875F" w14:textId="1800FE6A" w:rsidR="00BC72D9" w:rsidRPr="00BC72D9" w:rsidRDefault="00F5006C"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4834825D" w14:textId="1CAA07CD"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41FA1778" w14:textId="5B9C6777" w:rsidR="00BC72D9" w:rsidRPr="00BC72D9" w:rsidRDefault="003B041A"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F5006C" w:rsidRPr="00BC72D9">
              <w:rPr>
                <w:rFonts w:eastAsia="Times New Roman"/>
                <w:szCs w:val="20"/>
                <w:lang w:eastAsia="de-DE"/>
              </w:rPr>
              <w:t xml:space="preserve"> Controlled</w:t>
            </w:r>
          </w:p>
          <w:p w14:paraId="326321D3" w14:textId="77777777"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Related to</w:t>
            </w:r>
          </w:p>
          <w:p w14:paraId="217A17EF" w14:textId="20155D38"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63F4DFBF" w14:textId="02E4AEAC" w:rsidR="00BC72D9" w:rsidRPr="00BC72D9" w:rsidRDefault="00F5006C" w:rsidP="00BC72D9">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&gt;&gt;Can be significant for some fuels</w:t>
            </w:r>
          </w:p>
        </w:tc>
      </w:tr>
      <w:tr w:rsidR="00BC72D9" w:rsidRPr="00BC72D9" w14:paraId="35A7AA13" w14:textId="77777777">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6E668EA2" w14:textId="77777777" w:rsidR="00BC72D9" w:rsidRPr="00BC72D9" w:rsidRDefault="00BC72D9" w:rsidP="00B36921">
            <w:pPr>
              <w:pStyle w:val="SDMPara"/>
              <w:numPr>
                <w:ilvl w:val="0"/>
                <w:numId w:val="0"/>
              </w:numPr>
              <w:spacing w:before="0"/>
              <w:jc w:val="center"/>
              <w:rPr>
                <w:sz w:val="20"/>
                <w:szCs w:val="20"/>
              </w:rPr>
            </w:pPr>
          </w:p>
        </w:tc>
        <w:tc>
          <w:tcPr>
            <w:tcW w:w="1580" w:type="dxa"/>
            <w:vMerge/>
          </w:tcPr>
          <w:p w14:paraId="6F7AE020" w14:textId="77777777" w:rsidR="00BC72D9" w:rsidRPr="00BC72D9" w:rsidRDefault="00BC72D9" w:rsidP="00BE3A4A">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57F50E74" w14:textId="6EA5DE58" w:rsidR="00BC72D9" w:rsidRPr="00BC72D9" w:rsidRDefault="00BC72D9" w:rsidP="00BC72D9">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N</w:t>
            </w:r>
            <w:r w:rsidRPr="00BC72D9">
              <w:rPr>
                <w:sz w:val="20"/>
                <w:szCs w:val="20"/>
                <w:vertAlign w:val="subscript"/>
              </w:rPr>
              <w:t>2</w:t>
            </w:r>
            <w:r w:rsidRPr="00BC72D9">
              <w:rPr>
                <w:sz w:val="20"/>
                <w:szCs w:val="20"/>
              </w:rPr>
              <w:t>O</w:t>
            </w:r>
          </w:p>
        </w:tc>
        <w:tc>
          <w:tcPr>
            <w:tcW w:w="1675" w:type="dxa"/>
            <w:vAlign w:val="center"/>
          </w:tcPr>
          <w:p w14:paraId="6C4FCE3A" w14:textId="79136731" w:rsidR="00BC72D9" w:rsidRPr="00BC72D9" w:rsidRDefault="00F5006C"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6F386875" w14:textId="4CA77570"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4F5138F5" w14:textId="1A3A1DAB" w:rsidR="00BC72D9" w:rsidRPr="00BC72D9" w:rsidRDefault="003B041A"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F5006C" w:rsidRPr="00BC72D9">
              <w:rPr>
                <w:rFonts w:eastAsia="Times New Roman"/>
                <w:szCs w:val="20"/>
                <w:lang w:eastAsia="de-DE"/>
              </w:rPr>
              <w:t xml:space="preserve"> Controlled</w:t>
            </w:r>
          </w:p>
          <w:p w14:paraId="7A02DEB9" w14:textId="77777777"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Related to</w:t>
            </w:r>
          </w:p>
          <w:p w14:paraId="620C350E" w14:textId="5B276999"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095C514D" w14:textId="1A0DAFF6" w:rsidR="00BC72D9" w:rsidRPr="00BC72D9" w:rsidRDefault="00F5006C" w:rsidP="00BC72D9">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&gt;&gt;Can be significant for some fuels</w:t>
            </w:r>
          </w:p>
        </w:tc>
      </w:tr>
      <w:tr w:rsidR="00BC72D9" w:rsidRPr="00BC72D9" w14:paraId="68F2B500" w14:textId="77777777">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69ED41A8" w14:textId="77777777" w:rsidR="00BC72D9" w:rsidRPr="00BC72D9" w:rsidRDefault="00BC72D9" w:rsidP="00B36921">
            <w:pPr>
              <w:pStyle w:val="SDMPara"/>
              <w:numPr>
                <w:ilvl w:val="0"/>
                <w:numId w:val="0"/>
              </w:numPr>
              <w:spacing w:before="0"/>
              <w:jc w:val="center"/>
              <w:rPr>
                <w:sz w:val="20"/>
                <w:szCs w:val="20"/>
              </w:rPr>
            </w:pPr>
          </w:p>
        </w:tc>
        <w:tc>
          <w:tcPr>
            <w:tcW w:w="1580" w:type="dxa"/>
            <w:vMerge/>
          </w:tcPr>
          <w:p w14:paraId="4DFCB028" w14:textId="77777777" w:rsidR="00BC72D9" w:rsidRPr="00BC72D9" w:rsidRDefault="00BC72D9" w:rsidP="00BE3A4A">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71FEDE79" w14:textId="120AFF4E" w:rsidR="00BC72D9" w:rsidRPr="00BC72D9" w:rsidRDefault="00BC72D9" w:rsidP="00BC72D9">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w:t>
            </w:r>
          </w:p>
        </w:tc>
        <w:tc>
          <w:tcPr>
            <w:tcW w:w="1675" w:type="dxa"/>
            <w:vAlign w:val="center"/>
          </w:tcPr>
          <w:p w14:paraId="4AF11C51" w14:textId="77777777"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Included</w:t>
            </w:r>
          </w:p>
          <w:p w14:paraId="59A9B008" w14:textId="1ED8261F"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653B2CCE" w14:textId="77777777"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2A32C7DC" w14:textId="77777777"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Related to</w:t>
            </w:r>
          </w:p>
          <w:p w14:paraId="5DD30848" w14:textId="792A0169" w:rsidR="00BC72D9" w:rsidRPr="00BC72D9" w:rsidRDefault="00BC72D9" w:rsidP="00BC72D9">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03F1A925" w14:textId="1A24420B" w:rsidR="00BC72D9" w:rsidRPr="00BC72D9" w:rsidRDefault="00F5006C" w:rsidP="00BC72D9">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w:t>
            </w:r>
          </w:p>
        </w:tc>
      </w:tr>
      <w:tr w:rsidR="00F5006C" w:rsidRPr="00BC72D9" w14:paraId="42EF80B6" w14:textId="77777777">
        <w:tc>
          <w:tcPr>
            <w:cnfStyle w:val="001000000000" w:firstRow="0" w:lastRow="0" w:firstColumn="1" w:lastColumn="0" w:oddVBand="0" w:evenVBand="0" w:oddHBand="0" w:evenHBand="0" w:firstRowFirstColumn="0" w:firstRowLastColumn="0" w:lastRowFirstColumn="0" w:lastRowLastColumn="0"/>
            <w:tcW w:w="636" w:type="dxa"/>
            <w:vMerge w:val="restart"/>
            <w:textDirection w:val="btLr"/>
            <w:vAlign w:val="center"/>
          </w:tcPr>
          <w:p w14:paraId="5D327158" w14:textId="7C1BD8FB" w:rsidR="00F5006C" w:rsidRPr="00BC72D9" w:rsidRDefault="00F5006C" w:rsidP="00F5006C">
            <w:pPr>
              <w:pStyle w:val="SDMPara"/>
              <w:numPr>
                <w:ilvl w:val="0"/>
                <w:numId w:val="0"/>
              </w:numPr>
              <w:spacing w:before="0"/>
              <w:ind w:left="113" w:right="113"/>
              <w:jc w:val="center"/>
              <w:rPr>
                <w:sz w:val="20"/>
                <w:szCs w:val="20"/>
              </w:rPr>
            </w:pPr>
            <w:r w:rsidRPr="00BC72D9">
              <w:rPr>
                <w:sz w:val="20"/>
                <w:szCs w:val="20"/>
              </w:rPr>
              <w:t>ACTIVITY</w:t>
            </w:r>
          </w:p>
        </w:tc>
        <w:tc>
          <w:tcPr>
            <w:tcW w:w="1580" w:type="dxa"/>
            <w:vMerge w:val="restart"/>
          </w:tcPr>
          <w:p w14:paraId="73331FB9" w14:textId="3F942831" w:rsidR="00F5006C" w:rsidRPr="00BC72D9" w:rsidRDefault="00F5006C" w:rsidP="00F5006C">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r w:rsidRPr="00B33BB6">
              <w:rPr>
                <w:sz w:val="20"/>
                <w:szCs w:val="20"/>
              </w:rPr>
              <w:t>Fuel production and transport</w:t>
            </w:r>
          </w:p>
        </w:tc>
        <w:tc>
          <w:tcPr>
            <w:tcW w:w="781" w:type="dxa"/>
            <w:vAlign w:val="center"/>
          </w:tcPr>
          <w:p w14:paraId="0B54E57C" w14:textId="468337F9" w:rsidR="00F5006C" w:rsidRPr="00BC72D9" w:rsidRDefault="00F5006C" w:rsidP="00F5006C">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CO</w:t>
            </w:r>
            <w:r w:rsidRPr="00BC72D9">
              <w:rPr>
                <w:sz w:val="20"/>
                <w:szCs w:val="20"/>
                <w:vertAlign w:val="subscript"/>
              </w:rPr>
              <w:t>2</w:t>
            </w:r>
          </w:p>
        </w:tc>
        <w:tc>
          <w:tcPr>
            <w:tcW w:w="1675" w:type="dxa"/>
            <w:vAlign w:val="center"/>
          </w:tcPr>
          <w:p w14:paraId="2CC7C5EA" w14:textId="77777777" w:rsidR="00F5006C" w:rsidRPr="00BC72D9" w:rsidRDefault="00F5006C" w:rsidP="00F5006C">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52F48177" w14:textId="07007170" w:rsidR="00F5006C" w:rsidRPr="00BC72D9" w:rsidRDefault="00F5006C" w:rsidP="00F5006C">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37EAD6FE" w14:textId="77777777" w:rsidR="00F5006C" w:rsidRPr="00BC72D9" w:rsidRDefault="00F5006C" w:rsidP="00F5006C">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4746A377" w14:textId="4290F001" w:rsidR="00F5006C" w:rsidRPr="00BC72D9" w:rsidRDefault="003B041A" w:rsidP="00F5006C">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F5006C" w:rsidRPr="00BC72D9">
              <w:rPr>
                <w:rFonts w:eastAsia="Times New Roman"/>
                <w:szCs w:val="20"/>
                <w:lang w:eastAsia="de-DE"/>
              </w:rPr>
              <w:t xml:space="preserve"> Related to</w:t>
            </w:r>
          </w:p>
          <w:p w14:paraId="09178DA6" w14:textId="7BF9FA39" w:rsidR="00F5006C" w:rsidRPr="00BC72D9" w:rsidRDefault="00F5006C" w:rsidP="00F5006C">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67A1BD7E" w14:textId="7C066A06" w:rsidR="00F5006C" w:rsidRPr="00BC72D9" w:rsidRDefault="00F5006C" w:rsidP="00F5006C">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&gt;&gt;Major source of emissions for some fuels</w:t>
            </w:r>
          </w:p>
        </w:tc>
      </w:tr>
      <w:tr w:rsidR="00E95201" w:rsidRPr="00BC72D9" w14:paraId="1F162F73" w14:textId="77777777" w:rsidTr="005A64ED">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79299C35" w14:textId="77777777" w:rsidR="00E95201" w:rsidRPr="00BC72D9" w:rsidRDefault="00E95201" w:rsidP="00E95201">
            <w:pPr>
              <w:pStyle w:val="SDMPara"/>
              <w:numPr>
                <w:ilvl w:val="0"/>
                <w:numId w:val="0"/>
              </w:numPr>
              <w:spacing w:before="0"/>
              <w:jc w:val="center"/>
              <w:rPr>
                <w:sz w:val="20"/>
                <w:szCs w:val="20"/>
              </w:rPr>
            </w:pPr>
          </w:p>
        </w:tc>
        <w:tc>
          <w:tcPr>
            <w:tcW w:w="1580" w:type="dxa"/>
            <w:vMerge/>
            <w:vAlign w:val="center"/>
          </w:tcPr>
          <w:p w14:paraId="4C5A9224" w14:textId="77777777" w:rsidR="00E95201" w:rsidRPr="00BC72D9" w:rsidRDefault="00E95201" w:rsidP="00E95201">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49A556B4" w14:textId="330730C3" w:rsidR="00E95201" w:rsidRPr="00BC72D9" w:rsidRDefault="00E95201" w:rsidP="00E95201">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CH</w:t>
            </w:r>
            <w:r w:rsidRPr="00BC72D9">
              <w:rPr>
                <w:sz w:val="20"/>
                <w:szCs w:val="20"/>
                <w:vertAlign w:val="subscript"/>
              </w:rPr>
              <w:t>4</w:t>
            </w:r>
          </w:p>
        </w:tc>
        <w:tc>
          <w:tcPr>
            <w:tcW w:w="1675" w:type="dxa"/>
            <w:vAlign w:val="center"/>
          </w:tcPr>
          <w:p w14:paraId="370C777B" w14:textId="77777777"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66FC193F" w14:textId="74508073"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40014F6C" w14:textId="77777777"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0D50BFAC" w14:textId="4D5429C2" w:rsidR="00E95201" w:rsidRPr="00BC72D9" w:rsidRDefault="003B041A"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E95201" w:rsidRPr="00BC72D9">
              <w:rPr>
                <w:rFonts w:eastAsia="Times New Roman"/>
                <w:szCs w:val="20"/>
                <w:lang w:eastAsia="de-DE"/>
              </w:rPr>
              <w:t xml:space="preserve"> Related to</w:t>
            </w:r>
          </w:p>
          <w:p w14:paraId="70616844" w14:textId="6DD5F05D"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63E9E57F" w14:textId="1D1E53B4" w:rsidR="00E95201" w:rsidRPr="00BC72D9" w:rsidRDefault="00E95201" w:rsidP="00E95201">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&gt;&gt;Can be significant for some fuels</w:t>
            </w:r>
          </w:p>
        </w:tc>
      </w:tr>
      <w:tr w:rsidR="00E95201" w:rsidRPr="00BC72D9" w14:paraId="1725FA96" w14:textId="77777777" w:rsidTr="005A64ED">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31272159" w14:textId="77777777" w:rsidR="00E95201" w:rsidRPr="00BC72D9" w:rsidRDefault="00E95201" w:rsidP="00E95201">
            <w:pPr>
              <w:pStyle w:val="SDMPara"/>
              <w:numPr>
                <w:ilvl w:val="0"/>
                <w:numId w:val="0"/>
              </w:numPr>
              <w:spacing w:before="0"/>
              <w:jc w:val="center"/>
              <w:rPr>
                <w:sz w:val="20"/>
                <w:szCs w:val="20"/>
              </w:rPr>
            </w:pPr>
          </w:p>
        </w:tc>
        <w:tc>
          <w:tcPr>
            <w:tcW w:w="1580" w:type="dxa"/>
            <w:vMerge/>
            <w:vAlign w:val="center"/>
          </w:tcPr>
          <w:p w14:paraId="4537339D" w14:textId="77777777" w:rsidR="00E95201" w:rsidRPr="00BC72D9" w:rsidRDefault="00E95201" w:rsidP="00E95201">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71C3F788" w14:textId="35E6727F" w:rsidR="00E95201" w:rsidRPr="00BC72D9" w:rsidRDefault="00E95201" w:rsidP="00E95201">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N</w:t>
            </w:r>
            <w:r w:rsidRPr="00BC72D9">
              <w:rPr>
                <w:sz w:val="20"/>
                <w:szCs w:val="20"/>
                <w:vertAlign w:val="subscript"/>
              </w:rPr>
              <w:t>2</w:t>
            </w:r>
            <w:r w:rsidRPr="00BC72D9">
              <w:rPr>
                <w:sz w:val="20"/>
                <w:szCs w:val="20"/>
              </w:rPr>
              <w:t>O</w:t>
            </w:r>
          </w:p>
        </w:tc>
        <w:tc>
          <w:tcPr>
            <w:tcW w:w="1675" w:type="dxa"/>
            <w:vAlign w:val="center"/>
          </w:tcPr>
          <w:p w14:paraId="4F5CA2A7" w14:textId="77777777"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05FC1306" w14:textId="2FD8C9A5"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4373198B" w14:textId="77777777"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31A7C9C8" w14:textId="30D2D7B0" w:rsidR="00E95201" w:rsidRPr="00BC72D9" w:rsidRDefault="003B041A"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E95201" w:rsidRPr="00BC72D9">
              <w:rPr>
                <w:rFonts w:eastAsia="Times New Roman"/>
                <w:szCs w:val="20"/>
                <w:lang w:eastAsia="de-DE"/>
              </w:rPr>
              <w:t xml:space="preserve"> Related to</w:t>
            </w:r>
          </w:p>
          <w:p w14:paraId="32726EF9" w14:textId="0CF4C0CC"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6B181D39" w14:textId="2F7DED0B" w:rsidR="00E95201" w:rsidRPr="00BC72D9" w:rsidRDefault="00E95201" w:rsidP="00E95201">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&gt;&gt;Can be significant for some fuels</w:t>
            </w:r>
          </w:p>
        </w:tc>
      </w:tr>
      <w:tr w:rsidR="00E95201" w:rsidRPr="00BC72D9" w14:paraId="17A9E0C3" w14:textId="77777777" w:rsidTr="005A64ED">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270B0F1B" w14:textId="77777777" w:rsidR="00E95201" w:rsidRPr="00BC72D9" w:rsidRDefault="00E95201" w:rsidP="00E95201">
            <w:pPr>
              <w:pStyle w:val="SDMPara"/>
              <w:numPr>
                <w:ilvl w:val="0"/>
                <w:numId w:val="0"/>
              </w:numPr>
              <w:spacing w:before="0"/>
              <w:jc w:val="center"/>
              <w:rPr>
                <w:sz w:val="20"/>
                <w:szCs w:val="20"/>
              </w:rPr>
            </w:pPr>
          </w:p>
        </w:tc>
        <w:tc>
          <w:tcPr>
            <w:tcW w:w="1580" w:type="dxa"/>
            <w:vMerge/>
            <w:vAlign w:val="center"/>
          </w:tcPr>
          <w:p w14:paraId="6E4F44A4" w14:textId="77777777" w:rsidR="00E95201" w:rsidRPr="00BC72D9" w:rsidRDefault="00E95201" w:rsidP="00E95201">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72092C81" w14:textId="64C33AD1" w:rsidR="00E95201" w:rsidRPr="00BC72D9" w:rsidRDefault="00E95201" w:rsidP="00E95201">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w:t>
            </w:r>
          </w:p>
        </w:tc>
        <w:tc>
          <w:tcPr>
            <w:tcW w:w="1675" w:type="dxa"/>
            <w:vAlign w:val="center"/>
          </w:tcPr>
          <w:p w14:paraId="2ABC84C7" w14:textId="77777777"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Included</w:t>
            </w:r>
          </w:p>
          <w:p w14:paraId="64FD447A" w14:textId="1D3E84DC"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2494FBFF" w14:textId="77777777"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02942DB9" w14:textId="77777777"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Related to</w:t>
            </w:r>
          </w:p>
          <w:p w14:paraId="6338E0A6" w14:textId="09AABBA5" w:rsidR="00E95201" w:rsidRPr="00BC72D9" w:rsidRDefault="00E95201" w:rsidP="00E95201">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180F2277" w14:textId="0CFB91DF" w:rsidR="00E95201" w:rsidRPr="00BC72D9" w:rsidRDefault="00E95201" w:rsidP="00E95201">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w:t>
            </w:r>
          </w:p>
        </w:tc>
      </w:tr>
      <w:tr w:rsidR="00FA2130" w:rsidRPr="00BC72D9" w14:paraId="4A0227FC" w14:textId="77777777">
        <w:tc>
          <w:tcPr>
            <w:cnfStyle w:val="001000000000" w:firstRow="0" w:lastRow="0" w:firstColumn="1" w:lastColumn="0" w:oddVBand="0" w:evenVBand="0" w:oddHBand="0" w:evenHBand="0" w:firstRowFirstColumn="0" w:firstRowLastColumn="0" w:lastRowFirstColumn="0" w:lastRowLastColumn="0"/>
            <w:tcW w:w="636" w:type="dxa"/>
            <w:vMerge w:val="restart"/>
            <w:textDirection w:val="btLr"/>
            <w:vAlign w:val="center"/>
          </w:tcPr>
          <w:p w14:paraId="2D6FB1E6" w14:textId="256F22FB" w:rsidR="00FA2130" w:rsidRPr="00BC72D9" w:rsidRDefault="00FA2130" w:rsidP="00FA2130">
            <w:pPr>
              <w:pStyle w:val="SDMPara"/>
              <w:numPr>
                <w:ilvl w:val="0"/>
                <w:numId w:val="0"/>
              </w:numPr>
              <w:spacing w:before="0"/>
              <w:ind w:left="113" w:right="113"/>
              <w:jc w:val="center"/>
              <w:rPr>
                <w:sz w:val="20"/>
                <w:szCs w:val="20"/>
              </w:rPr>
            </w:pPr>
            <w:r w:rsidRPr="00BC72D9">
              <w:rPr>
                <w:sz w:val="20"/>
                <w:szCs w:val="20"/>
              </w:rPr>
              <w:t>ACTIVITY</w:t>
            </w:r>
          </w:p>
        </w:tc>
        <w:tc>
          <w:tcPr>
            <w:tcW w:w="1580" w:type="dxa"/>
            <w:vMerge w:val="restart"/>
          </w:tcPr>
          <w:p w14:paraId="31089075" w14:textId="287B4EE0" w:rsidR="00FA2130" w:rsidRPr="00BC72D9" w:rsidRDefault="00FA2130" w:rsidP="00FA2130">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r w:rsidRPr="00B33BB6">
              <w:rPr>
                <w:sz w:val="20"/>
                <w:szCs w:val="20"/>
              </w:rPr>
              <w:t>Electricity generation, T&amp;D</w:t>
            </w:r>
          </w:p>
        </w:tc>
        <w:tc>
          <w:tcPr>
            <w:tcW w:w="781" w:type="dxa"/>
            <w:vAlign w:val="center"/>
          </w:tcPr>
          <w:p w14:paraId="309AB26B" w14:textId="34EACB28" w:rsidR="00FA2130" w:rsidRPr="00BC72D9" w:rsidRDefault="00FA2130" w:rsidP="00FA213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CO</w:t>
            </w:r>
            <w:r w:rsidRPr="00BC72D9">
              <w:rPr>
                <w:sz w:val="20"/>
                <w:szCs w:val="20"/>
                <w:vertAlign w:val="subscript"/>
              </w:rPr>
              <w:t>2</w:t>
            </w:r>
          </w:p>
        </w:tc>
        <w:tc>
          <w:tcPr>
            <w:tcW w:w="1675" w:type="dxa"/>
            <w:vAlign w:val="center"/>
          </w:tcPr>
          <w:p w14:paraId="2E80865D" w14:textId="77777777"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39BB8B83" w14:textId="13AF720C"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3081DAA1" w14:textId="77777777"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00AD17CD" w14:textId="23A9371B" w:rsidR="00FA2130" w:rsidRPr="00BC72D9" w:rsidRDefault="003B041A"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FA2130" w:rsidRPr="00BC72D9">
              <w:rPr>
                <w:rFonts w:eastAsia="Times New Roman"/>
                <w:szCs w:val="20"/>
                <w:lang w:eastAsia="de-DE"/>
              </w:rPr>
              <w:t xml:space="preserve"> Related to</w:t>
            </w:r>
          </w:p>
          <w:p w14:paraId="6AE3F5DB" w14:textId="0B76C7A0"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465BC786" w14:textId="2A17C771" w:rsidR="00FA2130" w:rsidRPr="00BC72D9" w:rsidRDefault="00FA2130" w:rsidP="00FA213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&gt;&gt;Major source of emissions</w:t>
            </w:r>
          </w:p>
        </w:tc>
      </w:tr>
      <w:tr w:rsidR="00FA2130" w:rsidRPr="00BC72D9" w14:paraId="0F0AE050" w14:textId="77777777" w:rsidTr="005A64ED">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4FC4D340" w14:textId="77777777" w:rsidR="00FA2130" w:rsidRPr="00BC72D9" w:rsidRDefault="00FA2130" w:rsidP="00FA2130">
            <w:pPr>
              <w:pStyle w:val="SDMPara"/>
              <w:numPr>
                <w:ilvl w:val="0"/>
                <w:numId w:val="0"/>
              </w:numPr>
              <w:spacing w:before="0"/>
              <w:jc w:val="center"/>
              <w:rPr>
                <w:sz w:val="20"/>
                <w:szCs w:val="20"/>
              </w:rPr>
            </w:pPr>
          </w:p>
        </w:tc>
        <w:tc>
          <w:tcPr>
            <w:tcW w:w="1580" w:type="dxa"/>
            <w:vMerge/>
            <w:vAlign w:val="center"/>
          </w:tcPr>
          <w:p w14:paraId="4CE91CE2" w14:textId="77777777" w:rsidR="00FA2130" w:rsidRPr="00BC72D9" w:rsidRDefault="00FA2130" w:rsidP="00FA2130">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2605F3C1" w14:textId="4CB6E06E" w:rsidR="00FA2130" w:rsidRPr="00BC72D9" w:rsidRDefault="00FA2130" w:rsidP="00FA213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CH</w:t>
            </w:r>
            <w:r w:rsidRPr="00BC72D9">
              <w:rPr>
                <w:sz w:val="20"/>
                <w:szCs w:val="20"/>
                <w:vertAlign w:val="subscript"/>
              </w:rPr>
              <w:t>4</w:t>
            </w:r>
          </w:p>
        </w:tc>
        <w:tc>
          <w:tcPr>
            <w:tcW w:w="1675" w:type="dxa"/>
            <w:vAlign w:val="center"/>
          </w:tcPr>
          <w:p w14:paraId="1ECCC8A6" w14:textId="77777777"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4D64EAEF" w14:textId="313A3AA8"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66D508C9" w14:textId="77777777"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15BEED30" w14:textId="078D4882" w:rsidR="00FA2130" w:rsidRPr="00BC72D9" w:rsidRDefault="003B041A"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FA2130" w:rsidRPr="00BC72D9">
              <w:rPr>
                <w:rFonts w:eastAsia="Times New Roman"/>
                <w:szCs w:val="20"/>
                <w:lang w:eastAsia="de-DE"/>
              </w:rPr>
              <w:t xml:space="preserve"> Related to</w:t>
            </w:r>
          </w:p>
          <w:p w14:paraId="3395B907" w14:textId="589E045B"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11E81218" w14:textId="6D4B1310" w:rsidR="00FA2130" w:rsidRPr="00BC72D9" w:rsidRDefault="00FA2130" w:rsidP="00FA213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&gt;&gt;Can be significant for some fuels</w:t>
            </w:r>
          </w:p>
        </w:tc>
      </w:tr>
      <w:tr w:rsidR="00FA2130" w:rsidRPr="00BC72D9" w14:paraId="1E315E21" w14:textId="77777777" w:rsidTr="005A64ED">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2F4C1C61" w14:textId="77777777" w:rsidR="00FA2130" w:rsidRPr="00BC72D9" w:rsidRDefault="00FA2130" w:rsidP="00FA2130">
            <w:pPr>
              <w:pStyle w:val="SDMPara"/>
              <w:numPr>
                <w:ilvl w:val="0"/>
                <w:numId w:val="0"/>
              </w:numPr>
              <w:spacing w:before="0"/>
              <w:jc w:val="center"/>
              <w:rPr>
                <w:sz w:val="20"/>
                <w:szCs w:val="20"/>
              </w:rPr>
            </w:pPr>
          </w:p>
        </w:tc>
        <w:tc>
          <w:tcPr>
            <w:tcW w:w="1580" w:type="dxa"/>
            <w:vMerge/>
            <w:vAlign w:val="center"/>
          </w:tcPr>
          <w:p w14:paraId="15E97B60" w14:textId="77777777" w:rsidR="00FA2130" w:rsidRPr="00BC72D9" w:rsidRDefault="00FA2130" w:rsidP="00FA2130">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392EC5F3" w14:textId="21E91B45" w:rsidR="00FA2130" w:rsidRPr="00BC72D9" w:rsidRDefault="00FA2130" w:rsidP="00FA213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N</w:t>
            </w:r>
            <w:r w:rsidRPr="00BC72D9">
              <w:rPr>
                <w:sz w:val="20"/>
                <w:szCs w:val="20"/>
                <w:vertAlign w:val="subscript"/>
              </w:rPr>
              <w:t>2</w:t>
            </w:r>
            <w:r w:rsidRPr="00BC72D9">
              <w:rPr>
                <w:sz w:val="20"/>
                <w:szCs w:val="20"/>
              </w:rPr>
              <w:t>O</w:t>
            </w:r>
          </w:p>
        </w:tc>
        <w:tc>
          <w:tcPr>
            <w:tcW w:w="1675" w:type="dxa"/>
            <w:vAlign w:val="center"/>
          </w:tcPr>
          <w:p w14:paraId="06C7F08D" w14:textId="77777777"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Pr="00BC72D9">
              <w:rPr>
                <w:rFonts w:eastAsia="Times New Roman"/>
                <w:szCs w:val="20"/>
                <w:lang w:eastAsia="de-DE"/>
              </w:rPr>
              <w:t xml:space="preserve"> Included</w:t>
            </w:r>
          </w:p>
          <w:p w14:paraId="526CDE55" w14:textId="3F63F377"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411A008F" w14:textId="77777777"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1D943E33" w14:textId="5223453E" w:rsidR="00FA2130" w:rsidRPr="00BC72D9" w:rsidRDefault="003B041A"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Pr>
                <w:rFonts w:eastAsia="Times New Roman"/>
                <w:szCs w:val="20"/>
                <w:lang w:eastAsia="de-DE"/>
              </w:rPr>
              <w:fldChar w:fldCharType="begin">
                <w:ffData>
                  <w:name w:val=""/>
                  <w:enabled/>
                  <w:calcOnExit w:val="0"/>
                  <w:checkBox>
                    <w:size w:val="20"/>
                    <w:default w:val="1"/>
                  </w:checkBox>
                </w:ffData>
              </w:fldChar>
            </w:r>
            <w:r>
              <w:rPr>
                <w:rFonts w:eastAsia="Times New Roman"/>
                <w:szCs w:val="20"/>
                <w:lang w:eastAsia="de-DE"/>
              </w:rPr>
              <w:instrText xml:space="preserve"> FORMCHECKBOX </w:instrText>
            </w:r>
            <w:r>
              <w:rPr>
                <w:rFonts w:eastAsia="Times New Roman"/>
                <w:szCs w:val="20"/>
                <w:lang w:eastAsia="de-DE"/>
              </w:rPr>
            </w:r>
            <w:r>
              <w:rPr>
                <w:rFonts w:eastAsia="Times New Roman"/>
                <w:szCs w:val="20"/>
                <w:lang w:eastAsia="de-DE"/>
              </w:rPr>
              <w:fldChar w:fldCharType="separate"/>
            </w:r>
            <w:r>
              <w:rPr>
                <w:rFonts w:eastAsia="Times New Roman"/>
                <w:szCs w:val="20"/>
                <w:lang w:eastAsia="de-DE"/>
              </w:rPr>
              <w:fldChar w:fldCharType="end"/>
            </w:r>
            <w:r w:rsidR="00FA2130" w:rsidRPr="00BC72D9">
              <w:rPr>
                <w:rFonts w:eastAsia="Times New Roman"/>
                <w:szCs w:val="20"/>
                <w:lang w:eastAsia="de-DE"/>
              </w:rPr>
              <w:t xml:space="preserve"> Related to</w:t>
            </w:r>
          </w:p>
          <w:p w14:paraId="359A41AA" w14:textId="5B22F29B"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79D5E7FA" w14:textId="742744EB" w:rsidR="00FA2130" w:rsidRPr="00BC72D9" w:rsidRDefault="00FA2130" w:rsidP="00FA213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&gt;&gt;Can be significant for some fuels</w:t>
            </w:r>
          </w:p>
        </w:tc>
      </w:tr>
      <w:tr w:rsidR="00FA2130" w:rsidRPr="00BC72D9" w14:paraId="4622B20D" w14:textId="77777777" w:rsidTr="005A64ED">
        <w:tc>
          <w:tcPr>
            <w:cnfStyle w:val="001000000000" w:firstRow="0" w:lastRow="0" w:firstColumn="1" w:lastColumn="0" w:oddVBand="0" w:evenVBand="0" w:oddHBand="0" w:evenHBand="0" w:firstRowFirstColumn="0" w:firstRowLastColumn="0" w:lastRowFirstColumn="0" w:lastRowLastColumn="0"/>
            <w:tcW w:w="636" w:type="dxa"/>
            <w:vMerge/>
            <w:vAlign w:val="center"/>
          </w:tcPr>
          <w:p w14:paraId="66F4D8A6" w14:textId="77777777" w:rsidR="00FA2130" w:rsidRPr="00BC72D9" w:rsidRDefault="00FA2130" w:rsidP="00FA2130">
            <w:pPr>
              <w:pStyle w:val="SDMPara"/>
              <w:numPr>
                <w:ilvl w:val="0"/>
                <w:numId w:val="0"/>
              </w:numPr>
              <w:spacing w:before="0"/>
              <w:jc w:val="center"/>
              <w:rPr>
                <w:sz w:val="20"/>
                <w:szCs w:val="20"/>
              </w:rPr>
            </w:pPr>
          </w:p>
        </w:tc>
        <w:tc>
          <w:tcPr>
            <w:tcW w:w="1580" w:type="dxa"/>
            <w:vMerge/>
            <w:vAlign w:val="center"/>
          </w:tcPr>
          <w:p w14:paraId="5A284F24" w14:textId="77777777" w:rsidR="00FA2130" w:rsidRPr="00BC72D9" w:rsidRDefault="00FA2130" w:rsidP="00FA2130">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5770F510" w14:textId="787FF671" w:rsidR="00FA2130" w:rsidRPr="00BC72D9" w:rsidRDefault="00FA2130" w:rsidP="00FA213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C72D9">
              <w:rPr>
                <w:sz w:val="20"/>
                <w:szCs w:val="20"/>
              </w:rPr>
              <w:t>-----</w:t>
            </w:r>
          </w:p>
        </w:tc>
        <w:tc>
          <w:tcPr>
            <w:tcW w:w="1675" w:type="dxa"/>
            <w:vAlign w:val="center"/>
          </w:tcPr>
          <w:p w14:paraId="601E4190" w14:textId="77777777"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Included</w:t>
            </w:r>
          </w:p>
          <w:p w14:paraId="2376509D" w14:textId="03C61C8A"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Not included</w:t>
            </w:r>
          </w:p>
        </w:tc>
        <w:tc>
          <w:tcPr>
            <w:tcW w:w="1638" w:type="dxa"/>
            <w:vAlign w:val="center"/>
          </w:tcPr>
          <w:p w14:paraId="66C21A78" w14:textId="77777777"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Controlled</w:t>
            </w:r>
          </w:p>
          <w:p w14:paraId="3F7E5897" w14:textId="77777777"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rFonts w:eastAsia="Times New Roman"/>
                <w:szCs w:val="20"/>
                <w:lang w:eastAsia="de-DE"/>
              </w:rPr>
              <w:fldChar w:fldCharType="begin">
                <w:ffData>
                  <w:name w:val="Check2"/>
                  <w:enabled/>
                  <w:calcOnExit w:val="0"/>
                  <w:checkBox>
                    <w:size w:val="20"/>
                    <w:default w:val="0"/>
                  </w:checkBox>
                </w:ffData>
              </w:fldChar>
            </w:r>
            <w:r w:rsidRPr="00BC72D9">
              <w:rPr>
                <w:rFonts w:eastAsia="Times New Roman"/>
                <w:szCs w:val="20"/>
                <w:lang w:eastAsia="de-DE"/>
              </w:rPr>
              <w:instrText xml:space="preserve"> FORMCHECKBOX </w:instrText>
            </w:r>
            <w:r w:rsidRPr="00BC72D9">
              <w:rPr>
                <w:rFonts w:eastAsia="Times New Roman"/>
                <w:szCs w:val="20"/>
                <w:lang w:eastAsia="de-DE"/>
              </w:rPr>
            </w:r>
            <w:r w:rsidRPr="00BC72D9">
              <w:rPr>
                <w:rFonts w:eastAsia="Times New Roman"/>
                <w:szCs w:val="20"/>
                <w:lang w:eastAsia="de-DE"/>
              </w:rPr>
              <w:fldChar w:fldCharType="separate"/>
            </w:r>
            <w:r w:rsidRPr="00BC72D9">
              <w:rPr>
                <w:rFonts w:eastAsia="Times New Roman"/>
                <w:szCs w:val="20"/>
                <w:lang w:eastAsia="de-DE"/>
              </w:rPr>
              <w:fldChar w:fldCharType="end"/>
            </w:r>
            <w:r w:rsidRPr="00BC72D9">
              <w:rPr>
                <w:rFonts w:eastAsia="Times New Roman"/>
                <w:szCs w:val="20"/>
                <w:lang w:eastAsia="de-DE"/>
              </w:rPr>
              <w:t xml:space="preserve"> Related to</w:t>
            </w:r>
          </w:p>
          <w:p w14:paraId="0CFF5CCC" w14:textId="6D198161" w:rsidR="00FA2130" w:rsidRPr="00BC72D9" w:rsidRDefault="00FA2130" w:rsidP="00FA213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BC72D9">
              <w:rPr>
                <w:szCs w:val="20"/>
              </w:rPr>
              <w:fldChar w:fldCharType="begin">
                <w:ffData>
                  <w:name w:val="Check2"/>
                  <w:enabled/>
                  <w:calcOnExit w:val="0"/>
                  <w:checkBox>
                    <w:size w:val="20"/>
                    <w:default w:val="0"/>
                  </w:checkBox>
                </w:ffData>
              </w:fldChar>
            </w:r>
            <w:r w:rsidRPr="00BC72D9">
              <w:rPr>
                <w:szCs w:val="20"/>
              </w:rPr>
              <w:instrText xml:space="preserve"> FORMCHECKBOX </w:instrText>
            </w:r>
            <w:r w:rsidRPr="00BC72D9">
              <w:rPr>
                <w:szCs w:val="20"/>
              </w:rPr>
            </w:r>
            <w:r w:rsidRPr="00BC72D9">
              <w:rPr>
                <w:szCs w:val="20"/>
              </w:rPr>
              <w:fldChar w:fldCharType="separate"/>
            </w:r>
            <w:r w:rsidRPr="00BC72D9">
              <w:rPr>
                <w:szCs w:val="20"/>
              </w:rPr>
              <w:fldChar w:fldCharType="end"/>
            </w:r>
            <w:r w:rsidRPr="00BC72D9">
              <w:rPr>
                <w:szCs w:val="20"/>
              </w:rPr>
              <w:t xml:space="preserve"> Affected by</w:t>
            </w:r>
          </w:p>
        </w:tc>
        <w:tc>
          <w:tcPr>
            <w:tcW w:w="2933" w:type="dxa"/>
          </w:tcPr>
          <w:p w14:paraId="3B97B5B5" w14:textId="218BF22B" w:rsidR="00FA2130" w:rsidRPr="00BC72D9" w:rsidRDefault="00FA2130" w:rsidP="00FA213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B33BB6">
              <w:rPr>
                <w:rFonts w:eastAsia="Arial"/>
                <w:sz w:val="20"/>
                <w:szCs w:val="20"/>
              </w:rPr>
              <w:t>&gt;&gt;-----</w:t>
            </w:r>
          </w:p>
        </w:tc>
      </w:tr>
      <w:tr w:rsidR="000C72D0" w:rsidRPr="00BC72D9" w14:paraId="69E652C1" w14:textId="77777777" w:rsidTr="005A64ED">
        <w:tc>
          <w:tcPr>
            <w:cnfStyle w:val="001000000000" w:firstRow="0" w:lastRow="0" w:firstColumn="1" w:lastColumn="0" w:oddVBand="0" w:evenVBand="0" w:oddHBand="0" w:evenHBand="0" w:firstRowFirstColumn="0" w:firstRowLastColumn="0" w:lastRowFirstColumn="0" w:lastRowLastColumn="0"/>
            <w:tcW w:w="636" w:type="dxa"/>
            <w:vMerge w:val="restart"/>
            <w:textDirection w:val="btLr"/>
            <w:vAlign w:val="center"/>
          </w:tcPr>
          <w:p w14:paraId="4E77D3D1" w14:textId="6580C66B" w:rsidR="000C72D0" w:rsidRPr="001A66B5" w:rsidRDefault="000C72D0" w:rsidP="00B36921">
            <w:pPr>
              <w:pStyle w:val="SDMPara"/>
              <w:numPr>
                <w:ilvl w:val="0"/>
                <w:numId w:val="0"/>
              </w:numPr>
              <w:spacing w:before="0"/>
              <w:ind w:left="113" w:right="113"/>
              <w:jc w:val="center"/>
              <w:rPr>
                <w:sz w:val="20"/>
                <w:szCs w:val="20"/>
              </w:rPr>
            </w:pPr>
            <w:r w:rsidRPr="001A66B5">
              <w:rPr>
                <w:sz w:val="20"/>
                <w:szCs w:val="20"/>
              </w:rPr>
              <w:t>LEAKAGE</w:t>
            </w:r>
          </w:p>
        </w:tc>
        <w:tc>
          <w:tcPr>
            <w:tcW w:w="1580" w:type="dxa"/>
            <w:vMerge w:val="restart"/>
            <w:vAlign w:val="center"/>
          </w:tcPr>
          <w:p w14:paraId="6605D9BB" w14:textId="02A8F7AA" w:rsidR="000C72D0" w:rsidRPr="001A66B5" w:rsidRDefault="00404E89" w:rsidP="00BE3A4A">
            <w:pPr>
              <w:pStyle w:val="SDMPara"/>
              <w:numPr>
                <w:ilvl w:val="0"/>
                <w:numId w:val="0"/>
              </w:numPr>
              <w:spacing w:before="0"/>
              <w:jc w:val="left"/>
              <w:cnfStyle w:val="000000000000" w:firstRow="0" w:lastRow="0" w:firstColumn="0" w:lastColumn="0" w:oddVBand="0" w:evenVBand="0" w:oddHBand="0" w:evenHBand="0" w:firstRowFirstColumn="0" w:firstRowLastColumn="0" w:lastRowFirstColumn="0" w:lastRowLastColumn="0"/>
              <w:rPr>
                <w:sz w:val="20"/>
                <w:szCs w:val="20"/>
              </w:rPr>
            </w:pPr>
            <w:r w:rsidRPr="001A66B5">
              <w:rPr>
                <w:sz w:val="20"/>
                <w:szCs w:val="20"/>
              </w:rPr>
              <w:t xml:space="preserve">Biomass </w:t>
            </w:r>
            <w:r w:rsidR="002C46F7" w:rsidRPr="001A66B5">
              <w:rPr>
                <w:sz w:val="20"/>
                <w:szCs w:val="20"/>
              </w:rPr>
              <w:t>competition (fuelwood/charcoal displacement)</w:t>
            </w:r>
          </w:p>
        </w:tc>
        <w:tc>
          <w:tcPr>
            <w:tcW w:w="781" w:type="dxa"/>
            <w:vAlign w:val="center"/>
          </w:tcPr>
          <w:p w14:paraId="097ECEDA" w14:textId="12C67D5A" w:rsidR="000C72D0" w:rsidRPr="001A66B5" w:rsidRDefault="000C72D0"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1A66B5">
              <w:rPr>
                <w:sz w:val="20"/>
                <w:szCs w:val="20"/>
              </w:rPr>
              <w:t>CO</w:t>
            </w:r>
            <w:r w:rsidRPr="001A66B5">
              <w:rPr>
                <w:sz w:val="20"/>
                <w:szCs w:val="20"/>
                <w:vertAlign w:val="subscript"/>
              </w:rPr>
              <w:t>2</w:t>
            </w:r>
          </w:p>
        </w:tc>
        <w:tc>
          <w:tcPr>
            <w:tcW w:w="1675" w:type="dxa"/>
            <w:vAlign w:val="center"/>
          </w:tcPr>
          <w:p w14:paraId="63C38E4E" w14:textId="2731D44E" w:rsidR="000C72D0" w:rsidRPr="001A66B5" w:rsidRDefault="0062132F"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
                  <w:enabled/>
                  <w:calcOnExit w:val="0"/>
                  <w:checkBox>
                    <w:size w:val="20"/>
                    <w:default w:val="1"/>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00FA2130" w:rsidRPr="001A66B5">
              <w:rPr>
                <w:rFonts w:eastAsia="Times New Roman"/>
                <w:szCs w:val="20"/>
                <w:lang w:eastAsia="de-DE"/>
              </w:rPr>
              <w:t xml:space="preserve"> Included</w:t>
            </w:r>
          </w:p>
          <w:p w14:paraId="60D23498" w14:textId="60373168"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szCs w:val="20"/>
              </w:rPr>
              <w:fldChar w:fldCharType="begin">
                <w:ffData>
                  <w:name w:val="Check2"/>
                  <w:enabled/>
                  <w:calcOnExit w:val="0"/>
                  <w:checkBox>
                    <w:size w:val="20"/>
                    <w:default w:val="0"/>
                  </w:checkBox>
                </w:ffData>
              </w:fldChar>
            </w:r>
            <w:r w:rsidRPr="001A66B5">
              <w:rPr>
                <w:szCs w:val="20"/>
              </w:rPr>
              <w:instrText xml:space="preserve"> FORMCHECKBOX </w:instrText>
            </w:r>
            <w:r w:rsidRPr="001A66B5">
              <w:rPr>
                <w:szCs w:val="20"/>
              </w:rPr>
            </w:r>
            <w:r w:rsidRPr="001A66B5">
              <w:rPr>
                <w:szCs w:val="20"/>
              </w:rPr>
              <w:fldChar w:fldCharType="separate"/>
            </w:r>
            <w:r w:rsidRPr="001A66B5">
              <w:rPr>
                <w:szCs w:val="20"/>
              </w:rPr>
              <w:fldChar w:fldCharType="end"/>
            </w:r>
            <w:r w:rsidRPr="001A66B5">
              <w:rPr>
                <w:szCs w:val="20"/>
              </w:rPr>
              <w:t xml:space="preserve"> Not included</w:t>
            </w:r>
          </w:p>
        </w:tc>
        <w:tc>
          <w:tcPr>
            <w:tcW w:w="1638" w:type="dxa"/>
            <w:vAlign w:val="center"/>
          </w:tcPr>
          <w:p w14:paraId="406F5246" w14:textId="77777777"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Check2"/>
                  <w:enabled/>
                  <w:calcOnExit w:val="0"/>
                  <w:checkBox>
                    <w:size w:val="20"/>
                    <w:default w:val="0"/>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Pr="001A66B5">
              <w:rPr>
                <w:rFonts w:eastAsia="Times New Roman"/>
                <w:szCs w:val="20"/>
                <w:lang w:eastAsia="de-DE"/>
              </w:rPr>
              <w:t xml:space="preserve"> Controlled</w:t>
            </w:r>
          </w:p>
          <w:p w14:paraId="09B42C10" w14:textId="77777777"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Check2"/>
                  <w:enabled/>
                  <w:calcOnExit w:val="0"/>
                  <w:checkBox>
                    <w:size w:val="20"/>
                    <w:default w:val="0"/>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Pr="001A66B5">
              <w:rPr>
                <w:rFonts w:eastAsia="Times New Roman"/>
                <w:szCs w:val="20"/>
                <w:lang w:eastAsia="de-DE"/>
              </w:rPr>
              <w:t xml:space="preserve"> Related to</w:t>
            </w:r>
          </w:p>
          <w:p w14:paraId="7B389C48" w14:textId="3DAA79DF" w:rsidR="000C72D0" w:rsidRPr="001A66B5" w:rsidRDefault="00576FBF"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szCs w:val="20"/>
              </w:rPr>
              <w:fldChar w:fldCharType="begin">
                <w:ffData>
                  <w:name w:val=""/>
                  <w:enabled/>
                  <w:calcOnExit w:val="0"/>
                  <w:checkBox>
                    <w:size w:val="20"/>
                    <w:default w:val="1"/>
                  </w:checkBox>
                </w:ffData>
              </w:fldChar>
            </w:r>
            <w:r w:rsidRPr="001A66B5">
              <w:rPr>
                <w:szCs w:val="20"/>
              </w:rPr>
              <w:instrText xml:space="preserve"> FORMCHECKBOX </w:instrText>
            </w:r>
            <w:r w:rsidRPr="001A66B5">
              <w:rPr>
                <w:szCs w:val="20"/>
              </w:rPr>
            </w:r>
            <w:r w:rsidRPr="001A66B5">
              <w:rPr>
                <w:szCs w:val="20"/>
              </w:rPr>
              <w:fldChar w:fldCharType="separate"/>
            </w:r>
            <w:r w:rsidRPr="001A66B5">
              <w:rPr>
                <w:szCs w:val="20"/>
              </w:rPr>
              <w:fldChar w:fldCharType="end"/>
            </w:r>
            <w:r w:rsidR="00FA2130" w:rsidRPr="001A66B5">
              <w:rPr>
                <w:szCs w:val="20"/>
              </w:rPr>
              <w:t xml:space="preserve"> Affected by</w:t>
            </w:r>
          </w:p>
        </w:tc>
        <w:tc>
          <w:tcPr>
            <w:tcW w:w="2933" w:type="dxa"/>
          </w:tcPr>
          <w:p w14:paraId="45D07A08" w14:textId="79E5B727" w:rsidR="000C72D0" w:rsidRPr="001A66B5" w:rsidRDefault="007567AC"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1A66B5">
              <w:rPr>
                <w:rFonts w:eastAsia="Arial"/>
                <w:sz w:val="20"/>
                <w:szCs w:val="20"/>
              </w:rPr>
              <w:t>&gt;&gt;Major source of emissions</w:t>
            </w:r>
          </w:p>
        </w:tc>
      </w:tr>
      <w:tr w:rsidR="000C72D0" w:rsidRPr="00BC72D9" w14:paraId="6779A49E" w14:textId="77777777" w:rsidTr="005A64ED">
        <w:tc>
          <w:tcPr>
            <w:cnfStyle w:val="001000000000" w:firstRow="0" w:lastRow="0" w:firstColumn="1" w:lastColumn="0" w:oddVBand="0" w:evenVBand="0" w:oddHBand="0" w:evenHBand="0" w:firstRowFirstColumn="0" w:firstRowLastColumn="0" w:lastRowFirstColumn="0" w:lastRowLastColumn="0"/>
            <w:tcW w:w="636" w:type="dxa"/>
            <w:vMerge/>
          </w:tcPr>
          <w:p w14:paraId="2DC6D061" w14:textId="77777777" w:rsidR="000C72D0" w:rsidRPr="001A66B5" w:rsidRDefault="000C72D0" w:rsidP="000C72D0">
            <w:pPr>
              <w:pStyle w:val="SDMPara"/>
              <w:numPr>
                <w:ilvl w:val="0"/>
                <w:numId w:val="0"/>
              </w:numPr>
              <w:rPr>
                <w:sz w:val="20"/>
                <w:szCs w:val="20"/>
              </w:rPr>
            </w:pPr>
          </w:p>
        </w:tc>
        <w:tc>
          <w:tcPr>
            <w:tcW w:w="1580" w:type="dxa"/>
            <w:vMerge/>
            <w:vAlign w:val="center"/>
          </w:tcPr>
          <w:p w14:paraId="3F34E2E5" w14:textId="77777777" w:rsidR="000C72D0" w:rsidRPr="001A66B5" w:rsidRDefault="000C72D0"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6AF133DF" w14:textId="23E92D4F" w:rsidR="000C72D0" w:rsidRPr="001A66B5" w:rsidRDefault="000C72D0"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1A66B5">
              <w:rPr>
                <w:sz w:val="20"/>
                <w:szCs w:val="20"/>
              </w:rPr>
              <w:t>CH</w:t>
            </w:r>
            <w:r w:rsidRPr="001A66B5">
              <w:rPr>
                <w:sz w:val="20"/>
                <w:szCs w:val="20"/>
                <w:vertAlign w:val="subscript"/>
              </w:rPr>
              <w:t>4</w:t>
            </w:r>
          </w:p>
        </w:tc>
        <w:tc>
          <w:tcPr>
            <w:tcW w:w="1675" w:type="dxa"/>
            <w:vAlign w:val="center"/>
          </w:tcPr>
          <w:p w14:paraId="437BE725" w14:textId="50124012" w:rsidR="000C72D0" w:rsidRPr="001A66B5" w:rsidRDefault="0062132F"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
                  <w:enabled/>
                  <w:calcOnExit w:val="0"/>
                  <w:checkBox>
                    <w:size w:val="20"/>
                    <w:default w:val="1"/>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00FA2130" w:rsidRPr="001A66B5">
              <w:rPr>
                <w:rFonts w:eastAsia="Times New Roman"/>
                <w:szCs w:val="20"/>
                <w:lang w:eastAsia="de-DE"/>
              </w:rPr>
              <w:t xml:space="preserve"> Included</w:t>
            </w:r>
          </w:p>
          <w:p w14:paraId="425FD332" w14:textId="035F602B"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szCs w:val="20"/>
              </w:rPr>
              <w:fldChar w:fldCharType="begin">
                <w:ffData>
                  <w:name w:val="Check2"/>
                  <w:enabled/>
                  <w:calcOnExit w:val="0"/>
                  <w:checkBox>
                    <w:size w:val="20"/>
                    <w:default w:val="0"/>
                  </w:checkBox>
                </w:ffData>
              </w:fldChar>
            </w:r>
            <w:r w:rsidRPr="001A66B5">
              <w:rPr>
                <w:szCs w:val="20"/>
              </w:rPr>
              <w:instrText xml:space="preserve"> FORMCHECKBOX </w:instrText>
            </w:r>
            <w:r w:rsidRPr="001A66B5">
              <w:rPr>
                <w:szCs w:val="20"/>
              </w:rPr>
            </w:r>
            <w:r w:rsidRPr="001A66B5">
              <w:rPr>
                <w:szCs w:val="20"/>
              </w:rPr>
              <w:fldChar w:fldCharType="separate"/>
            </w:r>
            <w:r w:rsidRPr="001A66B5">
              <w:rPr>
                <w:szCs w:val="20"/>
              </w:rPr>
              <w:fldChar w:fldCharType="end"/>
            </w:r>
            <w:r w:rsidRPr="001A66B5">
              <w:rPr>
                <w:szCs w:val="20"/>
              </w:rPr>
              <w:t xml:space="preserve"> Not included</w:t>
            </w:r>
          </w:p>
        </w:tc>
        <w:tc>
          <w:tcPr>
            <w:tcW w:w="1638" w:type="dxa"/>
            <w:vAlign w:val="center"/>
          </w:tcPr>
          <w:p w14:paraId="7CF91068" w14:textId="77777777"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Check2"/>
                  <w:enabled/>
                  <w:calcOnExit w:val="0"/>
                  <w:checkBox>
                    <w:size w:val="20"/>
                    <w:default w:val="0"/>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Pr="001A66B5">
              <w:rPr>
                <w:rFonts w:eastAsia="Times New Roman"/>
                <w:szCs w:val="20"/>
                <w:lang w:eastAsia="de-DE"/>
              </w:rPr>
              <w:t xml:space="preserve"> Controlled</w:t>
            </w:r>
          </w:p>
          <w:p w14:paraId="79F76E39" w14:textId="77777777"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Check2"/>
                  <w:enabled/>
                  <w:calcOnExit w:val="0"/>
                  <w:checkBox>
                    <w:size w:val="20"/>
                    <w:default w:val="0"/>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Pr="001A66B5">
              <w:rPr>
                <w:rFonts w:eastAsia="Times New Roman"/>
                <w:szCs w:val="20"/>
                <w:lang w:eastAsia="de-DE"/>
              </w:rPr>
              <w:t xml:space="preserve"> Related to</w:t>
            </w:r>
          </w:p>
          <w:p w14:paraId="7135EF44" w14:textId="3AFF583E" w:rsidR="000C72D0" w:rsidRPr="001A66B5" w:rsidRDefault="00576FBF"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szCs w:val="20"/>
              </w:rPr>
              <w:fldChar w:fldCharType="begin">
                <w:ffData>
                  <w:name w:val=""/>
                  <w:enabled/>
                  <w:calcOnExit w:val="0"/>
                  <w:checkBox>
                    <w:size w:val="20"/>
                    <w:default w:val="1"/>
                  </w:checkBox>
                </w:ffData>
              </w:fldChar>
            </w:r>
            <w:r w:rsidRPr="001A66B5">
              <w:rPr>
                <w:szCs w:val="20"/>
              </w:rPr>
              <w:instrText xml:space="preserve"> FORMCHECKBOX </w:instrText>
            </w:r>
            <w:r w:rsidRPr="001A66B5">
              <w:rPr>
                <w:szCs w:val="20"/>
              </w:rPr>
            </w:r>
            <w:r w:rsidRPr="001A66B5">
              <w:rPr>
                <w:szCs w:val="20"/>
              </w:rPr>
              <w:fldChar w:fldCharType="separate"/>
            </w:r>
            <w:r w:rsidRPr="001A66B5">
              <w:rPr>
                <w:szCs w:val="20"/>
              </w:rPr>
              <w:fldChar w:fldCharType="end"/>
            </w:r>
            <w:r w:rsidR="00FA2130" w:rsidRPr="001A66B5">
              <w:rPr>
                <w:szCs w:val="20"/>
              </w:rPr>
              <w:t xml:space="preserve"> Affected by</w:t>
            </w:r>
          </w:p>
        </w:tc>
        <w:tc>
          <w:tcPr>
            <w:tcW w:w="2933" w:type="dxa"/>
          </w:tcPr>
          <w:p w14:paraId="3D28F632" w14:textId="19820ADA" w:rsidR="000C72D0" w:rsidRPr="001A66B5" w:rsidRDefault="00B11C91"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1A66B5">
              <w:rPr>
                <w:rFonts w:eastAsia="Arial"/>
                <w:sz w:val="20"/>
                <w:szCs w:val="20"/>
              </w:rPr>
              <w:t>&gt;&gt;Can be significant for some fuels</w:t>
            </w:r>
          </w:p>
        </w:tc>
      </w:tr>
      <w:tr w:rsidR="000C72D0" w:rsidRPr="00BC72D9" w14:paraId="5F48043E" w14:textId="77777777" w:rsidTr="005A64ED">
        <w:tc>
          <w:tcPr>
            <w:cnfStyle w:val="001000000000" w:firstRow="0" w:lastRow="0" w:firstColumn="1" w:lastColumn="0" w:oddVBand="0" w:evenVBand="0" w:oddHBand="0" w:evenHBand="0" w:firstRowFirstColumn="0" w:firstRowLastColumn="0" w:lastRowFirstColumn="0" w:lastRowLastColumn="0"/>
            <w:tcW w:w="636" w:type="dxa"/>
            <w:vMerge/>
          </w:tcPr>
          <w:p w14:paraId="0961B455" w14:textId="77777777" w:rsidR="000C72D0" w:rsidRPr="001A66B5" w:rsidRDefault="000C72D0" w:rsidP="000C72D0">
            <w:pPr>
              <w:pStyle w:val="SDMPara"/>
              <w:numPr>
                <w:ilvl w:val="0"/>
                <w:numId w:val="0"/>
              </w:numPr>
              <w:rPr>
                <w:sz w:val="20"/>
                <w:szCs w:val="20"/>
              </w:rPr>
            </w:pPr>
          </w:p>
        </w:tc>
        <w:tc>
          <w:tcPr>
            <w:tcW w:w="1580" w:type="dxa"/>
            <w:vMerge/>
            <w:vAlign w:val="center"/>
          </w:tcPr>
          <w:p w14:paraId="044FD1F6" w14:textId="77777777" w:rsidR="000C72D0" w:rsidRPr="001A66B5" w:rsidRDefault="000C72D0"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05367CDF" w14:textId="24A70BA7" w:rsidR="000C72D0" w:rsidRPr="001A66B5" w:rsidRDefault="000C72D0"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1A66B5">
              <w:rPr>
                <w:sz w:val="20"/>
                <w:szCs w:val="20"/>
              </w:rPr>
              <w:t>N</w:t>
            </w:r>
            <w:r w:rsidRPr="001A66B5">
              <w:rPr>
                <w:sz w:val="20"/>
                <w:szCs w:val="20"/>
                <w:vertAlign w:val="subscript"/>
              </w:rPr>
              <w:t>2</w:t>
            </w:r>
            <w:r w:rsidRPr="001A66B5">
              <w:rPr>
                <w:sz w:val="20"/>
                <w:szCs w:val="20"/>
              </w:rPr>
              <w:t>O</w:t>
            </w:r>
          </w:p>
        </w:tc>
        <w:tc>
          <w:tcPr>
            <w:tcW w:w="1675" w:type="dxa"/>
            <w:vAlign w:val="center"/>
          </w:tcPr>
          <w:p w14:paraId="3776D997" w14:textId="70E91B63" w:rsidR="000C72D0" w:rsidRPr="001A66B5" w:rsidRDefault="0062132F"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
                  <w:enabled/>
                  <w:calcOnExit w:val="0"/>
                  <w:checkBox>
                    <w:size w:val="20"/>
                    <w:default w:val="1"/>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00FA2130" w:rsidRPr="001A66B5">
              <w:rPr>
                <w:rFonts w:eastAsia="Times New Roman"/>
                <w:szCs w:val="20"/>
                <w:lang w:eastAsia="de-DE"/>
              </w:rPr>
              <w:t xml:space="preserve"> Included</w:t>
            </w:r>
          </w:p>
          <w:p w14:paraId="16613AD3" w14:textId="65863A1D"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szCs w:val="20"/>
              </w:rPr>
              <w:fldChar w:fldCharType="begin">
                <w:ffData>
                  <w:name w:val="Check2"/>
                  <w:enabled/>
                  <w:calcOnExit w:val="0"/>
                  <w:checkBox>
                    <w:size w:val="20"/>
                    <w:default w:val="0"/>
                  </w:checkBox>
                </w:ffData>
              </w:fldChar>
            </w:r>
            <w:r w:rsidRPr="001A66B5">
              <w:rPr>
                <w:szCs w:val="20"/>
              </w:rPr>
              <w:instrText xml:space="preserve"> FORMCHECKBOX </w:instrText>
            </w:r>
            <w:r w:rsidRPr="001A66B5">
              <w:rPr>
                <w:szCs w:val="20"/>
              </w:rPr>
            </w:r>
            <w:r w:rsidRPr="001A66B5">
              <w:rPr>
                <w:szCs w:val="20"/>
              </w:rPr>
              <w:fldChar w:fldCharType="separate"/>
            </w:r>
            <w:r w:rsidRPr="001A66B5">
              <w:rPr>
                <w:szCs w:val="20"/>
              </w:rPr>
              <w:fldChar w:fldCharType="end"/>
            </w:r>
            <w:r w:rsidRPr="001A66B5">
              <w:rPr>
                <w:szCs w:val="20"/>
              </w:rPr>
              <w:t xml:space="preserve"> Not included</w:t>
            </w:r>
          </w:p>
        </w:tc>
        <w:tc>
          <w:tcPr>
            <w:tcW w:w="1638" w:type="dxa"/>
            <w:vAlign w:val="center"/>
          </w:tcPr>
          <w:p w14:paraId="69705694" w14:textId="77777777"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Check2"/>
                  <w:enabled/>
                  <w:calcOnExit w:val="0"/>
                  <w:checkBox>
                    <w:size w:val="20"/>
                    <w:default w:val="0"/>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Pr="001A66B5">
              <w:rPr>
                <w:rFonts w:eastAsia="Times New Roman"/>
                <w:szCs w:val="20"/>
                <w:lang w:eastAsia="de-DE"/>
              </w:rPr>
              <w:t xml:space="preserve"> Controlled</w:t>
            </w:r>
          </w:p>
          <w:p w14:paraId="15B66920" w14:textId="77777777"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Check2"/>
                  <w:enabled/>
                  <w:calcOnExit w:val="0"/>
                  <w:checkBox>
                    <w:size w:val="20"/>
                    <w:default w:val="0"/>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Pr="001A66B5">
              <w:rPr>
                <w:rFonts w:eastAsia="Times New Roman"/>
                <w:szCs w:val="20"/>
                <w:lang w:eastAsia="de-DE"/>
              </w:rPr>
              <w:t xml:space="preserve"> Related to</w:t>
            </w:r>
          </w:p>
          <w:p w14:paraId="2B1A72E4" w14:textId="39CC8F24" w:rsidR="000C72D0" w:rsidRPr="001A66B5" w:rsidRDefault="00576FBF"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szCs w:val="20"/>
              </w:rPr>
              <w:fldChar w:fldCharType="begin">
                <w:ffData>
                  <w:name w:val=""/>
                  <w:enabled/>
                  <w:calcOnExit w:val="0"/>
                  <w:checkBox>
                    <w:size w:val="20"/>
                    <w:default w:val="1"/>
                  </w:checkBox>
                </w:ffData>
              </w:fldChar>
            </w:r>
            <w:r w:rsidRPr="001A66B5">
              <w:rPr>
                <w:szCs w:val="20"/>
              </w:rPr>
              <w:instrText xml:space="preserve"> FORMCHECKBOX </w:instrText>
            </w:r>
            <w:r w:rsidRPr="001A66B5">
              <w:rPr>
                <w:szCs w:val="20"/>
              </w:rPr>
            </w:r>
            <w:r w:rsidRPr="001A66B5">
              <w:rPr>
                <w:szCs w:val="20"/>
              </w:rPr>
              <w:fldChar w:fldCharType="separate"/>
            </w:r>
            <w:r w:rsidRPr="001A66B5">
              <w:rPr>
                <w:szCs w:val="20"/>
              </w:rPr>
              <w:fldChar w:fldCharType="end"/>
            </w:r>
            <w:r w:rsidR="00FA2130" w:rsidRPr="001A66B5">
              <w:rPr>
                <w:szCs w:val="20"/>
              </w:rPr>
              <w:t xml:space="preserve"> Affected by</w:t>
            </w:r>
          </w:p>
        </w:tc>
        <w:tc>
          <w:tcPr>
            <w:tcW w:w="2933" w:type="dxa"/>
          </w:tcPr>
          <w:p w14:paraId="30B65E2F" w14:textId="3FA36DC4" w:rsidR="000C72D0" w:rsidRPr="001A66B5" w:rsidRDefault="00B11C91"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1A66B5">
              <w:rPr>
                <w:rFonts w:eastAsia="Arial"/>
                <w:sz w:val="20"/>
                <w:szCs w:val="20"/>
              </w:rPr>
              <w:t>&gt;&gt;Can be significant for some fuels</w:t>
            </w:r>
          </w:p>
        </w:tc>
      </w:tr>
      <w:tr w:rsidR="000C72D0" w:rsidRPr="00BC72D9" w14:paraId="5AAC5BA2" w14:textId="77777777" w:rsidTr="005A64ED">
        <w:tc>
          <w:tcPr>
            <w:cnfStyle w:val="001000000000" w:firstRow="0" w:lastRow="0" w:firstColumn="1" w:lastColumn="0" w:oddVBand="0" w:evenVBand="0" w:oddHBand="0" w:evenHBand="0" w:firstRowFirstColumn="0" w:firstRowLastColumn="0" w:lastRowFirstColumn="0" w:lastRowLastColumn="0"/>
            <w:tcW w:w="636" w:type="dxa"/>
            <w:vMerge/>
          </w:tcPr>
          <w:p w14:paraId="3CC42A72" w14:textId="77777777" w:rsidR="000C72D0" w:rsidRPr="001A66B5" w:rsidRDefault="000C72D0" w:rsidP="000C72D0">
            <w:pPr>
              <w:pStyle w:val="SDMPara"/>
              <w:numPr>
                <w:ilvl w:val="0"/>
                <w:numId w:val="0"/>
              </w:numPr>
              <w:rPr>
                <w:sz w:val="20"/>
                <w:szCs w:val="20"/>
              </w:rPr>
            </w:pPr>
          </w:p>
        </w:tc>
        <w:tc>
          <w:tcPr>
            <w:tcW w:w="1580" w:type="dxa"/>
            <w:vMerge/>
            <w:vAlign w:val="center"/>
          </w:tcPr>
          <w:p w14:paraId="4C9D2D95" w14:textId="77777777" w:rsidR="000C72D0" w:rsidRPr="001A66B5" w:rsidRDefault="000C72D0"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p>
        </w:tc>
        <w:tc>
          <w:tcPr>
            <w:tcW w:w="781" w:type="dxa"/>
            <w:vAlign w:val="center"/>
          </w:tcPr>
          <w:p w14:paraId="44EA829F" w14:textId="1759B2C0" w:rsidR="000C72D0" w:rsidRPr="001A66B5" w:rsidRDefault="000C72D0"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r w:rsidRPr="001A66B5">
              <w:rPr>
                <w:sz w:val="20"/>
                <w:szCs w:val="20"/>
              </w:rPr>
              <w:t>-----</w:t>
            </w:r>
          </w:p>
        </w:tc>
        <w:tc>
          <w:tcPr>
            <w:tcW w:w="1675" w:type="dxa"/>
            <w:vAlign w:val="center"/>
          </w:tcPr>
          <w:p w14:paraId="672B2FBD" w14:textId="77777777"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Check2"/>
                  <w:enabled/>
                  <w:calcOnExit w:val="0"/>
                  <w:checkBox>
                    <w:size w:val="20"/>
                    <w:default w:val="0"/>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Pr="001A66B5">
              <w:rPr>
                <w:rFonts w:eastAsia="Times New Roman"/>
                <w:szCs w:val="20"/>
                <w:lang w:eastAsia="de-DE"/>
              </w:rPr>
              <w:t xml:space="preserve"> Included</w:t>
            </w:r>
          </w:p>
          <w:p w14:paraId="73A1F143" w14:textId="7ED34424"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szCs w:val="20"/>
              </w:rPr>
              <w:fldChar w:fldCharType="begin">
                <w:ffData>
                  <w:name w:val="Check2"/>
                  <w:enabled/>
                  <w:calcOnExit w:val="0"/>
                  <w:checkBox>
                    <w:size w:val="20"/>
                    <w:default w:val="0"/>
                  </w:checkBox>
                </w:ffData>
              </w:fldChar>
            </w:r>
            <w:r w:rsidRPr="001A66B5">
              <w:rPr>
                <w:szCs w:val="20"/>
              </w:rPr>
              <w:instrText xml:space="preserve"> FORMCHECKBOX </w:instrText>
            </w:r>
            <w:r w:rsidRPr="001A66B5">
              <w:rPr>
                <w:szCs w:val="20"/>
              </w:rPr>
            </w:r>
            <w:r w:rsidRPr="001A66B5">
              <w:rPr>
                <w:szCs w:val="20"/>
              </w:rPr>
              <w:fldChar w:fldCharType="separate"/>
            </w:r>
            <w:r w:rsidRPr="001A66B5">
              <w:rPr>
                <w:szCs w:val="20"/>
              </w:rPr>
              <w:fldChar w:fldCharType="end"/>
            </w:r>
            <w:r w:rsidRPr="001A66B5">
              <w:rPr>
                <w:szCs w:val="20"/>
              </w:rPr>
              <w:t xml:space="preserve"> Not included</w:t>
            </w:r>
          </w:p>
        </w:tc>
        <w:tc>
          <w:tcPr>
            <w:tcW w:w="1638" w:type="dxa"/>
            <w:vAlign w:val="center"/>
          </w:tcPr>
          <w:p w14:paraId="09EA1B28" w14:textId="77777777"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Check2"/>
                  <w:enabled/>
                  <w:calcOnExit w:val="0"/>
                  <w:checkBox>
                    <w:size w:val="20"/>
                    <w:default w:val="0"/>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Pr="001A66B5">
              <w:rPr>
                <w:rFonts w:eastAsia="Times New Roman"/>
                <w:szCs w:val="20"/>
                <w:lang w:eastAsia="de-DE"/>
              </w:rPr>
              <w:t xml:space="preserve"> Controlled</w:t>
            </w:r>
          </w:p>
          <w:p w14:paraId="75208D98" w14:textId="77777777"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rFonts w:eastAsia="Times New Roman"/>
                <w:szCs w:val="20"/>
                <w:lang w:eastAsia="de-DE"/>
              </w:rPr>
              <w:fldChar w:fldCharType="begin">
                <w:ffData>
                  <w:name w:val="Check2"/>
                  <w:enabled/>
                  <w:calcOnExit w:val="0"/>
                  <w:checkBox>
                    <w:size w:val="20"/>
                    <w:default w:val="0"/>
                  </w:checkBox>
                </w:ffData>
              </w:fldChar>
            </w:r>
            <w:r w:rsidRPr="001A66B5">
              <w:rPr>
                <w:rFonts w:eastAsia="Times New Roman"/>
                <w:szCs w:val="20"/>
                <w:lang w:eastAsia="de-DE"/>
              </w:rPr>
              <w:instrText xml:space="preserve"> FORMCHECKBOX </w:instrText>
            </w:r>
            <w:r w:rsidRPr="001A66B5">
              <w:rPr>
                <w:rFonts w:eastAsia="Times New Roman"/>
                <w:szCs w:val="20"/>
                <w:lang w:eastAsia="de-DE"/>
              </w:rPr>
            </w:r>
            <w:r w:rsidRPr="001A66B5">
              <w:rPr>
                <w:rFonts w:eastAsia="Times New Roman"/>
                <w:szCs w:val="20"/>
                <w:lang w:eastAsia="de-DE"/>
              </w:rPr>
              <w:fldChar w:fldCharType="separate"/>
            </w:r>
            <w:r w:rsidRPr="001A66B5">
              <w:rPr>
                <w:rFonts w:eastAsia="Times New Roman"/>
                <w:szCs w:val="20"/>
                <w:lang w:eastAsia="de-DE"/>
              </w:rPr>
              <w:fldChar w:fldCharType="end"/>
            </w:r>
            <w:r w:rsidRPr="001A66B5">
              <w:rPr>
                <w:rFonts w:eastAsia="Times New Roman"/>
                <w:szCs w:val="20"/>
                <w:lang w:eastAsia="de-DE"/>
              </w:rPr>
              <w:t xml:space="preserve"> Related to</w:t>
            </w:r>
          </w:p>
          <w:p w14:paraId="26B19FF0" w14:textId="7CE4E5AB" w:rsidR="000C72D0" w:rsidRPr="001A66B5" w:rsidRDefault="000C72D0" w:rsidP="000C72D0">
            <w:pPr>
              <w:pStyle w:val="ParaTickBox"/>
              <w:spacing w:before="0" w:after="0"/>
              <w:ind w:left="510" w:hanging="510"/>
              <w:cnfStyle w:val="000000000000" w:firstRow="0" w:lastRow="0" w:firstColumn="0" w:lastColumn="0" w:oddVBand="0" w:evenVBand="0" w:oddHBand="0" w:evenHBand="0" w:firstRowFirstColumn="0" w:firstRowLastColumn="0" w:lastRowFirstColumn="0" w:lastRowLastColumn="0"/>
              <w:rPr>
                <w:rFonts w:eastAsia="Times New Roman"/>
                <w:szCs w:val="20"/>
                <w:lang w:eastAsia="de-DE"/>
              </w:rPr>
            </w:pPr>
            <w:r w:rsidRPr="001A66B5">
              <w:rPr>
                <w:szCs w:val="20"/>
              </w:rPr>
              <w:fldChar w:fldCharType="begin">
                <w:ffData>
                  <w:name w:val="Check2"/>
                  <w:enabled/>
                  <w:calcOnExit w:val="0"/>
                  <w:checkBox>
                    <w:size w:val="20"/>
                    <w:default w:val="0"/>
                  </w:checkBox>
                </w:ffData>
              </w:fldChar>
            </w:r>
            <w:r w:rsidRPr="001A66B5">
              <w:rPr>
                <w:szCs w:val="20"/>
              </w:rPr>
              <w:instrText xml:space="preserve"> FORMCHECKBOX </w:instrText>
            </w:r>
            <w:r w:rsidRPr="001A66B5">
              <w:rPr>
                <w:szCs w:val="20"/>
              </w:rPr>
            </w:r>
            <w:r w:rsidRPr="001A66B5">
              <w:rPr>
                <w:szCs w:val="20"/>
              </w:rPr>
              <w:fldChar w:fldCharType="separate"/>
            </w:r>
            <w:r w:rsidRPr="001A66B5">
              <w:rPr>
                <w:szCs w:val="20"/>
              </w:rPr>
              <w:fldChar w:fldCharType="end"/>
            </w:r>
            <w:r w:rsidRPr="001A66B5">
              <w:rPr>
                <w:szCs w:val="20"/>
              </w:rPr>
              <w:t xml:space="preserve"> Affected by</w:t>
            </w:r>
          </w:p>
        </w:tc>
        <w:tc>
          <w:tcPr>
            <w:tcW w:w="2933" w:type="dxa"/>
          </w:tcPr>
          <w:p w14:paraId="075172C3" w14:textId="77777777" w:rsidR="000C72D0" w:rsidRPr="001A66B5" w:rsidRDefault="000C72D0" w:rsidP="000C72D0">
            <w:pPr>
              <w:pStyle w:val="SDMPara"/>
              <w:numPr>
                <w:ilvl w:val="0"/>
                <w:numId w:val="0"/>
              </w:numPr>
              <w:spacing w:before="0"/>
              <w:cnfStyle w:val="000000000000" w:firstRow="0" w:lastRow="0" w:firstColumn="0" w:lastColumn="0" w:oddVBand="0" w:evenVBand="0" w:oddHBand="0" w:evenHBand="0" w:firstRowFirstColumn="0" w:firstRowLastColumn="0" w:lastRowFirstColumn="0" w:lastRowLastColumn="0"/>
              <w:rPr>
                <w:sz w:val="20"/>
                <w:szCs w:val="20"/>
              </w:rPr>
            </w:pPr>
          </w:p>
        </w:tc>
      </w:tr>
    </w:tbl>
    <w:p w14:paraId="177533F2" w14:textId="44117E24" w:rsidR="00F319D5" w:rsidRDefault="00F319D5" w:rsidP="00620061">
      <w:pPr>
        <w:pStyle w:val="SDMHead1"/>
        <w:numPr>
          <w:ilvl w:val="0"/>
          <w:numId w:val="18"/>
        </w:numPr>
      </w:pPr>
      <w:bookmarkStart w:id="37" w:name="S9"/>
      <w:r>
        <w:lastRenderedPageBreak/>
        <w:t>Demonstration of additionality</w:t>
      </w:r>
    </w:p>
    <w:bookmarkEnd w:id="37"/>
    <w:p w14:paraId="67EC3B6A" w14:textId="10DF8A0E" w:rsidR="003E3B39" w:rsidRPr="00FB6695" w:rsidRDefault="00F319D5" w:rsidP="00FB6695">
      <w:pPr>
        <w:pStyle w:val="SDMHead2"/>
      </w:pPr>
      <w:r>
        <w:t>Regulatory analysis</w:t>
      </w:r>
    </w:p>
    <w:p w14:paraId="4EFC198E" w14:textId="77777777" w:rsidR="00FB6695" w:rsidRPr="005A6025" w:rsidRDefault="00775077" w:rsidP="00775077">
      <w:pPr>
        <w:pStyle w:val="SDMPara"/>
        <w:shd w:val="clear" w:color="auto" w:fill="FFFFFF" w:themeFill="background1"/>
        <w:spacing w:before="60"/>
        <w:rPr>
          <w:rFonts w:eastAsia="Arial"/>
          <w:color w:val="000000" w:themeColor="text1"/>
        </w:rPr>
      </w:pPr>
      <w:r w:rsidRPr="003E3B39">
        <w:rPr>
          <w:rFonts w:eastAsia="Arial"/>
          <w:color w:val="333333"/>
        </w:rPr>
        <w:t xml:space="preserve">The regulatory analysis shall demonstrate that the emission reductions achieved by the project are not occurring </w:t>
      </w:r>
      <w:proofErr w:type="gramStart"/>
      <w:r w:rsidRPr="003E3B39">
        <w:rPr>
          <w:rFonts w:eastAsia="Arial"/>
          <w:color w:val="333333"/>
        </w:rPr>
        <w:t>as a result of</w:t>
      </w:r>
      <w:proofErr w:type="gramEnd"/>
      <w:r w:rsidRPr="003E3B39">
        <w:rPr>
          <w:rFonts w:eastAsia="Arial"/>
          <w:color w:val="333333"/>
        </w:rPr>
        <w:t xml:space="preserve"> any legal instrument</w:t>
      </w:r>
      <w:r w:rsidRPr="003E3B39">
        <w:rPr>
          <w:rFonts w:eastAsia="Arial"/>
          <w:color w:val="000000" w:themeColor="text1"/>
        </w:rPr>
        <w:t xml:space="preserve"> (including laws, statutes, regulations, court orders, decrees, consent agreements, executive orders, permitting conditions or any other legally binding mandates). </w:t>
      </w:r>
      <w:r w:rsidRPr="003E3B39">
        <w:rPr>
          <w:rFonts w:eastAsia="Arial"/>
          <w:color w:val="333333"/>
        </w:rPr>
        <w:t>Where an applicable legal instrument restricts or prohibits a cooking fuel or technology (e.g., informal charcoal), the project proponent shall provide credible evidence that households are not switching away from the restricted fuel or technology because of the legal restrictions and that the project activity is the only reason that fuel consumption is changing.</w:t>
      </w:r>
    </w:p>
    <w:p w14:paraId="7B0602C2" w14:textId="77777777" w:rsidR="005A6025" w:rsidRPr="00FB6695" w:rsidRDefault="005A6025" w:rsidP="005A6025">
      <w:pPr>
        <w:pStyle w:val="SDMPara"/>
        <w:numPr>
          <w:ilvl w:val="0"/>
          <w:numId w:val="0"/>
        </w:numPr>
        <w:shd w:val="clear" w:color="auto" w:fill="FFFFFF" w:themeFill="background1"/>
        <w:spacing w:before="60"/>
        <w:ind w:left="709"/>
        <w:rPr>
          <w:rFonts w:eastAsia="Arial"/>
          <w:color w:val="000000" w:themeColor="text1"/>
        </w:rPr>
      </w:pPr>
    </w:p>
    <w:p w14:paraId="53B643C6" w14:textId="77777777" w:rsidR="00FB6695" w:rsidRDefault="00775077" w:rsidP="00775077">
      <w:pPr>
        <w:pStyle w:val="SDMPara"/>
        <w:shd w:val="clear" w:color="auto" w:fill="FFFFFF" w:themeFill="background1"/>
        <w:spacing w:before="60"/>
        <w:rPr>
          <w:rFonts w:eastAsia="Arial"/>
          <w:color w:val="000000" w:themeColor="text1"/>
        </w:rPr>
      </w:pPr>
      <w:r w:rsidRPr="00FB6695">
        <w:rPr>
          <w:rFonts w:eastAsia="Arial"/>
          <w:color w:val="000000" w:themeColor="text1"/>
        </w:rPr>
        <w:t>Project proponents shall conduct the regulatory analysis at the time of project validation and update it at each crediting period renewal, or more frequently if required by the host country or Article 6.4 requirements.</w:t>
      </w:r>
    </w:p>
    <w:p w14:paraId="3CB25339" w14:textId="77777777" w:rsidR="005A6025" w:rsidRPr="00775077" w:rsidRDefault="005A6025" w:rsidP="005A6025">
      <w:pPr>
        <w:pStyle w:val="SDMPara"/>
        <w:numPr>
          <w:ilvl w:val="0"/>
          <w:numId w:val="0"/>
        </w:numPr>
        <w:shd w:val="clear" w:color="auto" w:fill="FFFFFF" w:themeFill="background1"/>
        <w:spacing w:before="60"/>
        <w:rPr>
          <w:rFonts w:eastAsia="Arial"/>
          <w:color w:val="000000" w:themeColor="text1"/>
        </w:rPr>
      </w:pPr>
    </w:p>
    <w:p w14:paraId="10E09840" w14:textId="77777777" w:rsidR="00FB6695" w:rsidRDefault="00775077" w:rsidP="00775077">
      <w:pPr>
        <w:pStyle w:val="SDMPara"/>
        <w:shd w:val="clear" w:color="auto" w:fill="FFFFFF" w:themeFill="background1"/>
        <w:spacing w:before="60"/>
        <w:rPr>
          <w:rFonts w:eastAsia="Arial"/>
          <w:color w:val="000000" w:themeColor="text1"/>
        </w:rPr>
      </w:pPr>
      <w:r w:rsidRPr="00FB6695">
        <w:rPr>
          <w:rFonts w:eastAsia="Arial"/>
          <w:color w:val="000000" w:themeColor="text1"/>
        </w:rPr>
        <w:t>The analysis shall be based on credible and current evidence and clearly justified. Acceptable supporting evidence includes official regulatory texts and government websites, expert legal opinion (if appropriate), peer-reviewed or grey literature, household surveys, and documentation from interviews with relevant regulatory agencies or implementation bodies.</w:t>
      </w:r>
    </w:p>
    <w:p w14:paraId="11DAC283" w14:textId="77777777" w:rsidR="005A6025" w:rsidRPr="00775077" w:rsidRDefault="005A6025" w:rsidP="005A6025">
      <w:pPr>
        <w:pStyle w:val="SDMPara"/>
        <w:numPr>
          <w:ilvl w:val="0"/>
          <w:numId w:val="0"/>
        </w:numPr>
        <w:shd w:val="clear" w:color="auto" w:fill="FFFFFF" w:themeFill="background1"/>
        <w:spacing w:before="60"/>
        <w:rPr>
          <w:rFonts w:eastAsia="Arial"/>
          <w:color w:val="000000" w:themeColor="text1"/>
        </w:rPr>
      </w:pPr>
    </w:p>
    <w:p w14:paraId="1F1A4CAC" w14:textId="2F28199C" w:rsidR="00775077" w:rsidRPr="00FB6695" w:rsidRDefault="00775077" w:rsidP="00775077">
      <w:pPr>
        <w:pStyle w:val="SDMPara"/>
        <w:shd w:val="clear" w:color="auto" w:fill="FFFFFF" w:themeFill="background1"/>
        <w:spacing w:before="60"/>
        <w:rPr>
          <w:rFonts w:eastAsia="Arial"/>
          <w:color w:val="000000" w:themeColor="text1"/>
        </w:rPr>
      </w:pPr>
      <w:r w:rsidRPr="00FB6695">
        <w:rPr>
          <w:rFonts w:eastAsia="Arial"/>
          <w:color w:val="000000" w:themeColor="text1"/>
        </w:rPr>
        <w:t>If a relevant legal mandate comes into effect during the crediting period, the project may only continue claiming credits up to the date that mandate becomes legally effective.</w:t>
      </w:r>
    </w:p>
    <w:p w14:paraId="104D5EBB" w14:textId="5C93C78B" w:rsidR="00FB6695" w:rsidRDefault="00CA1AEC" w:rsidP="00FB6695">
      <w:pPr>
        <w:pStyle w:val="SDMHead2"/>
      </w:pPr>
      <w:r w:rsidRPr="00CA1AEC">
        <w:t>Avoidance of locking-in the level of emissions</w:t>
      </w:r>
    </w:p>
    <w:p w14:paraId="32827999" w14:textId="58C49F72" w:rsidR="003850E2" w:rsidRPr="00FB6695" w:rsidRDefault="003850E2" w:rsidP="00FB6695">
      <w:pPr>
        <w:pStyle w:val="SDMPara"/>
        <w:spacing w:before="60" w:after="60"/>
        <w:ind w:right="159"/>
        <w:rPr>
          <w:rFonts w:eastAsia="Arial"/>
        </w:rPr>
      </w:pPr>
      <w:r w:rsidRPr="00FB6695">
        <w:t>The CLEAR methodology is for cooking energy transitions; based on manufacturer reporting, improved cooking technologies can be assumed to have a technical or operational lifetime of no more than 10 years, and as such no lock-in risks are assumed.</w:t>
      </w:r>
    </w:p>
    <w:p w14:paraId="142FDD25" w14:textId="77777777" w:rsidR="0081322D" w:rsidRPr="00AF6A4E" w:rsidRDefault="00847270" w:rsidP="00BA5A4B">
      <w:pPr>
        <w:pStyle w:val="SDMHead2"/>
      </w:pPr>
      <w:r w:rsidRPr="00AF6A4E">
        <w:t>Investment analysis, Barrier analysis and Common practice analysis</w:t>
      </w:r>
      <w:r w:rsidR="00422E79" w:rsidRPr="00AF6A4E">
        <w:t xml:space="preserve"> </w:t>
      </w:r>
    </w:p>
    <w:p w14:paraId="20EF4D84" w14:textId="7E9AF745" w:rsidR="00847270" w:rsidRDefault="00847270" w:rsidP="00BA5A4B">
      <w:pPr>
        <w:pStyle w:val="SDMHead3"/>
      </w:pPr>
      <w:r>
        <w:t>Investment analysis</w:t>
      </w:r>
    </w:p>
    <w:p w14:paraId="0E2B06AC" w14:textId="77777777" w:rsidR="00FB6695" w:rsidRDefault="006D5D48" w:rsidP="006D5D48">
      <w:pPr>
        <w:pStyle w:val="SDMPara"/>
        <w:shd w:val="clear" w:color="auto" w:fill="FFFFFF" w:themeFill="background1"/>
        <w:spacing w:before="60"/>
        <w:rPr>
          <w:rFonts w:eastAsia="Arial"/>
          <w:color w:val="808080" w:themeColor="background1" w:themeShade="80"/>
        </w:rPr>
      </w:pPr>
      <w:r w:rsidRPr="00FB6695">
        <w:rPr>
          <w:rFonts w:eastAsia="Arial"/>
          <w:color w:val="808080" w:themeColor="background1" w:themeShade="80"/>
        </w:rPr>
        <w:t>The CLEAR methodology does not require an investment analysis (i.e., simple cost analysis, benchmark analysis, or investment comparison analysis) because such approaches are not feasible or appropriate for the majority of cookstove project activities the CLEAR methodology is designed to credit. Cookstove activities are typically implemented at the household level, one of the specific cases where, per paragraph 54 of the</w:t>
      </w:r>
      <w:r w:rsidRPr="00FB6695">
        <w:rPr>
          <w:rFonts w:eastAsia="Montserrat"/>
          <w:color w:val="808080" w:themeColor="background1" w:themeShade="80"/>
        </w:rPr>
        <w:t xml:space="preserve"> </w:t>
      </w:r>
      <w:hyperlink r:id="rId43" w:history="1">
        <w:r w:rsidRPr="00FB6695">
          <w:rPr>
            <w:rStyle w:val="Hyperlink"/>
            <w:rFonts w:eastAsia="Arial"/>
            <w:color w:val="808080" w:themeColor="background1" w:themeShade="80"/>
          </w:rPr>
          <w:t xml:space="preserve">Article 6.4 Standard: </w:t>
        </w:r>
        <w:r w:rsidRPr="00FB6695">
          <w:rPr>
            <w:rStyle w:val="Hyperlink"/>
            <w:rFonts w:eastAsia="Arial"/>
            <w:i/>
            <w:color w:val="808080" w:themeColor="background1" w:themeShade="80"/>
          </w:rPr>
          <w:t>Setting the baseline in mechanism methodologies</w:t>
        </w:r>
      </w:hyperlink>
      <w:r w:rsidRPr="00FB6695">
        <w:rPr>
          <w:rFonts w:eastAsia="Arial"/>
          <w:color w:val="808080" w:themeColor="background1" w:themeShade="80"/>
        </w:rPr>
        <w:t xml:space="preserve"> (Version 02.0), a barrier analysis may be applied as an alternative to investment analysis.</w:t>
      </w:r>
    </w:p>
    <w:p w14:paraId="2897ADB5" w14:textId="77777777" w:rsidR="005A6025" w:rsidRPr="002A00B1" w:rsidRDefault="005A6025" w:rsidP="005A6025">
      <w:pPr>
        <w:pStyle w:val="SDMPara"/>
        <w:numPr>
          <w:ilvl w:val="0"/>
          <w:numId w:val="0"/>
        </w:numPr>
        <w:shd w:val="clear" w:color="auto" w:fill="FFFFFF" w:themeFill="background1"/>
        <w:spacing w:before="60"/>
        <w:ind w:left="709"/>
        <w:rPr>
          <w:rFonts w:eastAsia="Arial"/>
          <w:color w:val="808080" w:themeColor="background1" w:themeShade="80"/>
        </w:rPr>
      </w:pPr>
    </w:p>
    <w:p w14:paraId="39D745CE" w14:textId="77777777" w:rsidR="005A6025" w:rsidRDefault="006D5D48" w:rsidP="005A6025">
      <w:pPr>
        <w:pStyle w:val="SDMPara"/>
        <w:shd w:val="clear" w:color="auto" w:fill="FFFFFF" w:themeFill="background1"/>
        <w:spacing w:before="60"/>
        <w:rPr>
          <w:rFonts w:eastAsia="Arial"/>
          <w:color w:val="808080" w:themeColor="background1" w:themeShade="80"/>
        </w:rPr>
      </w:pPr>
      <w:r w:rsidRPr="00FB6695">
        <w:rPr>
          <w:rFonts w:eastAsia="Arial"/>
          <w:color w:val="808080" w:themeColor="background1" w:themeShade="80"/>
        </w:rPr>
        <w:t>The Clean Cooking and Climate Consortium (4C) considers an investment analysis to be inappropriate to represent additionality in the context of the CLEAR methodology for the following reasons</w:t>
      </w:r>
      <w:r w:rsidR="00FB6695">
        <w:rPr>
          <w:rFonts w:eastAsia="Arial"/>
          <w:color w:val="808080" w:themeColor="background1" w:themeShade="80"/>
        </w:rPr>
        <w:t>:</w:t>
      </w:r>
    </w:p>
    <w:p w14:paraId="7976D318" w14:textId="77777777" w:rsidR="005A6025" w:rsidRPr="005A6025" w:rsidRDefault="006D5D48" w:rsidP="005A6025">
      <w:pPr>
        <w:pStyle w:val="SDMSubPara1"/>
        <w:shd w:val="clear" w:color="auto" w:fill="FFFFFF" w:themeFill="background1"/>
        <w:spacing w:before="60"/>
        <w:rPr>
          <w:rFonts w:eastAsia="Arial"/>
          <w:color w:val="808080" w:themeColor="background1" w:themeShade="80"/>
        </w:rPr>
      </w:pPr>
      <w:r w:rsidRPr="005A6025">
        <w:rPr>
          <w:rFonts w:eastAsia="Arial"/>
          <w:color w:val="808080" w:themeColor="background1" w:themeShade="80"/>
        </w:rPr>
        <w:t xml:space="preserve">Simple cost analysis, per the </w:t>
      </w:r>
      <w:hyperlink r:id="rId44" w:history="1">
        <w:r w:rsidRPr="005A6025">
          <w:rPr>
            <w:rStyle w:val="Hyperlink"/>
            <w:rFonts w:eastAsia="Arial"/>
            <w:color w:val="808080" w:themeColor="background1" w:themeShade="80"/>
          </w:rPr>
          <w:t xml:space="preserve">Article 6.4 Standard: </w:t>
        </w:r>
        <w:r w:rsidRPr="005A6025">
          <w:rPr>
            <w:rStyle w:val="Hyperlink"/>
            <w:rFonts w:eastAsia="Arial"/>
            <w:i/>
            <w:color w:val="808080" w:themeColor="background1" w:themeShade="80"/>
          </w:rPr>
          <w:t>Demonstration of additionality in mechanism methodologies</w:t>
        </w:r>
      </w:hyperlink>
      <w:r w:rsidRPr="005A6025">
        <w:rPr>
          <w:rFonts w:eastAsia="Arial"/>
          <w:color w:val="808080" w:themeColor="background1" w:themeShade="80"/>
        </w:rPr>
        <w:t xml:space="preserve">, requires demonstrating that the implementation of the carbon project is associated with costs and does not generate any cost savings or revenues other than from carbon credits. This is not suitable for </w:t>
      </w:r>
      <w:r w:rsidRPr="005A6025">
        <w:rPr>
          <w:rFonts w:eastAsia="Arial"/>
          <w:color w:val="808080" w:themeColor="background1" w:themeShade="80"/>
        </w:rPr>
        <w:lastRenderedPageBreak/>
        <w:t>cookstove projects, as many generate modest revenues, such as partial cost recovery from cookstove or fuel sales. While these revenues are generally insufficient to make the project financially viable, they would disqualify the project under a simple cost analysis, even though the project still depends on carbon finance to exist or scale.</w:t>
      </w:r>
    </w:p>
    <w:p w14:paraId="5E8D2E9C" w14:textId="77777777" w:rsidR="005A6025" w:rsidRPr="002A00B1" w:rsidRDefault="006D5D48" w:rsidP="005A6025">
      <w:pPr>
        <w:pStyle w:val="SDMSubPara1"/>
        <w:shd w:val="clear" w:color="auto" w:fill="FFFFFF" w:themeFill="background1"/>
        <w:spacing w:before="60"/>
        <w:rPr>
          <w:rFonts w:eastAsia="Arial"/>
          <w:color w:val="808080" w:themeColor="background1" w:themeShade="80"/>
        </w:rPr>
      </w:pPr>
      <w:r w:rsidRPr="005A6025">
        <w:rPr>
          <w:rFonts w:eastAsia="Arial"/>
          <w:color w:val="808080" w:themeColor="background1" w:themeShade="80"/>
        </w:rPr>
        <w:t>Benchmark analysis involves comparing a project’s financial performance against a financial benchmark, such as the internal rate of return (IRR). However, cookstove projects often lack clear, centralized cash flows and are not implemented with the goal of achieving a financial return. Many are implemented by non-profit entities or social enterprises, which focus on public health and environmental outcomes rather than profit maximization.</w:t>
      </w:r>
    </w:p>
    <w:p w14:paraId="69421047" w14:textId="77777777" w:rsidR="006D5D48" w:rsidRPr="005A6025" w:rsidRDefault="006D5D48" w:rsidP="005A6025">
      <w:pPr>
        <w:pStyle w:val="SDMSubPara1"/>
        <w:shd w:val="clear" w:color="auto" w:fill="FFFFFF" w:themeFill="background1"/>
        <w:spacing w:before="60"/>
        <w:rPr>
          <w:rFonts w:eastAsia="Arial"/>
          <w:color w:val="808080" w:themeColor="background1" w:themeShade="80"/>
        </w:rPr>
      </w:pPr>
      <w:r w:rsidRPr="005A6025">
        <w:rPr>
          <w:rFonts w:eastAsia="Arial"/>
          <w:color w:val="808080" w:themeColor="background1" w:themeShade="80"/>
        </w:rPr>
        <w:t xml:space="preserve">Investment comparison analysis requires comparing the project's financial attractiveness against alternative investment options. </w:t>
      </w:r>
      <w:proofErr w:type="gramStart"/>
      <w:r w:rsidRPr="005A6025">
        <w:rPr>
          <w:rFonts w:eastAsia="Arial"/>
          <w:color w:val="808080" w:themeColor="background1" w:themeShade="80"/>
        </w:rPr>
        <w:t>Similar to</w:t>
      </w:r>
      <w:proofErr w:type="gramEnd"/>
      <w:r w:rsidRPr="005A6025">
        <w:rPr>
          <w:rFonts w:eastAsia="Arial"/>
          <w:color w:val="808080" w:themeColor="background1" w:themeShade="80"/>
        </w:rPr>
        <w:t xml:space="preserve"> the benchmark analysis, this is not relevant in the clean cooking sector, where most projects are not structured as commercial investments and do not compete with alternative profit-generating options. Many projects are public-good interventions designed to address energy access, health, and climate challenges, not maximize financial return.</w:t>
      </w:r>
    </w:p>
    <w:p w14:paraId="26776C6E" w14:textId="6D392259" w:rsidR="005A6025" w:rsidRPr="00B33BB6" w:rsidRDefault="006D5D48" w:rsidP="005A6025">
      <w:pPr>
        <w:pStyle w:val="SDMPara"/>
        <w:shd w:val="clear" w:color="auto" w:fill="FFFFFF" w:themeFill="background1"/>
        <w:spacing w:before="240" w:after="240"/>
        <w:rPr>
          <w:rFonts w:eastAsia="Arial"/>
          <w:color w:val="000000" w:themeColor="text1"/>
        </w:rPr>
      </w:pPr>
      <w:r w:rsidRPr="005A6025">
        <w:rPr>
          <w:rFonts w:eastAsia="Arial"/>
          <w:color w:val="808080" w:themeColor="background1" w:themeShade="80"/>
        </w:rPr>
        <w:t xml:space="preserve">While a formal investment analysis </w:t>
      </w:r>
      <w:r w:rsidR="001A7353" w:rsidRPr="005A6025">
        <w:rPr>
          <w:rFonts w:eastAsia="Arial"/>
          <w:color w:val="808080" w:themeColor="background1" w:themeShade="80"/>
        </w:rPr>
        <w:t>is excluded f</w:t>
      </w:r>
      <w:r w:rsidRPr="005A6025">
        <w:rPr>
          <w:rFonts w:eastAsia="Arial"/>
          <w:color w:val="808080" w:themeColor="background1" w:themeShade="80"/>
        </w:rPr>
        <w:t xml:space="preserve">or these reasons, </w:t>
      </w:r>
      <w:r w:rsidR="001A7353" w:rsidRPr="005A6025">
        <w:rPr>
          <w:rFonts w:eastAsia="Arial"/>
          <w:color w:val="000000" w:themeColor="text1"/>
        </w:rPr>
        <w:t xml:space="preserve">CLEAR </w:t>
      </w:r>
      <w:r w:rsidRPr="005A6025">
        <w:rPr>
          <w:rFonts w:eastAsia="Arial"/>
          <w:color w:val="000000" w:themeColor="text1"/>
        </w:rPr>
        <w:t>requires project proponents to include financial viability information, specifically:</w:t>
      </w:r>
    </w:p>
    <w:p w14:paraId="4E877C5F" w14:textId="77777777" w:rsidR="005A6025" w:rsidRPr="00B33BB6" w:rsidRDefault="006D5D48" w:rsidP="005A6025">
      <w:pPr>
        <w:pStyle w:val="SDMSubPara1"/>
        <w:shd w:val="clear" w:color="auto" w:fill="FFFFFF" w:themeFill="background1"/>
        <w:spacing w:before="240" w:after="240"/>
        <w:rPr>
          <w:rFonts w:eastAsia="Arial"/>
          <w:color w:val="000000" w:themeColor="text1"/>
        </w:rPr>
      </w:pPr>
      <w:r w:rsidRPr="005A6025">
        <w:rPr>
          <w:rFonts w:eastAsia="Arial"/>
          <w:color w:val="000000" w:themeColor="text1"/>
        </w:rPr>
        <w:t>The increase in financial viability through carbon credit revenues (e.g., being able to reduce cookstove costs, being able to conduct awareness campaigns to convince the population to adopt the cookstove, secure financing, etc.); and</w:t>
      </w:r>
    </w:p>
    <w:p w14:paraId="2B33131A" w14:textId="38573AE6" w:rsidR="006D5D48" w:rsidRPr="005A6025" w:rsidRDefault="006D5D48" w:rsidP="006D5D48">
      <w:pPr>
        <w:pStyle w:val="SDMSubPara1"/>
        <w:shd w:val="clear" w:color="auto" w:fill="FFFFFF" w:themeFill="background1"/>
        <w:spacing w:before="240" w:after="240"/>
        <w:rPr>
          <w:rFonts w:eastAsia="Arial"/>
          <w:color w:val="000000" w:themeColor="text1"/>
        </w:rPr>
      </w:pPr>
      <w:r w:rsidRPr="005A6025">
        <w:rPr>
          <w:rFonts w:eastAsia="Arial"/>
          <w:color w:val="000000" w:themeColor="text1"/>
        </w:rPr>
        <w:t>The financial viability with and without carbon credit revenues, to show that the activity depends on carbon finance to happen.</w:t>
      </w:r>
    </w:p>
    <w:p w14:paraId="6170A29C" w14:textId="77777777" w:rsidR="005A6025" w:rsidRPr="00B33BB6" w:rsidRDefault="006D5D48" w:rsidP="006D5D48">
      <w:pPr>
        <w:pStyle w:val="SDMPara"/>
        <w:pBdr>
          <w:top w:val="nil"/>
          <w:left w:val="nil"/>
          <w:bottom w:val="nil"/>
          <w:right w:val="nil"/>
          <w:between w:val="nil"/>
        </w:pBdr>
        <w:tabs>
          <w:tab w:val="left" w:pos="510"/>
        </w:tabs>
        <w:spacing w:before="60" w:after="60"/>
        <w:rPr>
          <w:rFonts w:eastAsia="Arial"/>
          <w:color w:val="000000" w:themeColor="text1"/>
        </w:rPr>
      </w:pPr>
      <w:r w:rsidRPr="005A6025">
        <w:rPr>
          <w:rFonts w:eastAsia="Arial"/>
          <w:color w:val="000000" w:themeColor="text1"/>
        </w:rPr>
        <w:t>A suitable financial indicator for the financial viability of an Article 6.4 activity shall be used, such as the net present value or internal rate of return.</w:t>
      </w:r>
    </w:p>
    <w:p w14:paraId="391B3687" w14:textId="77777777" w:rsidR="005A6025" w:rsidRPr="00B33BB6" w:rsidRDefault="005A6025" w:rsidP="005A6025">
      <w:pPr>
        <w:pStyle w:val="SDMPara"/>
        <w:numPr>
          <w:ilvl w:val="0"/>
          <w:numId w:val="0"/>
        </w:numPr>
        <w:pBdr>
          <w:top w:val="nil"/>
          <w:left w:val="nil"/>
          <w:bottom w:val="nil"/>
          <w:right w:val="nil"/>
          <w:between w:val="nil"/>
        </w:pBdr>
        <w:tabs>
          <w:tab w:val="left" w:pos="510"/>
        </w:tabs>
        <w:spacing w:before="60" w:after="60"/>
        <w:ind w:left="709"/>
        <w:rPr>
          <w:rFonts w:eastAsia="Arial"/>
          <w:color w:val="000000" w:themeColor="text1"/>
        </w:rPr>
      </w:pPr>
    </w:p>
    <w:p w14:paraId="6407BC8C" w14:textId="418EE53B" w:rsidR="006D5D48" w:rsidRPr="005A6025" w:rsidRDefault="006D5D48" w:rsidP="006D5D48">
      <w:pPr>
        <w:pStyle w:val="SDMPara"/>
        <w:pBdr>
          <w:top w:val="nil"/>
          <w:left w:val="nil"/>
          <w:bottom w:val="nil"/>
          <w:right w:val="nil"/>
          <w:between w:val="nil"/>
        </w:pBdr>
        <w:tabs>
          <w:tab w:val="left" w:pos="510"/>
        </w:tabs>
        <w:spacing w:before="60" w:after="60"/>
        <w:rPr>
          <w:rFonts w:eastAsia="Arial"/>
          <w:color w:val="000000" w:themeColor="text1"/>
        </w:rPr>
      </w:pPr>
      <w:r w:rsidRPr="005A6025">
        <w:rPr>
          <w:rFonts w:eastAsia="Arial"/>
          <w:color w:val="808080" w:themeColor="background1" w:themeShade="80"/>
        </w:rPr>
        <w:t>As described in the section below, the CLEAR methodology also includes a barrier analysis, which is better suited to the clean cooking sector and more accurately reflects the constraints that prevent these projects from being implemented in the absence of carbon finance.</w:t>
      </w:r>
    </w:p>
    <w:p w14:paraId="7FED908E" w14:textId="0ED648BD" w:rsidR="00847270" w:rsidRDefault="00847270" w:rsidP="00BA5A4B">
      <w:pPr>
        <w:pStyle w:val="SDMHead3"/>
      </w:pPr>
      <w:r>
        <w:t>Barrier analysis</w:t>
      </w:r>
    </w:p>
    <w:p w14:paraId="763C4AD9" w14:textId="77777777" w:rsidR="0095191B" w:rsidRDefault="002E2E3B" w:rsidP="0095191B">
      <w:pPr>
        <w:pStyle w:val="SDMPara"/>
        <w:spacing w:line="259" w:lineRule="auto"/>
        <w:ind w:right="159"/>
      </w:pPr>
      <w:r w:rsidRPr="0095191B">
        <w:t>Under the CLEAR methodology, project proponents shall conduct a barrier analysis. Barriers may include:</w:t>
      </w:r>
    </w:p>
    <w:p w14:paraId="1FD24DC2" w14:textId="77777777" w:rsidR="0095191B" w:rsidRDefault="002E2E3B" w:rsidP="0095191B">
      <w:pPr>
        <w:pStyle w:val="SDMSubPara1"/>
        <w:spacing w:line="259" w:lineRule="auto"/>
        <w:ind w:right="159"/>
      </w:pPr>
      <w:r w:rsidRPr="0095191B">
        <w:t xml:space="preserve">Knowledge barriers, such as lack of awareness of the health risks associated with using traditional cookstoves and fuels for </w:t>
      </w:r>
      <w:proofErr w:type="gramStart"/>
      <w:r w:rsidRPr="0095191B">
        <w:t>cooking;</w:t>
      </w:r>
      <w:proofErr w:type="gramEnd"/>
    </w:p>
    <w:p w14:paraId="02BD6683" w14:textId="77777777" w:rsidR="0095191B" w:rsidRPr="00B33BB6" w:rsidRDefault="002E2E3B" w:rsidP="0095191B">
      <w:pPr>
        <w:pStyle w:val="SDMSubPara1"/>
        <w:spacing w:line="259" w:lineRule="auto"/>
        <w:ind w:right="159"/>
      </w:pPr>
      <w:r w:rsidRPr="0095191B">
        <w:t xml:space="preserve">Financial barriers, specifically, the inability of households to afford transitioning to clean cooking solutions without the use of carbon revenue to reduce the upfront cost of cookstove acquisition and/or ongoing fuel </w:t>
      </w:r>
      <w:proofErr w:type="gramStart"/>
      <w:r w:rsidRPr="0095191B">
        <w:t>costs;</w:t>
      </w:r>
      <w:proofErr w:type="gramEnd"/>
    </w:p>
    <w:p w14:paraId="371250A2" w14:textId="77777777" w:rsidR="0095191B" w:rsidRPr="00B33BB6" w:rsidRDefault="002E2E3B" w:rsidP="0095191B">
      <w:pPr>
        <w:pStyle w:val="SDMSubPara1"/>
        <w:spacing w:line="259" w:lineRule="auto"/>
        <w:ind w:right="159"/>
      </w:pPr>
      <w:r w:rsidRPr="0095191B">
        <w:t xml:space="preserve">Infrastructural barriers, namely gaps in the supply of efficient technologies, access to operation and maintenance support and repairs, and fuel supply </w:t>
      </w:r>
      <w:r w:rsidRPr="0095191B">
        <w:lastRenderedPageBreak/>
        <w:t>chains that may depend on carbon projects to arrange and facilitate access; and</w:t>
      </w:r>
    </w:p>
    <w:p w14:paraId="54AC34AA" w14:textId="77777777" w:rsidR="002E2E3B" w:rsidRPr="0095191B" w:rsidRDefault="002E2E3B" w:rsidP="0095191B">
      <w:pPr>
        <w:pStyle w:val="SDMSubPara1"/>
        <w:spacing w:line="259" w:lineRule="auto"/>
        <w:ind w:right="159"/>
      </w:pPr>
      <w:r w:rsidRPr="0095191B">
        <w:t>Institutional, such as the inability of project proponents to service last-mile customers without additional funding.</w:t>
      </w:r>
    </w:p>
    <w:p w14:paraId="6D6D381E" w14:textId="77777777" w:rsidR="002E2E3B" w:rsidRPr="00B33BB6" w:rsidRDefault="002E2E3B" w:rsidP="002E2E3B">
      <w:pPr>
        <w:spacing w:line="259" w:lineRule="auto"/>
        <w:ind w:right="159"/>
        <w:rPr>
          <w:rFonts w:eastAsia="Arial" w:cs="Arial"/>
          <w:color w:val="333333"/>
          <w:szCs w:val="22"/>
        </w:rPr>
      </w:pPr>
    </w:p>
    <w:p w14:paraId="120ED95A" w14:textId="77777777" w:rsidR="002E2E3B" w:rsidRPr="0095191B" w:rsidRDefault="002E2E3B" w:rsidP="0095191B">
      <w:pPr>
        <w:pStyle w:val="SDMPara"/>
        <w:spacing w:line="259" w:lineRule="auto"/>
        <w:ind w:right="159"/>
        <w:rPr>
          <w:rFonts w:eastAsia="Arial"/>
          <w:color w:val="000000" w:themeColor="text1"/>
        </w:rPr>
      </w:pPr>
      <w:r w:rsidRPr="0095191B">
        <w:rPr>
          <w:rFonts w:eastAsia="Arial"/>
          <w:color w:val="000000" w:themeColor="text1"/>
        </w:rPr>
        <w:t>Barriers that are unique to a proposed Article 6.4 project may only be used if the proposed activity depends on inputs that are proprietary to the project proponent, such that it can only be implemented by the project proponent.</w:t>
      </w:r>
    </w:p>
    <w:p w14:paraId="5EB50E50" w14:textId="77777777" w:rsidR="002E2E3B" w:rsidRPr="00707139" w:rsidRDefault="002E2E3B" w:rsidP="002E2E3B">
      <w:pPr>
        <w:spacing w:line="259" w:lineRule="auto"/>
        <w:ind w:right="159"/>
        <w:rPr>
          <w:rFonts w:ascii="Segoe UI" w:eastAsia="Segoe UI" w:hAnsi="Segoe UI" w:cs="Segoe UI"/>
          <w:i/>
          <w:iCs/>
          <w:color w:val="000000" w:themeColor="text1"/>
          <w:sz w:val="18"/>
          <w:szCs w:val="18"/>
        </w:rPr>
      </w:pPr>
    </w:p>
    <w:p w14:paraId="08490575" w14:textId="48100E67" w:rsidR="0095191B" w:rsidRPr="0095191B" w:rsidRDefault="002E2E3B" w:rsidP="0095191B">
      <w:pPr>
        <w:pStyle w:val="SDMPara"/>
        <w:spacing w:line="259" w:lineRule="auto"/>
        <w:ind w:right="159"/>
        <w:rPr>
          <w:rFonts w:eastAsia="Arial"/>
          <w:color w:val="000000" w:themeColor="text1"/>
        </w:rPr>
      </w:pPr>
      <w:r w:rsidRPr="0095191B">
        <w:rPr>
          <w:rFonts w:eastAsia="Arial"/>
          <w:color w:val="000000" w:themeColor="text1"/>
        </w:rPr>
        <w:t>The barrier analysis shall include the following components:</w:t>
      </w:r>
    </w:p>
    <w:p w14:paraId="0162EE33" w14:textId="77777777" w:rsidR="0095191B" w:rsidRPr="00707139" w:rsidRDefault="002E2E3B" w:rsidP="0095191B">
      <w:pPr>
        <w:pStyle w:val="SDMSubPara1"/>
        <w:spacing w:line="259" w:lineRule="auto"/>
        <w:ind w:right="159"/>
        <w:rPr>
          <w:rFonts w:eastAsia="Arial"/>
          <w:color w:val="000000" w:themeColor="text1"/>
        </w:rPr>
      </w:pPr>
      <w:r w:rsidRPr="0095191B">
        <w:rPr>
          <w:rFonts w:eastAsia="Arial"/>
          <w:color w:val="000000" w:themeColor="text1"/>
        </w:rPr>
        <w:t xml:space="preserve">Identify and describe relevant barriers faced by the proposed </w:t>
      </w:r>
      <w:proofErr w:type="gramStart"/>
      <w:r w:rsidRPr="0095191B">
        <w:rPr>
          <w:rFonts w:eastAsia="Arial"/>
          <w:color w:val="000000" w:themeColor="text1"/>
        </w:rPr>
        <w:t>project;</w:t>
      </w:r>
      <w:proofErr w:type="gramEnd"/>
    </w:p>
    <w:p w14:paraId="4B58DEA3" w14:textId="02AC690A" w:rsidR="0095191B" w:rsidRPr="00707139" w:rsidRDefault="002E2E3B" w:rsidP="0095191B">
      <w:pPr>
        <w:pStyle w:val="SDMSubPara1"/>
        <w:spacing w:line="259" w:lineRule="auto"/>
        <w:ind w:right="159"/>
        <w:rPr>
          <w:rFonts w:eastAsia="Arial"/>
          <w:color w:val="000000" w:themeColor="text1"/>
        </w:rPr>
      </w:pPr>
      <w:r w:rsidRPr="0095191B">
        <w:rPr>
          <w:rFonts w:eastAsia="Arial"/>
          <w:color w:val="000000" w:themeColor="text1"/>
        </w:rPr>
        <w:t xml:space="preserve">Demonstrate that the barriers prevent cooking energy emissions from being reduced without carbon credit </w:t>
      </w:r>
      <w:proofErr w:type="gramStart"/>
      <w:r w:rsidRPr="0095191B">
        <w:rPr>
          <w:rFonts w:eastAsia="Arial"/>
          <w:color w:val="000000" w:themeColor="text1"/>
        </w:rPr>
        <w:t>revenues;</w:t>
      </w:r>
      <w:proofErr w:type="gramEnd"/>
    </w:p>
    <w:p w14:paraId="1526AC08" w14:textId="4EA9F467" w:rsidR="0095191B" w:rsidRDefault="002E2E3B" w:rsidP="0095191B">
      <w:pPr>
        <w:pStyle w:val="SDMSubPara1"/>
        <w:spacing w:line="259" w:lineRule="auto"/>
        <w:ind w:right="159"/>
        <w:rPr>
          <w:rFonts w:eastAsia="Arial"/>
          <w:color w:val="000000" w:themeColor="text1"/>
        </w:rPr>
      </w:pPr>
      <w:r w:rsidRPr="0095191B">
        <w:rPr>
          <w:rFonts w:eastAsia="Arial"/>
          <w:color w:val="000000" w:themeColor="text1"/>
        </w:rPr>
        <w:t>Demonstrate that there are no other programs or incentives, such as subsidies, that would incentivize this activity;</w:t>
      </w:r>
      <w:r w:rsidR="0095191B">
        <w:rPr>
          <w:rFonts w:eastAsia="Arial"/>
          <w:color w:val="000000" w:themeColor="text1"/>
        </w:rPr>
        <w:t xml:space="preserve"> and</w:t>
      </w:r>
    </w:p>
    <w:p w14:paraId="649262D8" w14:textId="604BD05D" w:rsidR="002E2E3B" w:rsidRPr="0095191B" w:rsidRDefault="002E2E3B" w:rsidP="0095191B">
      <w:pPr>
        <w:pStyle w:val="SDMSubPara1"/>
        <w:spacing w:line="259" w:lineRule="auto"/>
        <w:ind w:right="159"/>
        <w:rPr>
          <w:rFonts w:eastAsia="Arial"/>
          <w:color w:val="000000" w:themeColor="text1"/>
        </w:rPr>
      </w:pPr>
      <w:r w:rsidRPr="0095191B">
        <w:rPr>
          <w:rFonts w:eastAsia="Arial"/>
          <w:color w:val="000000" w:themeColor="text1"/>
        </w:rPr>
        <w:t xml:space="preserve">Demonstrate that the incentives from the carbon credits, such as free or </w:t>
      </w:r>
      <w:proofErr w:type="gramStart"/>
      <w:r w:rsidRPr="0095191B">
        <w:rPr>
          <w:rFonts w:eastAsia="Arial"/>
          <w:color w:val="000000" w:themeColor="text1"/>
        </w:rPr>
        <w:t>reduced price</w:t>
      </w:r>
      <w:proofErr w:type="gramEnd"/>
      <w:r w:rsidRPr="0095191B">
        <w:rPr>
          <w:rFonts w:eastAsia="Arial"/>
          <w:color w:val="000000" w:themeColor="text1"/>
        </w:rPr>
        <w:t xml:space="preserve"> cooking technologies and/or fuels, are the determinant element in overcoming the identified </w:t>
      </w:r>
      <w:proofErr w:type="gramStart"/>
      <w:r w:rsidRPr="0095191B">
        <w:rPr>
          <w:rFonts w:eastAsia="Arial"/>
          <w:color w:val="000000" w:themeColor="text1"/>
        </w:rPr>
        <w:t>barriers;</w:t>
      </w:r>
      <w:proofErr w:type="gramEnd"/>
      <w:r w:rsidRPr="0095191B">
        <w:rPr>
          <w:rFonts w:eastAsia="Arial"/>
          <w:color w:val="000000" w:themeColor="text1"/>
        </w:rPr>
        <w:t xml:space="preserve"> </w:t>
      </w:r>
    </w:p>
    <w:p w14:paraId="5EE6F1B3" w14:textId="77777777" w:rsidR="0095191B" w:rsidRPr="00B33BB6" w:rsidRDefault="002E2E3B" w:rsidP="002E2E3B">
      <w:pPr>
        <w:pStyle w:val="SDMPara"/>
        <w:spacing w:line="259" w:lineRule="auto"/>
        <w:rPr>
          <w:rFonts w:eastAsia="Arial"/>
          <w:color w:val="000000" w:themeColor="text1"/>
        </w:rPr>
      </w:pPr>
      <w:r w:rsidRPr="0095191B">
        <w:rPr>
          <w:rFonts w:eastAsia="Arial"/>
          <w:color w:val="000000" w:themeColor="text1"/>
        </w:rPr>
        <w:t>In the case of cooking projects, the plausible alternative to the Article 6.4 activity that does not face barriers is assumed to be the continuation of the pre-activity scenario.</w:t>
      </w:r>
    </w:p>
    <w:p w14:paraId="33845017" w14:textId="77777777" w:rsidR="0095191B" w:rsidRPr="00B33BB6" w:rsidRDefault="002E2E3B" w:rsidP="0095191B">
      <w:pPr>
        <w:pStyle w:val="SDMPara"/>
        <w:spacing w:line="259" w:lineRule="auto"/>
        <w:rPr>
          <w:rFonts w:eastAsia="Arial"/>
          <w:color w:val="000000" w:themeColor="text1"/>
        </w:rPr>
      </w:pPr>
      <w:r w:rsidRPr="0095191B">
        <w:rPr>
          <w:rFonts w:eastAsia="Arial"/>
          <w:color w:val="000000" w:themeColor="text1"/>
        </w:rPr>
        <w:t>The barrier analysis shall be supported by credible evidence. Such evidence may include independent studies, publicly available surveys, relevant verifiable market data, household survey data, or data from national or international statistics but shall not include anecdotal evidence. The evidence shall be interpreted in a conservative manner (i.e., that it is unlikely that the effect of the barrier is overestimated).</w:t>
      </w:r>
    </w:p>
    <w:p w14:paraId="6B03515C" w14:textId="75243C01" w:rsidR="002E2E3B" w:rsidRPr="0095191B" w:rsidRDefault="002E2E3B" w:rsidP="0095191B">
      <w:pPr>
        <w:pStyle w:val="SDMPara"/>
        <w:spacing w:line="259" w:lineRule="auto"/>
        <w:rPr>
          <w:rFonts w:eastAsia="Arial"/>
          <w:color w:val="000000" w:themeColor="text1"/>
        </w:rPr>
      </w:pPr>
      <w:r w:rsidRPr="0095191B">
        <w:t xml:space="preserve">For crediting period renewals, project proponents must demonstrate that the identified barriers </w:t>
      </w:r>
      <w:proofErr w:type="gramStart"/>
      <w:r w:rsidRPr="0095191B">
        <w:t>still persist</w:t>
      </w:r>
      <w:proofErr w:type="gramEnd"/>
      <w:r w:rsidRPr="0095191B">
        <w:t>, and that carbon finance remains necessary to overcome them.</w:t>
      </w:r>
    </w:p>
    <w:p w14:paraId="23BC29F0" w14:textId="624E924D" w:rsidR="00847270" w:rsidRDefault="00847270" w:rsidP="00BA5A4B">
      <w:pPr>
        <w:pStyle w:val="SDMHead3"/>
      </w:pPr>
      <w:r>
        <w:t>Common practice analysis</w:t>
      </w:r>
    </w:p>
    <w:p w14:paraId="79BE0BB0" w14:textId="77777777" w:rsidR="00B03A8B" w:rsidRDefault="000D38BC" w:rsidP="00B03A8B">
      <w:pPr>
        <w:pStyle w:val="SDMPara"/>
        <w:rPr>
          <w:color w:val="000000"/>
        </w:rPr>
      </w:pPr>
      <w:r w:rsidRPr="0095191B">
        <w:rPr>
          <w:color w:val="000000"/>
        </w:rPr>
        <w:t>Project proponents shall conduct a common practice analysis. Common practice shall be assessed using the</w:t>
      </w:r>
      <w:r w:rsidRPr="0095191B">
        <w:rPr>
          <w:rStyle w:val="apple-converted-space"/>
          <w:color w:val="000000"/>
        </w:rPr>
        <w:t> </w:t>
      </w:r>
      <w:r w:rsidRPr="0095191B">
        <w:rPr>
          <w:rStyle w:val="Strong"/>
          <w:color w:val="000000"/>
        </w:rPr>
        <w:t>Market Penetration Method</w:t>
      </w:r>
      <w:r w:rsidRPr="0095191B">
        <w:rPr>
          <w:rStyle w:val="apple-converted-space"/>
          <w:color w:val="000000"/>
        </w:rPr>
        <w:t> </w:t>
      </w:r>
      <w:r w:rsidRPr="0095191B">
        <w:rPr>
          <w:color w:val="000000"/>
        </w:rPr>
        <w:t>(corresponding to</w:t>
      </w:r>
      <w:r w:rsidRPr="0095191B">
        <w:rPr>
          <w:rStyle w:val="apple-converted-space"/>
          <w:color w:val="000000"/>
        </w:rPr>
        <w:t> </w:t>
      </w:r>
      <w:r w:rsidRPr="0095191B">
        <w:rPr>
          <w:rStyle w:val="Emphasis"/>
          <w:color w:val="000000"/>
        </w:rPr>
        <w:t>Approach B</w:t>
      </w:r>
      <w:r w:rsidRPr="0095191B">
        <w:rPr>
          <w:rStyle w:val="apple-converted-space"/>
          <w:color w:val="000000"/>
        </w:rPr>
        <w:t> </w:t>
      </w:r>
      <w:r w:rsidRPr="0095191B">
        <w:rPr>
          <w:color w:val="000000"/>
        </w:rPr>
        <w:t xml:space="preserve">in the </w:t>
      </w:r>
      <w:hyperlink r:id="rId45" w:history="1">
        <w:r w:rsidRPr="0095191B">
          <w:rPr>
            <w:rStyle w:val="Hyperlink"/>
          </w:rPr>
          <w:t>draft Article 6.4 Common Practice Tool</w:t>
        </w:r>
      </w:hyperlink>
      <w:r w:rsidRPr="0095191B">
        <w:rPr>
          <w:color w:val="000000"/>
        </w:rPr>
        <w:t>), using the following steps.</w:t>
      </w:r>
    </w:p>
    <w:p w14:paraId="665DE335" w14:textId="42418995" w:rsidR="00B03A8B" w:rsidRPr="00B33BB6" w:rsidRDefault="000D38BC" w:rsidP="00B03A8B">
      <w:pPr>
        <w:pStyle w:val="SDMSubPara1"/>
        <w:rPr>
          <w:color w:val="000000"/>
        </w:rPr>
      </w:pPr>
      <w:r w:rsidRPr="00B03A8B">
        <w:rPr>
          <w:rStyle w:val="Strong"/>
          <w:color w:val="000000"/>
          <w:u w:val="single"/>
        </w:rPr>
        <w:t>Define the applicable geographical area</w:t>
      </w:r>
      <w:r w:rsidR="00B03A8B">
        <w:rPr>
          <w:rStyle w:val="Strong"/>
          <w:color w:val="000000"/>
          <w:u w:val="single"/>
        </w:rPr>
        <w:t xml:space="preserve"> for the common practice analysis</w:t>
      </w:r>
      <w:r w:rsidRPr="00B03A8B">
        <w:rPr>
          <w:color w:val="000000"/>
          <w:u w:val="single"/>
        </w:rPr>
        <w:t xml:space="preserve">. </w:t>
      </w:r>
      <w:r w:rsidRPr="00B03A8B">
        <w:rPr>
          <w:color w:val="000000"/>
        </w:rPr>
        <w:t xml:space="preserve">The applicable geographical area shall by default be the host country of the project activity, with results disaggregated by urban and rural households. For projects implemented in urban settings, only the national-level urban market penetration rate shall be used; for projects implemented in rural settings, only the national-level rural market penetration rate shall be used. Where credible, recent and representative data are available at a more detailed sub-national level, the analysis may be conducted using that sub-regional geographical area. </w:t>
      </w:r>
      <w:r w:rsidRPr="00B33BB6">
        <w:rPr>
          <w:rStyle w:val="Strong"/>
          <w:color w:val="000000"/>
        </w:rPr>
        <w:t xml:space="preserve">Project </w:t>
      </w:r>
      <w:r w:rsidRPr="00B33BB6">
        <w:rPr>
          <w:rStyle w:val="Strong"/>
          <w:color w:val="000000"/>
        </w:rPr>
        <w:lastRenderedPageBreak/>
        <w:t xml:space="preserve">proponents may also disaggregate results by wealth quintiles or other nationally recognized income/wealth indices (such as those available in DHS surveys), where such data are available and credible, </w:t>
      </w:r>
      <w:proofErr w:type="gramStart"/>
      <w:r w:rsidRPr="00B33BB6">
        <w:rPr>
          <w:rStyle w:val="Strong"/>
          <w:color w:val="000000"/>
        </w:rPr>
        <w:t>in order to</w:t>
      </w:r>
      <w:proofErr w:type="gramEnd"/>
      <w:r w:rsidRPr="00B33BB6">
        <w:rPr>
          <w:rStyle w:val="Strong"/>
          <w:color w:val="000000"/>
        </w:rPr>
        <w:t xml:space="preserve"> better reflect affordability barriers to adoption for the target population.</w:t>
      </w:r>
    </w:p>
    <w:p w14:paraId="3AE25700" w14:textId="6747DF1C" w:rsidR="00B03A8B" w:rsidRPr="00B03A8B" w:rsidRDefault="000D38BC" w:rsidP="00B03A8B">
      <w:pPr>
        <w:pStyle w:val="SDMSubPara1"/>
        <w:rPr>
          <w:color w:val="000000"/>
        </w:rPr>
      </w:pPr>
      <w:r w:rsidRPr="00B03A8B">
        <w:rPr>
          <w:rStyle w:val="Strong"/>
          <w:color w:val="000000" w:themeColor="text1"/>
          <w:u w:val="single"/>
        </w:rPr>
        <w:t>Calculate the indicator of common practice</w:t>
      </w:r>
      <w:r w:rsidRPr="00B03A8B">
        <w:rPr>
          <w:b/>
          <w:color w:val="000000" w:themeColor="text1"/>
          <w:u w:val="single"/>
        </w:rPr>
        <w:t>.</w:t>
      </w:r>
      <w:r w:rsidRPr="00B03A8B">
        <w:rPr>
          <w:color w:val="000000" w:themeColor="text1"/>
        </w:rPr>
        <w:t xml:space="preserve"> The indicator is</w:t>
      </w:r>
      <w:r w:rsidR="00B03A8B">
        <w:rPr>
          <w:color w:val="000000" w:themeColor="text1"/>
        </w:rPr>
        <w:t xml:space="preserve"> count-</w:t>
      </w:r>
      <w:proofErr w:type="gramStart"/>
      <w:r w:rsidR="00B03A8B">
        <w:rPr>
          <w:color w:val="000000" w:themeColor="text1"/>
        </w:rPr>
        <w:t>based</w:t>
      </w:r>
      <w:r w:rsidRPr="00B03A8B">
        <w:rPr>
          <w:rStyle w:val="apple-converted-space"/>
          <w:color w:val="000000" w:themeColor="text1"/>
        </w:rPr>
        <w:t> </w:t>
      </w:r>
      <w:r w:rsidR="00B03A8B" w:rsidRPr="00B03A8B">
        <w:rPr>
          <w:color w:val="000000" w:themeColor="text1"/>
        </w:rPr>
        <w:t xml:space="preserve"> </w:t>
      </w:r>
      <w:r w:rsidRPr="00B03A8B">
        <w:rPr>
          <w:color w:val="000000" w:themeColor="text1"/>
        </w:rPr>
        <w:t>and</w:t>
      </w:r>
      <w:proofErr w:type="gramEnd"/>
      <w:r w:rsidRPr="00B03A8B">
        <w:rPr>
          <w:color w:val="000000" w:themeColor="text1"/>
        </w:rPr>
        <w:t xml:space="preserve"> calculated as the number of households in the target population with a functional technology that is equivalent to the project technology within the applicable geographical area (as defined in Step 1), not including those provided through carbon finance. An equivalent technology is one that meets </w:t>
      </w:r>
      <w:proofErr w:type="gramStart"/>
      <w:r w:rsidRPr="00B03A8B">
        <w:rPr>
          <w:color w:val="000000" w:themeColor="text1"/>
        </w:rPr>
        <w:t>all of</w:t>
      </w:r>
      <w:proofErr w:type="gramEnd"/>
      <w:r w:rsidRPr="00B03A8B">
        <w:rPr>
          <w:color w:val="000000" w:themeColor="text1"/>
        </w:rPr>
        <w:t xml:space="preserve"> the following criteria:</w:t>
      </w:r>
    </w:p>
    <w:p w14:paraId="18306050" w14:textId="77777777" w:rsidR="00B03A8B" w:rsidRDefault="000D38BC" w:rsidP="00B03A8B">
      <w:pPr>
        <w:pStyle w:val="SDMSubPara2"/>
        <w:rPr>
          <w:color w:val="000000"/>
        </w:rPr>
      </w:pPr>
      <w:r w:rsidRPr="00B03A8B">
        <w:rPr>
          <w:color w:val="000000"/>
        </w:rPr>
        <w:t xml:space="preserve">Accomplishes the same cooking tasks as the project </w:t>
      </w:r>
      <w:proofErr w:type="gramStart"/>
      <w:r w:rsidRPr="00B03A8B">
        <w:rPr>
          <w:color w:val="000000"/>
        </w:rPr>
        <w:t>technology;</w:t>
      </w:r>
      <w:proofErr w:type="gramEnd"/>
    </w:p>
    <w:p w14:paraId="12EB9137" w14:textId="77777777" w:rsidR="00B03A8B" w:rsidRDefault="000D38BC" w:rsidP="00B03A8B">
      <w:pPr>
        <w:pStyle w:val="SDMSubPara2"/>
        <w:rPr>
          <w:color w:val="000000"/>
        </w:rPr>
      </w:pPr>
      <w:r w:rsidRPr="00B03A8B">
        <w:rPr>
          <w:color w:val="000000"/>
        </w:rPr>
        <w:t>Has a thermal efficiency within ±10% of the project technology’s thermal efficiency; and</w:t>
      </w:r>
    </w:p>
    <w:p w14:paraId="03EEA43F" w14:textId="3371B130" w:rsidR="00B03A8B" w:rsidRPr="00B33BB6" w:rsidRDefault="000D38BC" w:rsidP="00B03A8B">
      <w:pPr>
        <w:pStyle w:val="SDMSubPara2"/>
        <w:rPr>
          <w:rStyle w:val="Strong"/>
          <w:b w:val="0"/>
          <w:color w:val="000000"/>
        </w:rPr>
      </w:pPr>
      <w:r w:rsidRPr="00B03A8B">
        <w:rPr>
          <w:color w:val="000000"/>
        </w:rPr>
        <w:t>Uses the same fuel(s).</w:t>
      </w:r>
    </w:p>
    <w:p w14:paraId="751FB01E" w14:textId="21A4AD25" w:rsidR="000D38BC" w:rsidRPr="00B33BB6" w:rsidRDefault="000D38BC" w:rsidP="00B03A8B">
      <w:pPr>
        <w:pStyle w:val="SDMSubPara1"/>
        <w:rPr>
          <w:color w:val="000000" w:themeColor="text1"/>
        </w:rPr>
      </w:pPr>
      <w:r w:rsidRPr="00B03A8B">
        <w:rPr>
          <w:rStyle w:val="Strong"/>
          <w:color w:val="000000" w:themeColor="text1"/>
          <w:u w:val="single"/>
        </w:rPr>
        <w:t>Assess the market penetration rate</w:t>
      </w:r>
      <w:r w:rsidRPr="00B03A8B">
        <w:rPr>
          <w:rStyle w:val="apple-converted-space"/>
          <w:color w:val="000000" w:themeColor="text1"/>
        </w:rPr>
        <w:t> </w:t>
      </w:r>
      <w:r w:rsidRPr="00B03A8B">
        <w:rPr>
          <w:color w:val="000000" w:themeColor="text1"/>
        </w:rPr>
        <w:t>by dividing the count-based indicator by the total number of households in the target market. If the market penetration rate is</w:t>
      </w:r>
      <w:r w:rsidR="00B03A8B">
        <w:rPr>
          <w:color w:val="000000" w:themeColor="text1"/>
        </w:rPr>
        <w:t xml:space="preserve"> below a threshold (F(max)) of 30%</w:t>
      </w:r>
      <w:r w:rsidR="002579B7">
        <w:rPr>
          <w:rStyle w:val="apple-converted-space"/>
          <w:color w:val="000000" w:themeColor="text1"/>
        </w:rPr>
        <w:t>,</w:t>
      </w:r>
      <w:r w:rsidRPr="00B03A8B">
        <w:rPr>
          <w:color w:val="000000" w:themeColor="text1"/>
        </w:rPr>
        <w:t xml:space="preserve"> the technology shall be considered</w:t>
      </w:r>
      <w:r w:rsidRPr="00B03A8B">
        <w:rPr>
          <w:rStyle w:val="apple-converted-space"/>
          <w:color w:val="000000" w:themeColor="text1"/>
        </w:rPr>
        <w:t> </w:t>
      </w:r>
      <w:r w:rsidRPr="00B03A8B">
        <w:rPr>
          <w:rStyle w:val="Emphasis"/>
          <w:color w:val="000000" w:themeColor="text1"/>
        </w:rPr>
        <w:t>not common practice</w:t>
      </w:r>
      <w:r w:rsidRPr="00B03A8B">
        <w:rPr>
          <w:rStyle w:val="apple-converted-space"/>
          <w:color w:val="000000" w:themeColor="text1"/>
        </w:rPr>
        <w:t> </w:t>
      </w:r>
      <w:r w:rsidRPr="00B03A8B">
        <w:rPr>
          <w:color w:val="000000" w:themeColor="text1"/>
        </w:rPr>
        <w:t>and shall pass this step of the additionality assessment. If the market penetration rate is</w:t>
      </w:r>
      <w:r w:rsidR="002579B7">
        <w:rPr>
          <w:color w:val="000000" w:themeColor="text1"/>
        </w:rPr>
        <w:t xml:space="preserve"> 30% or greater,</w:t>
      </w:r>
      <w:r w:rsidRPr="00B03A8B">
        <w:rPr>
          <w:rStyle w:val="apple-converted-space"/>
          <w:color w:val="000000" w:themeColor="text1"/>
        </w:rPr>
        <w:t> </w:t>
      </w:r>
      <w:r w:rsidRPr="00B03A8B">
        <w:rPr>
          <w:color w:val="000000" w:themeColor="text1"/>
        </w:rPr>
        <w:t>the technology shall be considered</w:t>
      </w:r>
      <w:r w:rsidRPr="00B03A8B">
        <w:rPr>
          <w:rStyle w:val="apple-converted-space"/>
          <w:color w:val="000000" w:themeColor="text1"/>
        </w:rPr>
        <w:t> </w:t>
      </w:r>
      <w:r w:rsidRPr="00B03A8B">
        <w:rPr>
          <w:rStyle w:val="Emphasis"/>
          <w:color w:val="000000" w:themeColor="text1"/>
        </w:rPr>
        <w:t>common practice,</w:t>
      </w:r>
      <w:r w:rsidRPr="00B03A8B">
        <w:rPr>
          <w:rStyle w:val="apple-converted-space"/>
          <w:color w:val="000000" w:themeColor="text1"/>
        </w:rPr>
        <w:t> </w:t>
      </w:r>
      <w:r w:rsidRPr="00B03A8B">
        <w:rPr>
          <w:color w:val="000000" w:themeColor="text1"/>
        </w:rPr>
        <w:t>and the project shall</w:t>
      </w:r>
      <w:r w:rsidR="002579B7">
        <w:rPr>
          <w:color w:val="000000" w:themeColor="text1"/>
        </w:rPr>
        <w:t xml:space="preserve"> </w:t>
      </w:r>
      <w:r w:rsidR="002579B7" w:rsidRPr="00B33BB6">
        <w:rPr>
          <w:rStyle w:val="Strong"/>
          <w:color w:val="000000" w:themeColor="text1"/>
        </w:rPr>
        <w:t>provide additional justification to prove that it is additional</w:t>
      </w:r>
      <w:r w:rsidR="002579B7" w:rsidRPr="00B33BB6">
        <w:rPr>
          <w:i/>
          <w:color w:val="000000" w:themeColor="text1"/>
        </w:rPr>
        <w:t xml:space="preserve">. </w:t>
      </w:r>
      <w:r w:rsidRPr="00B03A8B">
        <w:rPr>
          <w:color w:val="000000" w:themeColor="text1"/>
        </w:rPr>
        <w:t>Such additional justification shall be provided on the Project Cover Information Sheet and shall reference acceptable data, as defined below.</w:t>
      </w:r>
    </w:p>
    <w:p w14:paraId="5BB467AE" w14:textId="4DF71AB6" w:rsidR="000D38BC" w:rsidRPr="002579B7" w:rsidRDefault="000D38BC" w:rsidP="002579B7">
      <w:pPr>
        <w:pStyle w:val="SDMPara"/>
        <w:rPr>
          <w:color w:val="000000"/>
        </w:rPr>
      </w:pPr>
      <w:r w:rsidRPr="002579B7">
        <w:rPr>
          <w:color w:val="808080" w:themeColor="background1" w:themeShade="80"/>
        </w:rPr>
        <w:t xml:space="preserve">The threshold of 30% reflects a reasonable bound for when a self-sustaining market for clean cooking technologies is likely to exist in </w:t>
      </w:r>
      <w:r w:rsidR="00F72F42">
        <w:rPr>
          <w:color w:val="808080" w:themeColor="background1" w:themeShade="80"/>
        </w:rPr>
        <w:t>LMICs</w:t>
      </w:r>
      <w:r w:rsidRPr="002579B7">
        <w:rPr>
          <w:color w:val="808080" w:themeColor="background1" w:themeShade="80"/>
        </w:rPr>
        <w:t>. While a rule of thumb often identifies a 20% penetration rate as a tipping point for a self-sustaining market</w:t>
      </w:r>
      <w:r w:rsidR="00AD3D2C" w:rsidRPr="002579B7">
        <w:rPr>
          <w:color w:val="808080" w:themeColor="background1" w:themeShade="80"/>
        </w:rPr>
        <w:t>, t</w:t>
      </w:r>
      <w:r w:rsidRPr="002579B7">
        <w:rPr>
          <w:color w:val="808080" w:themeColor="background1" w:themeShade="80"/>
        </w:rPr>
        <w:t xml:space="preserve">he threshold is set higher for clean cooking due to weak distribution and knowledge networks connecting urban and rural areas and the relatively small middle-class consumer segment with disposable income in </w:t>
      </w:r>
      <w:r w:rsidR="00F72F42">
        <w:rPr>
          <w:color w:val="808080" w:themeColor="background1" w:themeShade="80"/>
        </w:rPr>
        <w:t>LMICs</w:t>
      </w:r>
      <w:r w:rsidRPr="002579B7">
        <w:rPr>
          <w:color w:val="808080" w:themeColor="background1" w:themeShade="80"/>
        </w:rPr>
        <w:t xml:space="preserve">. Nonetheless, the option to provide further additionality justification is offered for specific circumstances where the universal 30% threshold is not applicable, as the need for clean cooking in almost all least developed nations and many developing countries is so pervasive. </w:t>
      </w:r>
    </w:p>
    <w:p w14:paraId="32FA76EC" w14:textId="7C555210" w:rsidR="002579B7" w:rsidRDefault="000D38BC" w:rsidP="002579B7">
      <w:pPr>
        <w:pStyle w:val="SDMPara"/>
        <w:rPr>
          <w:color w:val="000000"/>
        </w:rPr>
      </w:pPr>
      <w:r w:rsidRPr="002579B7">
        <w:rPr>
          <w:rStyle w:val="Strong"/>
          <w:color w:val="000000"/>
        </w:rPr>
        <w:t>Data requirements</w:t>
      </w:r>
      <w:r w:rsidR="002579B7">
        <w:t xml:space="preserve">: </w:t>
      </w:r>
      <w:r w:rsidRPr="002579B7">
        <w:rPr>
          <w:color w:val="000000"/>
        </w:rPr>
        <w:t>All calculated variables shall:</w:t>
      </w:r>
    </w:p>
    <w:p w14:paraId="4DB1071D" w14:textId="77777777" w:rsidR="002579B7" w:rsidRDefault="000D38BC" w:rsidP="002579B7">
      <w:pPr>
        <w:pStyle w:val="SDMSubPara1"/>
        <w:rPr>
          <w:color w:val="000000"/>
        </w:rPr>
      </w:pPr>
      <w:r w:rsidRPr="002579B7">
        <w:rPr>
          <w:color w:val="000000"/>
        </w:rPr>
        <w:t xml:space="preserve">Exclude technologies installed </w:t>
      </w:r>
      <w:proofErr w:type="gramStart"/>
      <w:r w:rsidRPr="002579B7">
        <w:rPr>
          <w:color w:val="000000"/>
        </w:rPr>
        <w:t>as a result of</w:t>
      </w:r>
      <w:proofErr w:type="gramEnd"/>
      <w:r w:rsidRPr="002579B7">
        <w:rPr>
          <w:color w:val="000000"/>
        </w:rPr>
        <w:t xml:space="preserve"> voluntary carbon crediting </w:t>
      </w:r>
      <w:proofErr w:type="gramStart"/>
      <w:r w:rsidRPr="002579B7">
        <w:rPr>
          <w:color w:val="000000"/>
        </w:rPr>
        <w:t>activities;</w:t>
      </w:r>
      <w:proofErr w:type="gramEnd"/>
    </w:p>
    <w:p w14:paraId="1B6AB309" w14:textId="77777777" w:rsidR="002579B7" w:rsidRDefault="000D38BC" w:rsidP="002579B7">
      <w:pPr>
        <w:pStyle w:val="SDMSubPara1"/>
        <w:rPr>
          <w:color w:val="000000"/>
        </w:rPr>
      </w:pPr>
      <w:r w:rsidRPr="002579B7">
        <w:rPr>
          <w:color w:val="000000"/>
        </w:rPr>
        <w:t>Be based on recent (no more than three years old) and credible data sources; and</w:t>
      </w:r>
    </w:p>
    <w:p w14:paraId="67632F64" w14:textId="77777777" w:rsidR="002579B7" w:rsidRDefault="000D38BC" w:rsidP="002579B7">
      <w:pPr>
        <w:pStyle w:val="SDMSubPara1"/>
        <w:rPr>
          <w:color w:val="000000"/>
        </w:rPr>
      </w:pPr>
      <w:r w:rsidRPr="002579B7">
        <w:rPr>
          <w:color w:val="000000"/>
        </w:rPr>
        <w:t>Include documentation of data sources, reference years, and all calculations.</w:t>
      </w:r>
    </w:p>
    <w:p w14:paraId="631E0856" w14:textId="77777777" w:rsidR="00FB0673" w:rsidRDefault="000D38BC" w:rsidP="00FB0673">
      <w:pPr>
        <w:pStyle w:val="SDMSubPara2"/>
        <w:rPr>
          <w:color w:val="000000"/>
        </w:rPr>
      </w:pPr>
      <w:r w:rsidRPr="002579B7">
        <w:rPr>
          <w:color w:val="000000" w:themeColor="text1"/>
        </w:rPr>
        <w:t xml:space="preserve">Acceptable data sources may include national household energy surveys, census data, or other representative market studies. </w:t>
      </w:r>
      <w:r w:rsidRPr="002579B7">
        <w:rPr>
          <w:color w:val="000000"/>
        </w:rPr>
        <w:t xml:space="preserve">Where no such sources are available, baseline surveys may be used as a last resort, </w:t>
      </w:r>
      <w:proofErr w:type="gramStart"/>
      <w:r w:rsidRPr="002579B7">
        <w:rPr>
          <w:color w:val="000000"/>
        </w:rPr>
        <w:t>provided that</w:t>
      </w:r>
      <w:proofErr w:type="gramEnd"/>
      <w:r w:rsidRPr="002579B7">
        <w:rPr>
          <w:color w:val="000000"/>
        </w:rPr>
        <w:t xml:space="preserve"> they follow statistically robust sampling and are documented transparently.</w:t>
      </w:r>
    </w:p>
    <w:p w14:paraId="3DF67127" w14:textId="77777777" w:rsidR="00FB0673" w:rsidRDefault="000D38BC" w:rsidP="001F25AA">
      <w:pPr>
        <w:pStyle w:val="SDMSubPara2"/>
        <w:rPr>
          <w:color w:val="000000"/>
        </w:rPr>
      </w:pPr>
      <w:r w:rsidRPr="00FB0673">
        <w:rPr>
          <w:color w:val="000000"/>
        </w:rPr>
        <w:lastRenderedPageBreak/>
        <w:t>Where the available dataset reports only fuel type and not cookstove technology, and the fuel type alone does not clearly indicate whether the cookstove meets the equivalence definition (e.g. fuels such as charcoal or wood, which may be used in a variety of cookstove types), the project proponent shall use credible supplementary data sources to determine the proportion of users of that fuel who own and regularly use a functional equivalent technology. Where no such supplementary data are available, the proportion may be obtained from the baseline survey</w:t>
      </w:r>
      <w:r w:rsidRPr="00FB0673">
        <w:rPr>
          <w:rStyle w:val="Strong"/>
          <w:color w:val="000000"/>
        </w:rPr>
        <w:t>.</w:t>
      </w:r>
      <w:r w:rsidRPr="00FB0673">
        <w:rPr>
          <w:rStyle w:val="apple-converted-space"/>
          <w:rFonts w:hint="eastAsia"/>
          <w:color w:val="000000"/>
        </w:rPr>
        <w:t> </w:t>
      </w:r>
      <w:r w:rsidRPr="00FB0673">
        <w:rPr>
          <w:color w:val="000000"/>
        </w:rPr>
        <w:t>For fuels that correspond to a specific technology (e.g., LPG, electricity, ethanol), the reported fuel shall be assumed to correspond directly to one functional cookstove.</w:t>
      </w:r>
    </w:p>
    <w:p w14:paraId="53C55921" w14:textId="6B9BC4F1" w:rsidR="00CC33BA" w:rsidRPr="00FB0673" w:rsidRDefault="000D38BC" w:rsidP="001F25AA">
      <w:pPr>
        <w:pStyle w:val="SDMSubPara2"/>
        <w:rPr>
          <w:color w:val="000000"/>
        </w:rPr>
      </w:pPr>
      <w:r w:rsidRPr="00FB0673">
        <w:rPr>
          <w:color w:val="000000" w:themeColor="text1"/>
        </w:rPr>
        <w:t>Where functional status or thermal efficiency data are not directly available, project proponents shall apply conservative assumptions to classify equivalent technologies, with justification provided. Where only the primary cooking fuel or device is reported, this shall be interpreted as representing the main technology in regular use. Secondary cookstove ownership shall only be included where credible evidence demonstrates that the cookstove is functional and regularly used. Where data less than three years old are not available, the most recent credible dataset may be used, provided that a conservative adjustment is applied to reflect likely changes in penetration since the data were collected.</w:t>
      </w:r>
    </w:p>
    <w:p w14:paraId="4470AE77" w14:textId="77777777" w:rsidR="0081322D" w:rsidRDefault="00847270" w:rsidP="00BA5A4B">
      <w:pPr>
        <w:pStyle w:val="SDMHead2"/>
      </w:pPr>
      <w:r>
        <w:t>Performance-based approach</w:t>
      </w:r>
      <w:r w:rsidR="00641EE7">
        <w:t xml:space="preserve"> </w:t>
      </w:r>
    </w:p>
    <w:p w14:paraId="509F8FEE" w14:textId="77777777" w:rsidR="00674335" w:rsidRPr="00674335" w:rsidRDefault="00674335" w:rsidP="00674335">
      <w:pPr>
        <w:spacing w:before="60" w:after="60"/>
        <w:ind w:right="159"/>
        <w:rPr>
          <w:rFonts w:eastAsia="Arial" w:cs="Arial"/>
          <w:color w:val="000000"/>
          <w:szCs w:val="22"/>
        </w:rPr>
      </w:pPr>
      <w:r w:rsidRPr="00674335">
        <w:rPr>
          <w:rFonts w:eastAsia="Arial" w:cs="Arial"/>
          <w:color w:val="000000" w:themeColor="text1"/>
          <w:szCs w:val="22"/>
        </w:rPr>
        <w:t>N/A</w:t>
      </w:r>
    </w:p>
    <w:p w14:paraId="6B4D38A2" w14:textId="77777777" w:rsidR="00291CC6" w:rsidRDefault="00291CC6" w:rsidP="00620061">
      <w:pPr>
        <w:pStyle w:val="SDMHead1"/>
        <w:numPr>
          <w:ilvl w:val="0"/>
          <w:numId w:val="18"/>
        </w:numPr>
      </w:pPr>
      <w:r>
        <w:t>Baseline scenario</w:t>
      </w:r>
    </w:p>
    <w:p w14:paraId="0C829BC3" w14:textId="6422BA5D" w:rsidR="00291CC6" w:rsidRDefault="00B807B0" w:rsidP="00291CC6">
      <w:pPr>
        <w:pStyle w:val="SDMHead2"/>
      </w:pPr>
      <w:bookmarkStart w:id="38" w:name="_Toc203294049"/>
      <w:r>
        <w:t>Selection of the baseline approaches from paragraph 36 of the rules, modalities and procedures</w:t>
      </w:r>
      <w:bookmarkEnd w:id="38"/>
    </w:p>
    <w:p w14:paraId="5038D147" w14:textId="2C6A7C7A" w:rsidR="003D4240" w:rsidRPr="00631267" w:rsidRDefault="008E3AF1" w:rsidP="00D4581D">
      <w:pPr>
        <w:pStyle w:val="ParaTickBox"/>
        <w:tabs>
          <w:tab w:val="clear" w:pos="510"/>
          <w:tab w:val="left" w:pos="1134"/>
        </w:tabs>
        <w:spacing w:before="180"/>
        <w:ind w:left="1134" w:hanging="425"/>
        <w:jc w:val="both"/>
        <w:rPr>
          <w:rFonts w:asciiTheme="minorBidi" w:hAnsiTheme="minorBidi" w:cstheme="minorBidi"/>
          <w:sz w:val="22"/>
          <w:szCs w:val="22"/>
        </w:rPr>
      </w:pPr>
      <w:r>
        <w:rPr>
          <w:rFonts w:asciiTheme="minorBidi" w:hAnsiTheme="minorBidi" w:cstheme="minorBidi"/>
          <w:sz w:val="22"/>
          <w:szCs w:val="22"/>
        </w:rPr>
        <w:fldChar w:fldCharType="begin">
          <w:ffData>
            <w:name w:val=""/>
            <w:enabled/>
            <w:calcOnExit w:val="0"/>
            <w:checkBox>
              <w:size w:val="20"/>
              <w:default w:val="1"/>
            </w:checkBox>
          </w:ffData>
        </w:fldChar>
      </w:r>
      <w:r>
        <w:rPr>
          <w:rFonts w:asciiTheme="minorBidi" w:hAnsiTheme="minorBidi" w:cstheme="minorBidi"/>
          <w:sz w:val="22"/>
          <w:szCs w:val="22"/>
        </w:rPr>
        <w:instrText xml:space="preserve"> FORMCHECKBOX </w:instrText>
      </w:r>
      <w:r>
        <w:rPr>
          <w:rFonts w:asciiTheme="minorBidi" w:hAnsiTheme="minorBidi" w:cstheme="minorBidi"/>
          <w:sz w:val="22"/>
          <w:szCs w:val="22"/>
        </w:rPr>
      </w:r>
      <w:r>
        <w:rPr>
          <w:rFonts w:asciiTheme="minorBidi" w:hAnsiTheme="minorBidi" w:cstheme="minorBidi"/>
          <w:sz w:val="22"/>
          <w:szCs w:val="22"/>
        </w:rPr>
        <w:fldChar w:fldCharType="separate"/>
      </w:r>
      <w:r>
        <w:rPr>
          <w:rFonts w:asciiTheme="minorBidi" w:hAnsiTheme="minorBidi" w:cstheme="minorBidi"/>
          <w:sz w:val="22"/>
          <w:szCs w:val="22"/>
        </w:rPr>
        <w:fldChar w:fldCharType="end"/>
      </w:r>
      <w:r w:rsidR="003D4240" w:rsidRPr="00631267">
        <w:rPr>
          <w:rFonts w:asciiTheme="minorBidi" w:hAnsiTheme="minorBidi" w:cstheme="minorBidi"/>
          <w:sz w:val="22"/>
          <w:szCs w:val="22"/>
        </w:rPr>
        <w:tab/>
      </w:r>
      <w:r w:rsidR="003D4240" w:rsidRPr="00631267">
        <w:rPr>
          <w:sz w:val="22"/>
          <w:szCs w:val="22"/>
        </w:rPr>
        <w:t>Best available technologies that represent an economically feasible and environmentally sound course of action, where appropriate</w:t>
      </w:r>
      <w:r w:rsidR="003D4240">
        <w:rPr>
          <w:sz w:val="22"/>
          <w:szCs w:val="22"/>
        </w:rPr>
        <w:t>.</w:t>
      </w:r>
    </w:p>
    <w:p w14:paraId="2EC16F94" w14:textId="77777777" w:rsidR="003D4240" w:rsidRPr="00631267" w:rsidRDefault="003D4240" w:rsidP="00D90C87">
      <w:pPr>
        <w:pStyle w:val="ParaTickBox"/>
        <w:tabs>
          <w:tab w:val="clear" w:pos="510"/>
          <w:tab w:val="left" w:pos="709"/>
          <w:tab w:val="left" w:pos="1134"/>
        </w:tabs>
        <w:ind w:left="1134" w:hanging="425"/>
        <w:jc w:val="both"/>
        <w:rPr>
          <w:rFonts w:asciiTheme="minorBidi" w:hAnsiTheme="minorBidi" w:cstheme="minorBidi"/>
          <w:sz w:val="22"/>
          <w:szCs w:val="22"/>
        </w:rPr>
      </w:pPr>
      <w:r w:rsidRPr="00631267">
        <w:rPr>
          <w:rFonts w:asciiTheme="minorBidi" w:hAnsiTheme="minorBidi" w:cstheme="minorBidi"/>
          <w:sz w:val="22"/>
          <w:szCs w:val="22"/>
        </w:rPr>
        <w:fldChar w:fldCharType="begin">
          <w:ffData>
            <w:name w:val="Check2"/>
            <w:enabled/>
            <w:calcOnExit w:val="0"/>
            <w:checkBox>
              <w:size w:val="20"/>
              <w:default w:val="0"/>
            </w:checkBox>
          </w:ffData>
        </w:fldChar>
      </w:r>
      <w:r w:rsidRPr="00631267">
        <w:rPr>
          <w:rFonts w:asciiTheme="minorBidi" w:hAnsiTheme="minorBidi" w:cstheme="minorBidi"/>
          <w:sz w:val="22"/>
          <w:szCs w:val="22"/>
        </w:rPr>
        <w:instrText xml:space="preserve"> FORMCHECKBOX </w:instrText>
      </w:r>
      <w:r w:rsidRPr="00631267">
        <w:rPr>
          <w:rFonts w:asciiTheme="minorBidi" w:hAnsiTheme="minorBidi" w:cstheme="minorBidi"/>
          <w:sz w:val="22"/>
          <w:szCs w:val="22"/>
        </w:rPr>
      </w:r>
      <w:r w:rsidRPr="00631267">
        <w:rPr>
          <w:rFonts w:asciiTheme="minorBidi" w:hAnsiTheme="minorBidi" w:cstheme="minorBidi"/>
          <w:sz w:val="22"/>
          <w:szCs w:val="22"/>
        </w:rPr>
        <w:fldChar w:fldCharType="separate"/>
      </w:r>
      <w:r w:rsidRPr="00631267">
        <w:rPr>
          <w:rFonts w:asciiTheme="minorBidi" w:hAnsiTheme="minorBidi" w:cstheme="minorBidi"/>
          <w:sz w:val="22"/>
          <w:szCs w:val="22"/>
        </w:rPr>
        <w:fldChar w:fldCharType="end"/>
      </w:r>
      <w:r w:rsidRPr="00631267">
        <w:rPr>
          <w:rFonts w:asciiTheme="minorBidi" w:hAnsiTheme="minorBidi" w:cstheme="minorBidi"/>
          <w:sz w:val="22"/>
          <w:szCs w:val="22"/>
        </w:rPr>
        <w:tab/>
      </w:r>
      <w:r w:rsidRPr="00631267">
        <w:rPr>
          <w:sz w:val="22"/>
          <w:szCs w:val="22"/>
        </w:rPr>
        <w:t>An ambitious benchmark approach where the baseline is set at least at the average emission level of the best performing comparable activities providing similar outputs and services in a defined scope in similar social, economic, environmental and technological circumstances</w:t>
      </w:r>
      <w:r>
        <w:rPr>
          <w:sz w:val="22"/>
          <w:szCs w:val="22"/>
        </w:rPr>
        <w:t>.</w:t>
      </w:r>
    </w:p>
    <w:p w14:paraId="4DE251FD" w14:textId="1BCA21A1" w:rsidR="003D4240" w:rsidRPr="00631267" w:rsidRDefault="008E3AF1" w:rsidP="00D90C87">
      <w:pPr>
        <w:pStyle w:val="ParaTickBox"/>
        <w:tabs>
          <w:tab w:val="clear" w:pos="510"/>
          <w:tab w:val="left" w:pos="709"/>
          <w:tab w:val="left" w:pos="1134"/>
        </w:tabs>
        <w:ind w:left="1134" w:hanging="425"/>
        <w:jc w:val="both"/>
        <w:rPr>
          <w:rFonts w:asciiTheme="minorBidi" w:hAnsiTheme="minorBidi" w:cstheme="minorBidi"/>
          <w:sz w:val="22"/>
          <w:szCs w:val="22"/>
        </w:rPr>
      </w:pPr>
      <w:r>
        <w:rPr>
          <w:rFonts w:asciiTheme="minorBidi" w:hAnsiTheme="minorBidi" w:cstheme="minorBidi"/>
          <w:sz w:val="22"/>
          <w:szCs w:val="22"/>
        </w:rPr>
        <w:fldChar w:fldCharType="begin">
          <w:ffData>
            <w:name w:val=""/>
            <w:enabled/>
            <w:calcOnExit w:val="0"/>
            <w:checkBox>
              <w:size w:val="20"/>
              <w:default w:val="1"/>
            </w:checkBox>
          </w:ffData>
        </w:fldChar>
      </w:r>
      <w:r>
        <w:rPr>
          <w:rFonts w:asciiTheme="minorBidi" w:hAnsiTheme="minorBidi" w:cstheme="minorBidi"/>
          <w:sz w:val="22"/>
          <w:szCs w:val="22"/>
        </w:rPr>
        <w:instrText xml:space="preserve"> FORMCHECKBOX </w:instrText>
      </w:r>
      <w:r>
        <w:rPr>
          <w:rFonts w:asciiTheme="minorBidi" w:hAnsiTheme="minorBidi" w:cstheme="minorBidi"/>
          <w:sz w:val="22"/>
          <w:szCs w:val="22"/>
        </w:rPr>
      </w:r>
      <w:r>
        <w:rPr>
          <w:rFonts w:asciiTheme="minorBidi" w:hAnsiTheme="minorBidi" w:cstheme="minorBidi"/>
          <w:sz w:val="22"/>
          <w:szCs w:val="22"/>
        </w:rPr>
        <w:fldChar w:fldCharType="separate"/>
      </w:r>
      <w:r>
        <w:rPr>
          <w:rFonts w:asciiTheme="minorBidi" w:hAnsiTheme="minorBidi" w:cstheme="minorBidi"/>
          <w:sz w:val="22"/>
          <w:szCs w:val="22"/>
        </w:rPr>
        <w:fldChar w:fldCharType="end"/>
      </w:r>
      <w:r w:rsidR="003D4240" w:rsidRPr="00631267">
        <w:rPr>
          <w:rFonts w:asciiTheme="minorBidi" w:hAnsiTheme="minorBidi" w:cstheme="minorBidi"/>
          <w:sz w:val="22"/>
          <w:szCs w:val="22"/>
        </w:rPr>
        <w:tab/>
      </w:r>
      <w:r w:rsidR="003D4240" w:rsidRPr="00631267">
        <w:rPr>
          <w:sz w:val="22"/>
          <w:szCs w:val="22"/>
        </w:rPr>
        <w:t xml:space="preserve">An </w:t>
      </w:r>
      <w:bookmarkStart w:id="39" w:name="_Hlk198909430"/>
      <w:r w:rsidR="003D4240" w:rsidRPr="00631267">
        <w:rPr>
          <w:sz w:val="22"/>
          <w:szCs w:val="22"/>
        </w:rPr>
        <w:t>approach based on existing actual or historical emissions, adjusted downwards to ensure alignment with paragraph 33 of the RMP</w:t>
      </w:r>
      <w:bookmarkEnd w:id="39"/>
      <w:r w:rsidR="003D4240" w:rsidRPr="00631267">
        <w:rPr>
          <w:sz w:val="22"/>
          <w:szCs w:val="22"/>
        </w:rPr>
        <w:t>.</w:t>
      </w:r>
    </w:p>
    <w:p w14:paraId="4C715B97" w14:textId="77777777" w:rsidR="00E03C12" w:rsidRDefault="00E03C12" w:rsidP="00342C27">
      <w:pPr>
        <w:pStyle w:val="SDMPara"/>
        <w:numPr>
          <w:ilvl w:val="0"/>
          <w:numId w:val="0"/>
        </w:numPr>
        <w:ind w:left="709"/>
        <w:rPr>
          <w:color w:val="4F81BD" w:themeColor="accent1"/>
        </w:rPr>
      </w:pPr>
    </w:p>
    <w:p w14:paraId="2BEFB6ED" w14:textId="77777777" w:rsidR="00FB0673" w:rsidRPr="00FB0673" w:rsidRDefault="00E03C12" w:rsidP="00FB0673">
      <w:pPr>
        <w:pStyle w:val="SDMPara"/>
        <w:spacing w:after="160"/>
        <w:rPr>
          <w:color w:val="808080" w:themeColor="background1" w:themeShade="80"/>
        </w:rPr>
      </w:pPr>
      <w:r w:rsidRPr="00FB0673">
        <w:t xml:space="preserve">The CLEAR methodology explicitly supports the use of existing actual baseline fuel consumption, derived from direct measurements of fuel consumption, including KPTs, and continuously tracked energy consumption approaches. </w:t>
      </w:r>
    </w:p>
    <w:p w14:paraId="556BD4F2" w14:textId="04AF5DDE" w:rsidR="00FB0673" w:rsidRPr="00940EDE" w:rsidRDefault="00FB0673" w:rsidP="00FB0673">
      <w:pPr>
        <w:pStyle w:val="SDMPara"/>
        <w:spacing w:after="160"/>
        <w:rPr>
          <w:color w:val="808080" w:themeColor="background1" w:themeShade="80"/>
        </w:rPr>
      </w:pPr>
      <w:r>
        <w:rPr>
          <w:color w:val="808080" w:themeColor="background1" w:themeShade="80"/>
        </w:rPr>
        <w:t>CLEAR</w:t>
      </w:r>
      <w:r w:rsidR="00E03C12" w:rsidRPr="00FB0673">
        <w:rPr>
          <w:color w:val="808080" w:themeColor="background1" w:themeShade="80"/>
        </w:rPr>
        <w:t xml:space="preserve"> requirements make </w:t>
      </w:r>
      <w:r>
        <w:rPr>
          <w:color w:val="808080" w:themeColor="background1" w:themeShade="80"/>
        </w:rPr>
        <w:t>it</w:t>
      </w:r>
      <w:r w:rsidR="00E03C12" w:rsidRPr="00FB0673">
        <w:rPr>
          <w:color w:val="808080" w:themeColor="background1" w:themeShade="80"/>
        </w:rPr>
        <w:t xml:space="preserve"> well-aligned with the approach of using existing actual and historical emissions adjusted conservatively to ensure environmental integrity, as required under paragraph 33 of the RMP. This approach is appropriate for the following reasons:</w:t>
      </w:r>
    </w:p>
    <w:p w14:paraId="24D5317D" w14:textId="77777777" w:rsidR="00FB0673" w:rsidRPr="001F2A18" w:rsidRDefault="00E03C12" w:rsidP="00FB0673">
      <w:pPr>
        <w:pStyle w:val="SDMSubPara1"/>
        <w:spacing w:after="160"/>
        <w:rPr>
          <w:color w:val="808080" w:themeColor="background1" w:themeShade="80"/>
        </w:rPr>
      </w:pPr>
      <w:r w:rsidRPr="00FB0673">
        <w:rPr>
          <w:b/>
          <w:color w:val="808080" w:themeColor="background1" w:themeShade="80"/>
        </w:rPr>
        <w:lastRenderedPageBreak/>
        <w:t xml:space="preserve">Data collection and downward adjustments: </w:t>
      </w:r>
      <w:r w:rsidRPr="00FB0673">
        <w:rPr>
          <w:color w:val="808080" w:themeColor="background1" w:themeShade="80"/>
        </w:rPr>
        <w:t>The CLEAR methodology requires project proponents to estimate baseline fuel consumption using real-world data, ensuring alignment with environmental integrity principles under paragraph 33 of the RMP. For non-CTEC projects and CTEC projects using the KPT, baseline fuel consumption is measured directly using KPTs in a representative sample, with downward adjustments in the baseline required if project surveys reveal material shifts in household fuel use patterns. If the 95/10 rule is not met for the baseline, this also results in a downward adjustment. CTEC projects back-calculate baseline consumption based on tracked project fuel use, making conservative adjustments if the 95/10 precision rules is not met. Any missing tracking data of project energy consumption automatically reduces credited baseline displacement. Additionally, CTEC projects must reassess project cookstove efficiency through CCTs at least twice during the crediting period, using representative devices from the aging fleet, which captures performance degradation over time and further lowers estimated displaced baseline energy. These conservative approaches ensure that baseline scenarios reflect actual household energy use, avoiding inflation and enhancing the credibility of emission reduction estimates.</w:t>
      </w:r>
    </w:p>
    <w:p w14:paraId="21D85FA1" w14:textId="7C33F81A" w:rsidR="00E03C12" w:rsidRPr="00FB0673" w:rsidRDefault="00E03C12" w:rsidP="00FB0673">
      <w:pPr>
        <w:pStyle w:val="SDMSubPara1"/>
        <w:spacing w:after="160"/>
        <w:rPr>
          <w:rFonts w:eastAsia="Arial"/>
          <w:color w:val="808080" w:themeColor="background1" w:themeShade="80"/>
        </w:rPr>
      </w:pPr>
      <w:r w:rsidRPr="00FB0673">
        <w:rPr>
          <w:b/>
          <w:color w:val="808080" w:themeColor="background1" w:themeShade="80"/>
        </w:rPr>
        <w:t>Alignment with paragraph 35: verifiability and integrity:</w:t>
      </w:r>
      <w:r w:rsidRPr="00FB0673">
        <w:rPr>
          <w:color w:val="808080" w:themeColor="background1" w:themeShade="80"/>
        </w:rPr>
        <w:t xml:space="preserve"> The methodology uses conservative caps and flags any outliers or high values for additional justification. It requires strong quality assurance procedures and requires 95/10 precision for all key sampling efforts. These elements ensure that baselines are verifiable and transparently derived, consistent with paragraph 35 requirements for robust, reproducible methodology development.</w:t>
      </w:r>
    </w:p>
    <w:p w14:paraId="04D96774" w14:textId="77777777" w:rsidR="00E03C12" w:rsidRPr="00B33BB6" w:rsidRDefault="00E03C12" w:rsidP="00E03C12">
      <w:pPr>
        <w:rPr>
          <w:rFonts w:eastAsia="Arial" w:cs="Arial"/>
        </w:rPr>
      </w:pPr>
    </w:p>
    <w:p w14:paraId="236276F4" w14:textId="77777777" w:rsidR="00FB0673" w:rsidRPr="00B33BB6" w:rsidRDefault="00E03C12" w:rsidP="00B32448">
      <w:pPr>
        <w:pStyle w:val="SDMPara"/>
        <w:spacing w:after="160"/>
      </w:pPr>
      <w:r w:rsidRPr="00FB0673">
        <w:t>In addition, CLEAR allows the use of global default values for baseline energy consumption, which are technology-specific and represent the minimum level of energy service required for cooking. When global defaults are used, the applicable baseline approach under the UNFCCC standard is the Best Available Technology (BAT) approach.</w:t>
      </w:r>
    </w:p>
    <w:p w14:paraId="27EBEE02" w14:textId="16E34494" w:rsidR="00E03C12" w:rsidRPr="00FB0673" w:rsidRDefault="00E03C12" w:rsidP="00B32448">
      <w:pPr>
        <w:pStyle w:val="SDMPara"/>
        <w:spacing w:after="160"/>
      </w:pPr>
      <w:r w:rsidRPr="00FB0673">
        <w:rPr>
          <w:color w:val="808080" w:themeColor="background1" w:themeShade="80"/>
        </w:rPr>
        <w:t xml:space="preserve">The global default values for baseline fuelwood or charcoal consumption reflect a minimum household energy service level for cooking and serve as a conservative estimate. While not derived from Article 6.4 activity field measurements, the defaults are grounded in real world data and reflect conservative estimates of fuel use. The baseline technologies associated with the global defaults are widely available, economically feasible, and environmentally sound in the baseline context. Given that these technologies provide a similar output to the project activity (cooking services) and that the use of global default values result in the lowest emission per unit, the use of these default is consistent with the BAT baseline approach under </w:t>
      </w:r>
      <w:r w:rsidRPr="00FB0673">
        <w:rPr>
          <w:rFonts w:eastAsia="Montserrat"/>
          <w:color w:val="808080" w:themeColor="background1" w:themeShade="80"/>
        </w:rPr>
        <w:t xml:space="preserve">the </w:t>
      </w:r>
      <w:hyperlink r:id="rId46" w:history="1">
        <w:r w:rsidRPr="00FB0673">
          <w:rPr>
            <w:rStyle w:val="Hyperlink"/>
            <w:rFonts w:eastAsia="Arial"/>
            <w:color w:val="808080" w:themeColor="background1" w:themeShade="80"/>
          </w:rPr>
          <w:t xml:space="preserve">Article 6.4 Standard: </w:t>
        </w:r>
        <w:r w:rsidRPr="00FB0673">
          <w:rPr>
            <w:rStyle w:val="Hyperlink"/>
            <w:rFonts w:eastAsia="Arial"/>
            <w:i/>
            <w:color w:val="808080" w:themeColor="background1" w:themeShade="80"/>
          </w:rPr>
          <w:t>Setting the baseline in mechanism methodologies</w:t>
        </w:r>
      </w:hyperlink>
      <w:r w:rsidRPr="00FB0673">
        <w:rPr>
          <w:rFonts w:eastAsia="Arial"/>
          <w:color w:val="808080" w:themeColor="background1" w:themeShade="80"/>
        </w:rPr>
        <w:t>.</w:t>
      </w:r>
    </w:p>
    <w:p w14:paraId="0F511A0A" w14:textId="77777777" w:rsidR="006D067F" w:rsidRDefault="006D067F" w:rsidP="006D067F">
      <w:pPr>
        <w:pStyle w:val="SDMHead2"/>
      </w:pPr>
      <w:bookmarkStart w:id="40" w:name="_Toc203294050"/>
      <w:r>
        <w:t>Application of the selected approach, prior to implementation of a downward adjustment</w:t>
      </w:r>
      <w:bookmarkEnd w:id="40"/>
    </w:p>
    <w:p w14:paraId="3560B718" w14:textId="7B9366DD" w:rsidR="006D067F" w:rsidRDefault="006D067F" w:rsidP="006D067F">
      <w:pPr>
        <w:pStyle w:val="SDMHead3"/>
      </w:pPr>
      <w:bookmarkStart w:id="41" w:name="S1021"/>
      <w:bookmarkStart w:id="42" w:name="_Toc203294051"/>
      <w:r>
        <w:t xml:space="preserve">Procedure </w:t>
      </w:r>
      <w:bookmarkEnd w:id="41"/>
      <w:r>
        <w:t>for the identification of the baseline scenario</w:t>
      </w:r>
      <w:bookmarkEnd w:id="42"/>
    </w:p>
    <w:p w14:paraId="5722BEDF" w14:textId="77777777" w:rsidR="00FB0673" w:rsidRPr="00714248" w:rsidRDefault="00714248" w:rsidP="00714248">
      <w:pPr>
        <w:pStyle w:val="SDMPara"/>
        <w:rPr>
          <w:rFonts w:eastAsia="Montserrat"/>
        </w:rPr>
      </w:pPr>
      <w:r w:rsidRPr="00FB0673">
        <w:rPr>
          <w:rFonts w:eastAsia="Montserrat"/>
        </w:rPr>
        <w:t>Under the CLEAR methodology, project proponents are required to use a pre-determined baseline scenario, defined as the continuation of the pre-activity scenario. The pre-</w:t>
      </w:r>
      <w:r w:rsidRPr="00FB0673">
        <w:rPr>
          <w:rFonts w:eastAsia="Montserrat"/>
        </w:rPr>
        <w:lastRenderedPageBreak/>
        <w:t xml:space="preserve">activity scenario refers to the circumstances immediately prior to the implementation of the project and represents the existing conditions at the site where the activity will be implemented. Project proponents shall describe this scenario in detail. </w:t>
      </w:r>
    </w:p>
    <w:p w14:paraId="2B4859E1" w14:textId="77777777" w:rsidR="00FB0673" w:rsidRPr="00714248" w:rsidRDefault="00714248" w:rsidP="00714248">
      <w:pPr>
        <w:pStyle w:val="SDMPara"/>
        <w:rPr>
          <w:rFonts w:eastAsia="Montserrat"/>
        </w:rPr>
      </w:pPr>
      <w:r w:rsidRPr="00FB0673">
        <w:rPr>
          <w:rFonts w:eastAsia="Montserrat"/>
        </w:rPr>
        <w:t>The baseline scenario(s) shall be defined based on the existing baseline technologies and fuel consumption patterns that are being displaced by the project technology. The baseline scenario survey shall define fuel types, fuel mix proportions, and household size. It may also be used to support common practice analysis.</w:t>
      </w:r>
    </w:p>
    <w:p w14:paraId="318F4802" w14:textId="77777777" w:rsidR="009C0779" w:rsidRDefault="00714248" w:rsidP="00714248">
      <w:pPr>
        <w:pStyle w:val="SDMPara"/>
        <w:rPr>
          <w:rFonts w:eastAsia="Montserrat"/>
        </w:rPr>
      </w:pPr>
      <w:r w:rsidRPr="00FB0673">
        <w:rPr>
          <w:rFonts w:eastAsia="Montserrat"/>
        </w:rPr>
        <w:t>Multiple baseline scenarios may be generated as appropriate (e.g., for multiple geographic areas with differing demographics, or multiple kinds of user groups with different baseline fuel mixes), and each compared against the project scenario. </w:t>
      </w:r>
    </w:p>
    <w:p w14:paraId="49328502" w14:textId="77777777" w:rsidR="009C0779" w:rsidRPr="00714248" w:rsidRDefault="00714248" w:rsidP="00714248">
      <w:pPr>
        <w:pStyle w:val="SDMPara"/>
        <w:rPr>
          <w:rFonts w:eastAsia="Montserrat"/>
        </w:rPr>
      </w:pPr>
      <w:r w:rsidRPr="009C0779">
        <w:rPr>
          <w:rFonts w:eastAsia="Montserrat"/>
        </w:rPr>
        <w:t>Conversely, if a project is promoting multiple project technologies/fuels, a single baseline scenario can be assessed against multiple project scenarios. Project technologies with similar design and performance characteristics (defined as having the same combustion technology and within 10% thermal efficiency per ISO 19867-1) may be included under a single project scenario. If not, they must be treated as independent project scenarios and are monitored and calculated separately.</w:t>
      </w:r>
    </w:p>
    <w:p w14:paraId="61211617" w14:textId="77777777" w:rsidR="009C0779" w:rsidRPr="00714248" w:rsidRDefault="00714248" w:rsidP="00714248">
      <w:pPr>
        <w:pStyle w:val="SDMPara"/>
        <w:rPr>
          <w:rFonts w:eastAsia="Montserrat"/>
        </w:rPr>
      </w:pPr>
      <w:r w:rsidRPr="009C0779">
        <w:rPr>
          <w:rFonts w:eastAsia="Montserrat"/>
        </w:rPr>
        <w:t>For non-CTEC projects opting to measure the baseline using the KPT rather than using a default value, and for CTEC projects opting to use the KPT to measure baseline fuel consumption, the baseline scenario(s) shall be identified and defined through the application of a baseline survey to the target population. The baseline scenario survey can also be used to meet the customer support action of demonstrating that the project has selected technologies and fuels that meet the cooking needs of the target population.</w:t>
      </w:r>
    </w:p>
    <w:p w14:paraId="76D92250" w14:textId="77777777" w:rsidR="009C0779" w:rsidRPr="00714248" w:rsidRDefault="00714248" w:rsidP="00714248">
      <w:pPr>
        <w:pStyle w:val="SDMPara"/>
        <w:rPr>
          <w:rFonts w:eastAsia="Montserrat"/>
        </w:rPr>
      </w:pPr>
      <w:r w:rsidRPr="009C0779">
        <w:rPr>
          <w:rFonts w:eastAsia="Montserrat"/>
        </w:rPr>
        <w:t>For CTEC projects choosing to back-calculate the baseline, as well as non-CTEC projects opting to use a default value, the baseline scenario survey is recommended but not mandatory. These project types may use other data to establish baseline scenarios at the project design stage, as they will collect all the data necessary to substantiate emissions reductions from actual project households during the usage survey. Where possible, all scenarios will be cross-checked with recent, appropriate (geographically and demographically comparable) information from nationally- or regionally representative surveys or reputable literature.</w:t>
      </w:r>
      <w:r w:rsidRPr="00B33BB6">
        <w:rPr>
          <w:rStyle w:val="FootnoteReference"/>
          <w:rFonts w:eastAsia="Montserrat"/>
        </w:rPr>
        <w:footnoteReference w:id="6"/>
      </w:r>
    </w:p>
    <w:p w14:paraId="25DE56FC" w14:textId="01C656DC" w:rsidR="009C0779" w:rsidRPr="00714248" w:rsidRDefault="00714248" w:rsidP="00714248">
      <w:pPr>
        <w:pStyle w:val="SDMPara"/>
        <w:rPr>
          <w:rFonts w:eastAsia="Montserrat"/>
        </w:rPr>
      </w:pPr>
      <w:r w:rsidRPr="009C0779">
        <w:rPr>
          <w:rFonts w:eastAsia="Montserrat"/>
        </w:rPr>
        <w:t xml:space="preserve">All baseline scenarios shall be assessed for consistency with government policies and legal </w:t>
      </w:r>
      <w:r w:rsidRPr="00E82984">
        <w:rPr>
          <w:rFonts w:eastAsia="Montserrat"/>
        </w:rPr>
        <w:t xml:space="preserve">requirements, as detailed in </w:t>
      </w:r>
      <w:hyperlink w:anchor="S9" w:history="1">
        <w:r w:rsidR="009D6F15" w:rsidRPr="00E82984">
          <w:rPr>
            <w:rStyle w:val="Hyperlink"/>
            <w:rFonts w:eastAsia="Montserrat"/>
          </w:rPr>
          <w:t>S</w:t>
        </w:r>
        <w:r w:rsidRPr="00E82984">
          <w:rPr>
            <w:rStyle w:val="Hyperlink"/>
            <w:rFonts w:eastAsia="Montserrat"/>
          </w:rPr>
          <w:t xml:space="preserve">ection 9. </w:t>
        </w:r>
        <w:r w:rsidRPr="00E82984">
          <w:rPr>
            <w:rStyle w:val="Hyperlink"/>
            <w:rFonts w:eastAsia="Montserrat"/>
            <w:i/>
            <w:iCs/>
          </w:rPr>
          <w:t>Demonstration of Additionality</w:t>
        </w:r>
      </w:hyperlink>
      <w:r w:rsidRPr="00E82984">
        <w:rPr>
          <w:rFonts w:eastAsia="Montserrat"/>
        </w:rPr>
        <w:t xml:space="preserve">. In addition, any baseline scenario that is not aligned with government policies but instead constrains their outcomes shall be excluded. Baseline scenarios surveys should </w:t>
      </w:r>
      <w:r w:rsidRPr="00E82984">
        <w:t>assess the percent of households in the target population with a functional technology that is equivalent to the project technology as part of the common practice additionality check</w:t>
      </w:r>
      <w:r w:rsidRPr="00E82984">
        <w:rPr>
          <w:rFonts w:eastAsia="Montserrat"/>
        </w:rPr>
        <w:t xml:space="preserve">, as detailed in </w:t>
      </w:r>
      <w:hyperlink w:anchor="S9" w:history="1">
        <w:r w:rsidR="0089540B" w:rsidRPr="00E82984">
          <w:rPr>
            <w:rStyle w:val="Hyperlink"/>
            <w:rFonts w:eastAsia="Montserrat"/>
          </w:rPr>
          <w:t>s</w:t>
        </w:r>
        <w:r w:rsidRPr="00E82984">
          <w:rPr>
            <w:rStyle w:val="Hyperlink"/>
            <w:rFonts w:eastAsia="Montserrat"/>
          </w:rPr>
          <w:t>ection 9</w:t>
        </w:r>
      </w:hyperlink>
      <w:r w:rsidRPr="00E82984">
        <w:rPr>
          <w:rFonts w:eastAsia="Montserrat"/>
        </w:rPr>
        <w:t xml:space="preserve">. </w:t>
      </w:r>
      <w:r w:rsidRPr="00E82984">
        <w:t>If greater</w:t>
      </w:r>
      <w:r w:rsidRPr="009C0779">
        <w:t xml:space="preserve"> than 30%, the project must provide a justification for the additionality of the project on the </w:t>
      </w:r>
      <w:hyperlink w:anchor="A1" w:history="1">
        <w:r w:rsidRPr="00850906">
          <w:rPr>
            <w:rStyle w:val="Hyperlink"/>
          </w:rPr>
          <w:t>Project Information Cover Sheet</w:t>
        </w:r>
      </w:hyperlink>
      <w:r w:rsidRPr="009C0779">
        <w:t xml:space="preserve">. </w:t>
      </w:r>
    </w:p>
    <w:p w14:paraId="09B43AF7" w14:textId="77777777" w:rsidR="009C0779" w:rsidRDefault="00714248" w:rsidP="00714248">
      <w:pPr>
        <w:pStyle w:val="SDMPara"/>
        <w:rPr>
          <w:rFonts w:eastAsia="Montserrat"/>
        </w:rPr>
      </w:pPr>
      <w:r w:rsidRPr="009C0779">
        <w:rPr>
          <w:rFonts w:eastAsia="Montserrat"/>
        </w:rPr>
        <w:t xml:space="preserve">The baseline scenario shall remain valid for the duration of the reasonably expected remaining lifetime of the baseline cookstoves. In practice, this provision does not, by itself, require any change in the baseline scenario during the crediting period: if a baseline cookstove reaches the end of its lifetime during the crediting period, the project proponent may assume that the household, in the absence of the project, would naturally </w:t>
      </w:r>
      <w:r w:rsidRPr="009C0779">
        <w:rPr>
          <w:rFonts w:eastAsia="Montserrat"/>
        </w:rPr>
        <w:lastRenderedPageBreak/>
        <w:t>replace it with a cookstove of the same type and performance. This assumption reflects that cookstove project crediting periods are relatively short, and without targeted support, households are unlikely to transition to improved or cleaner cookstoves during this period due to persistent affordability and access barriers, as identified in the additionality analysis.</w:t>
      </w:r>
    </w:p>
    <w:p w14:paraId="507F4C93" w14:textId="77777777" w:rsidR="009C0779" w:rsidRDefault="00714248" w:rsidP="00714248">
      <w:pPr>
        <w:pStyle w:val="SDMPara"/>
        <w:rPr>
          <w:rFonts w:eastAsia="Montserrat"/>
        </w:rPr>
      </w:pPr>
      <w:r w:rsidRPr="009C0779">
        <w:rPr>
          <w:rFonts w:eastAsia="Montserrat"/>
          <w:b/>
        </w:rPr>
        <w:t>Additional requirements for non-CTEC and CTEC projects conducting baseline KPTs:</w:t>
      </w:r>
      <w:r w:rsidRPr="009C0779">
        <w:rPr>
          <w:rFonts w:eastAsia="Montserrat"/>
        </w:rPr>
        <w:t xml:space="preserve"> </w:t>
      </w:r>
    </w:p>
    <w:p w14:paraId="4F939415" w14:textId="23CB5E01" w:rsidR="009C0779" w:rsidRPr="00714248" w:rsidRDefault="00714248" w:rsidP="00714248">
      <w:pPr>
        <w:pStyle w:val="SDMSubPara1"/>
        <w:rPr>
          <w:rFonts w:eastAsia="Montserrat"/>
        </w:rPr>
      </w:pPr>
      <w:r w:rsidRPr="009C0779">
        <w:rPr>
          <w:rFonts w:eastAsia="Montserrat"/>
        </w:rPr>
        <w:t xml:space="preserve">Proponents of non-CTEC or CTEC projects using the KPT to measure the baseline must also use the baseline scenario survey to collect data on the relative fuel use at different times of the year to address potential seasonal variation. The following question (or an appropriate variation) must be asked, “Relative to the amount of fuel you used this week, are there other times of the year when you use more fuel? If so, when? And/or less fuel? If so, when?” For additional information on addressing seasonal variation in fuel consumption, see </w:t>
      </w:r>
      <w:r w:rsidR="00E5467D">
        <w:rPr>
          <w:rFonts w:eastAsia="Montserrat"/>
        </w:rPr>
        <w:t>“</w:t>
      </w:r>
      <w:r w:rsidR="00E5467D">
        <w:rPr>
          <w:rFonts w:eastAsia="Montserrat"/>
          <w:i/>
        </w:rPr>
        <w:t>Other m</w:t>
      </w:r>
      <w:r w:rsidRPr="009C0779">
        <w:rPr>
          <w:rFonts w:eastAsia="Montserrat"/>
          <w:i/>
        </w:rPr>
        <w:t xml:space="preserve">onitoring </w:t>
      </w:r>
      <w:r w:rsidR="00E5467D" w:rsidRPr="00C36B1C">
        <w:rPr>
          <w:rFonts w:eastAsia="Montserrat"/>
          <w:i/>
        </w:rPr>
        <w:t>r</w:t>
      </w:r>
      <w:r w:rsidRPr="00C36B1C">
        <w:rPr>
          <w:rFonts w:eastAsia="Montserrat"/>
          <w:i/>
        </w:rPr>
        <w:t>equirements</w:t>
      </w:r>
      <w:r w:rsidR="00E5467D" w:rsidRPr="00C36B1C">
        <w:rPr>
          <w:rFonts w:eastAsia="Montserrat"/>
          <w:i/>
        </w:rPr>
        <w:t>”</w:t>
      </w:r>
      <w:r w:rsidRPr="00C36B1C">
        <w:rPr>
          <w:rFonts w:eastAsia="Montserrat"/>
        </w:rPr>
        <w:t xml:space="preserve"> in </w:t>
      </w:r>
      <w:hyperlink w:anchor="S151" w:history="1">
        <w:r w:rsidRPr="00C36B1C">
          <w:rPr>
            <w:rStyle w:val="Hyperlink"/>
            <w:rFonts w:eastAsia="Montserrat"/>
          </w:rPr>
          <w:t xml:space="preserve">section </w:t>
        </w:r>
        <w:r w:rsidR="00E5467D" w:rsidRPr="00C36B1C">
          <w:rPr>
            <w:rStyle w:val="Hyperlink"/>
            <w:rFonts w:eastAsia="Montserrat"/>
          </w:rPr>
          <w:t>15</w:t>
        </w:r>
        <w:r w:rsidRPr="00C36B1C">
          <w:rPr>
            <w:rStyle w:val="Hyperlink"/>
            <w:rFonts w:eastAsia="Montserrat"/>
          </w:rPr>
          <w:t>.</w:t>
        </w:r>
        <w:r w:rsidR="00E5467D" w:rsidRPr="00C36B1C">
          <w:rPr>
            <w:rStyle w:val="Hyperlink"/>
            <w:rFonts w:eastAsia="Montserrat"/>
          </w:rPr>
          <w:t>1</w:t>
        </w:r>
      </w:hyperlink>
      <w:r w:rsidR="00E5467D" w:rsidRPr="00C36B1C">
        <w:rPr>
          <w:rFonts w:eastAsia="Montserrat"/>
        </w:rPr>
        <w:t>.</w:t>
      </w:r>
    </w:p>
    <w:p w14:paraId="2B6A1E94" w14:textId="77777777" w:rsidR="009C0779" w:rsidRPr="009C0779" w:rsidRDefault="00714248" w:rsidP="00714248">
      <w:pPr>
        <w:pStyle w:val="SDMSubPara1"/>
        <w:rPr>
          <w:rFonts w:eastAsia="Montserrat"/>
        </w:rPr>
      </w:pPr>
      <w:r w:rsidRPr="009C0779">
        <w:rPr>
          <w:rFonts w:eastAsia="Arial Nova"/>
        </w:rPr>
        <w:t xml:space="preserve">For projects with KPT baselines, project proponents must also identify any mismatch between values documented during the baseline scenario and those reported by actual project households during the first project usage survey for primary fuel type and household size. This assessment should be carried </w:t>
      </w:r>
      <w:r w:rsidRPr="009C0779">
        <w:rPr>
          <w:rFonts w:eastAsia="Arial Nova"/>
          <w:color w:val="000000" w:themeColor="text1"/>
        </w:rPr>
        <w:t xml:space="preserve">out using retrospective questions of project households during the first usage survey in any given household. </w:t>
      </w:r>
    </w:p>
    <w:p w14:paraId="762095DD" w14:textId="77777777" w:rsidR="009C0779" w:rsidRPr="009C0779" w:rsidRDefault="00714248" w:rsidP="00714248">
      <w:pPr>
        <w:pStyle w:val="SDMSubPara1"/>
        <w:rPr>
          <w:rFonts w:eastAsia="Montserrat"/>
        </w:rPr>
      </w:pPr>
      <w:r w:rsidRPr="009C0779">
        <w:rPr>
          <w:rFonts w:eastAsia="Arial"/>
          <w:color w:val="000000" w:themeColor="text1"/>
        </w:rPr>
        <w:t xml:space="preserve">Where a material discrepancy between the baseline scenario and baseline observed in project households occurs, project proponents must either not claim emission reductions for households that do not conform to the baseline scenario profile or follow requirements on adjusting the parameter value to produce the lower emissions reduction estimate. </w:t>
      </w:r>
    </w:p>
    <w:p w14:paraId="49948B0E" w14:textId="77777777" w:rsidR="00714248" w:rsidRPr="009C0779" w:rsidRDefault="00714248" w:rsidP="00714248">
      <w:pPr>
        <w:pStyle w:val="SDMSubPara1"/>
        <w:rPr>
          <w:rFonts w:eastAsia="Montserrat"/>
        </w:rPr>
      </w:pPr>
      <w:r w:rsidRPr="009C0779">
        <w:rPr>
          <w:rFonts w:eastAsia="Arial Nova"/>
          <w:color w:val="000000" w:themeColor="text1"/>
        </w:rPr>
        <w:t>A material discrepancy is defined as more than a 10% absolute difference</w:t>
      </w:r>
      <w:r w:rsidRPr="00B33BB6">
        <w:rPr>
          <w:rStyle w:val="FootnoteReference"/>
          <w:rFonts w:eastAsia="Arial Nova"/>
          <w:color w:val="000000" w:themeColor="text1"/>
        </w:rPr>
        <w:footnoteReference w:id="7"/>
      </w:r>
      <w:r w:rsidRPr="009C0779">
        <w:rPr>
          <w:rFonts w:eastAsia="Arial Nova"/>
          <w:color w:val="000000" w:themeColor="text1"/>
        </w:rPr>
        <w:t xml:space="preserve"> between the baseline scenario and the baseline observed in project households for the primary fuel type used</w:t>
      </w:r>
      <w:r w:rsidRPr="00B33BB6">
        <w:rPr>
          <w:rStyle w:val="FootnoteReference"/>
          <w:rFonts w:eastAsia="Arial Nova"/>
          <w:color w:val="000000" w:themeColor="text1"/>
        </w:rPr>
        <w:footnoteReference w:id="8"/>
      </w:r>
      <w:r w:rsidRPr="009C0779">
        <w:rPr>
          <w:rFonts w:eastAsia="Arial Nova"/>
          <w:color w:val="000000" w:themeColor="text1"/>
        </w:rPr>
        <w:t>. For household size, a material discrepancy is defined as an estimate measured during a project usage scenario (Hs) that is greater than the baseline scenario estimate. When calculating the difference, the absolute difference should be relative to the project estimate. For example, if the proportion of use events with wood is 85% in the baseline and 80% in the project, the difference is estimated as (0.85-0.80)/0.80 = 6.2% (within the 10% threshold). Specific requirements for baseline and project scenario comparisons are provided in the table below.</w:t>
      </w:r>
    </w:p>
    <w:p w14:paraId="62A785A1" w14:textId="2C7E76A5" w:rsidR="00DF570E" w:rsidRDefault="00DF570E">
      <w:pPr>
        <w:jc w:val="left"/>
        <w:rPr>
          <w:rFonts w:eastAsia="Montserrat" w:cs="Arial"/>
          <w:color w:val="008080"/>
          <w:szCs w:val="22"/>
          <w:u w:val="single"/>
        </w:rPr>
      </w:pPr>
      <w:r>
        <w:rPr>
          <w:rFonts w:eastAsia="Montserrat" w:cs="Arial"/>
          <w:color w:val="008080"/>
          <w:szCs w:val="22"/>
          <w:u w:val="single"/>
        </w:rPr>
        <w:br w:type="page"/>
      </w:r>
    </w:p>
    <w:p w14:paraId="0A9A6545" w14:textId="77777777" w:rsidR="00714248" w:rsidRPr="00714248" w:rsidRDefault="00714248" w:rsidP="00714248">
      <w:pPr>
        <w:rPr>
          <w:rFonts w:eastAsia="Montserrat" w:cs="Arial"/>
          <w:color w:val="008080"/>
          <w:szCs w:val="22"/>
          <w:u w:val="single"/>
        </w:rPr>
      </w:pPr>
    </w:p>
    <w:tbl>
      <w:tblPr>
        <w:tblW w:w="0" w:type="auto"/>
        <w:tblLayout w:type="fixed"/>
        <w:tblLook w:val="06A0" w:firstRow="1" w:lastRow="0" w:firstColumn="1" w:lastColumn="0" w:noHBand="1" w:noVBand="1"/>
      </w:tblPr>
      <w:tblGrid>
        <w:gridCol w:w="5510"/>
        <w:gridCol w:w="4006"/>
      </w:tblGrid>
      <w:tr w:rsidR="00714248" w:rsidRPr="00B33BB6" w14:paraId="5592C233" w14:textId="77777777">
        <w:trPr>
          <w:trHeight w:val="300"/>
        </w:trPr>
        <w:tc>
          <w:tcPr>
            <w:tcW w:w="9516"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FBE60C2" w14:textId="77777777" w:rsidR="00714248" w:rsidRPr="00B33BB6" w:rsidRDefault="00714248">
            <w:pPr>
              <w:jc w:val="center"/>
              <w:rPr>
                <w:rFonts w:eastAsia="Montserrat" w:cs="Arial"/>
                <w:b/>
                <w:bCs/>
                <w:color w:val="008080"/>
                <w:szCs w:val="22"/>
                <w:u w:val="single"/>
              </w:rPr>
            </w:pPr>
            <w:r w:rsidRPr="00B33BB6">
              <w:rPr>
                <w:rFonts w:eastAsia="Montserrat" w:cs="Arial"/>
                <w:b/>
                <w:color w:val="000000" w:themeColor="text1"/>
                <w:szCs w:val="22"/>
                <w:u w:val="single"/>
              </w:rPr>
              <w:t>Requirements for baseline and project scenario comparisons</w:t>
            </w:r>
          </w:p>
        </w:tc>
      </w:tr>
      <w:tr w:rsidR="00714248" w:rsidRPr="00B33BB6" w14:paraId="272F35CF" w14:textId="77777777">
        <w:trPr>
          <w:trHeight w:val="300"/>
        </w:trPr>
        <w:tc>
          <w:tcPr>
            <w:tcW w:w="55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A31028E" w14:textId="77777777" w:rsidR="00714248" w:rsidRPr="00B33BB6" w:rsidRDefault="00714248">
            <w:pPr>
              <w:rPr>
                <w:rFonts w:eastAsia="Arial Nova" w:cs="Arial"/>
                <w:b/>
                <w:color w:val="000000" w:themeColor="text1"/>
                <w:szCs w:val="22"/>
              </w:rPr>
            </w:pPr>
            <w:r w:rsidRPr="00B33BB6">
              <w:rPr>
                <w:rFonts w:eastAsia="Arial Nova" w:cs="Arial"/>
                <w:b/>
                <w:color w:val="000000" w:themeColor="text1"/>
                <w:szCs w:val="22"/>
              </w:rPr>
              <w:t>Potential material difference</w:t>
            </w:r>
          </w:p>
        </w:tc>
        <w:tc>
          <w:tcPr>
            <w:tcW w:w="400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53BEE3B" w14:textId="77777777" w:rsidR="00714248" w:rsidRPr="00B33BB6" w:rsidRDefault="00714248">
            <w:pPr>
              <w:rPr>
                <w:rFonts w:eastAsia="Arial Nova" w:cs="Arial"/>
                <w:b/>
                <w:color w:val="000000" w:themeColor="text1"/>
                <w:szCs w:val="22"/>
              </w:rPr>
            </w:pPr>
            <w:r w:rsidRPr="00B33BB6">
              <w:rPr>
                <w:rFonts w:eastAsia="Arial Nova" w:cs="Arial"/>
                <w:b/>
                <w:color w:val="000000" w:themeColor="text1"/>
                <w:szCs w:val="22"/>
              </w:rPr>
              <w:t>Action required</w:t>
            </w:r>
          </w:p>
        </w:tc>
      </w:tr>
      <w:tr w:rsidR="00714248" w:rsidRPr="00B33BB6" w14:paraId="174E774F" w14:textId="77777777">
        <w:trPr>
          <w:trHeight w:val="300"/>
        </w:trPr>
        <w:tc>
          <w:tcPr>
            <w:tcW w:w="55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9302103" w14:textId="77777777" w:rsidR="00714248" w:rsidRPr="00B33BB6" w:rsidRDefault="00714248">
            <w:pPr>
              <w:rPr>
                <w:rFonts w:eastAsia="Arial Nova" w:cs="Arial"/>
                <w:color w:val="000000" w:themeColor="text1"/>
                <w:szCs w:val="22"/>
              </w:rPr>
            </w:pPr>
            <w:r w:rsidRPr="00B33BB6">
              <w:rPr>
                <w:rFonts w:eastAsia="Arial Nova" w:cs="Arial"/>
                <w:color w:val="000000" w:themeColor="text1"/>
                <w:szCs w:val="22"/>
              </w:rPr>
              <w:t>The number of people per household in the project is greater than in the baseline scenario.</w:t>
            </w:r>
          </w:p>
        </w:tc>
        <w:tc>
          <w:tcPr>
            <w:tcW w:w="400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66F4FA0" w14:textId="77777777" w:rsidR="00714248" w:rsidRPr="00B33BB6" w:rsidRDefault="00714248">
            <w:pPr>
              <w:rPr>
                <w:rFonts w:eastAsia="Arial Nova" w:cs="Arial"/>
                <w:color w:val="000000" w:themeColor="text1"/>
                <w:szCs w:val="22"/>
              </w:rPr>
            </w:pPr>
            <w:r w:rsidRPr="00B33BB6">
              <w:rPr>
                <w:rFonts w:eastAsia="Arial Nova" w:cs="Arial"/>
                <w:color w:val="000000" w:themeColor="text1"/>
                <w:szCs w:val="22"/>
              </w:rPr>
              <w:t>The number of people per household (Hs) estimated from project usage surveys must be lowered to the baseline scenario.</w:t>
            </w:r>
          </w:p>
        </w:tc>
      </w:tr>
      <w:tr w:rsidR="00714248" w:rsidRPr="00B33BB6" w14:paraId="446E5C0C" w14:textId="77777777">
        <w:trPr>
          <w:trHeight w:val="300"/>
        </w:trPr>
        <w:tc>
          <w:tcPr>
            <w:tcW w:w="55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843BE6F" w14:textId="77777777" w:rsidR="00714248" w:rsidRPr="00B33BB6" w:rsidRDefault="00714248">
            <w:pPr>
              <w:rPr>
                <w:rFonts w:eastAsia="Arial Nova" w:cs="Arial"/>
                <w:color w:val="000000" w:themeColor="text1"/>
                <w:szCs w:val="22"/>
              </w:rPr>
            </w:pPr>
            <w:r w:rsidRPr="00B33BB6">
              <w:rPr>
                <w:rFonts w:eastAsia="Arial Nova" w:cs="Arial"/>
                <w:color w:val="000000" w:themeColor="text1"/>
                <w:szCs w:val="22"/>
              </w:rPr>
              <w:t xml:space="preserve"> The number of people per household in the project is less than in the baseline scenario. </w:t>
            </w:r>
          </w:p>
        </w:tc>
        <w:tc>
          <w:tcPr>
            <w:tcW w:w="400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9ED6CA9" w14:textId="77777777" w:rsidR="00714248" w:rsidRPr="00B33BB6" w:rsidRDefault="00714248">
            <w:pPr>
              <w:rPr>
                <w:rFonts w:eastAsia="Arial Nova" w:cs="Arial"/>
                <w:color w:val="000000" w:themeColor="text1"/>
                <w:szCs w:val="22"/>
              </w:rPr>
            </w:pPr>
            <w:r w:rsidRPr="00B33BB6">
              <w:rPr>
                <w:rFonts w:eastAsia="Arial Nova" w:cs="Arial"/>
                <w:color w:val="000000" w:themeColor="text1"/>
                <w:szCs w:val="22"/>
              </w:rPr>
              <w:t>No change</w:t>
            </w:r>
          </w:p>
        </w:tc>
      </w:tr>
      <w:tr w:rsidR="00714248" w:rsidRPr="00B33BB6" w14:paraId="36890616" w14:textId="77777777">
        <w:trPr>
          <w:trHeight w:val="300"/>
        </w:trPr>
        <w:tc>
          <w:tcPr>
            <w:tcW w:w="55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8CE0B3B" w14:textId="77777777" w:rsidR="00714248" w:rsidRPr="00B33BB6" w:rsidRDefault="00714248">
            <w:pPr>
              <w:rPr>
                <w:rFonts w:eastAsia="Arial Nova" w:cs="Arial"/>
                <w:color w:val="000000" w:themeColor="text1"/>
                <w:szCs w:val="22"/>
              </w:rPr>
            </w:pPr>
            <w:r w:rsidRPr="00B33BB6">
              <w:rPr>
                <w:rFonts w:eastAsia="Arial Nova" w:cs="Arial"/>
                <w:color w:val="000000" w:themeColor="text1"/>
                <w:szCs w:val="22"/>
              </w:rPr>
              <w:t>The primary fuel used for cooking events identified through the baseline scenario survey is more than 10% different from that determined retrospectively through the first project usage survey, and the difference results in baseline emissions that are lower than they would be if the proportion of primary fuel from the baseline and project scenarios matched. For example, if the baseline (from before the project technology was introduced) scenario indicates 85% wood use, and 15% charcoal use; and the first project usage survey indicates a baseline of 75% wood use and 25% charcoal use, then the emissions in the baseline scenario would be considered conservative, as charcoal has higher CO</w:t>
            </w:r>
            <w:r w:rsidRPr="00B33BB6">
              <w:rPr>
                <w:rFonts w:eastAsia="Arial Nova" w:cs="Arial"/>
                <w:color w:val="000000" w:themeColor="text1"/>
                <w:szCs w:val="22"/>
                <w:vertAlign w:val="subscript"/>
              </w:rPr>
              <w:t>2</w:t>
            </w:r>
            <w:r w:rsidRPr="00B33BB6">
              <w:rPr>
                <w:rFonts w:eastAsia="Arial Nova" w:cs="Arial"/>
                <w:color w:val="000000" w:themeColor="text1"/>
                <w:szCs w:val="22"/>
              </w:rPr>
              <w:t xml:space="preserve">e emissions than wood per unit of useful energy delivered. If more than two fuels are used, the same process must be applied for all. </w:t>
            </w:r>
          </w:p>
        </w:tc>
        <w:tc>
          <w:tcPr>
            <w:tcW w:w="400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391AC39" w14:textId="77777777" w:rsidR="00714248" w:rsidRPr="00B33BB6" w:rsidRDefault="00714248">
            <w:pPr>
              <w:rPr>
                <w:rFonts w:eastAsia="Arial Nova" w:cs="Arial"/>
                <w:color w:val="000000" w:themeColor="text1"/>
                <w:szCs w:val="22"/>
              </w:rPr>
            </w:pPr>
            <w:r w:rsidRPr="00B33BB6">
              <w:rPr>
                <w:rFonts w:eastAsia="Arial Nova" w:cs="Arial"/>
                <w:color w:val="000000" w:themeColor="text1"/>
                <w:szCs w:val="22"/>
              </w:rPr>
              <w:t>No change</w:t>
            </w:r>
          </w:p>
        </w:tc>
      </w:tr>
      <w:tr w:rsidR="00714248" w:rsidRPr="00B33BB6" w14:paraId="6E03F3EB" w14:textId="77777777">
        <w:trPr>
          <w:trHeight w:val="300"/>
        </w:trPr>
        <w:tc>
          <w:tcPr>
            <w:tcW w:w="55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1BB4BBD" w14:textId="77777777" w:rsidR="00714248" w:rsidRPr="00B33BB6" w:rsidRDefault="00714248">
            <w:pPr>
              <w:rPr>
                <w:rFonts w:eastAsia="Arial Nova" w:cs="Arial"/>
                <w:color w:val="000000" w:themeColor="text1"/>
                <w:szCs w:val="22"/>
              </w:rPr>
            </w:pPr>
            <w:r w:rsidRPr="00B33BB6">
              <w:rPr>
                <w:rFonts w:eastAsia="Arial Nova" w:cs="Arial"/>
                <w:color w:val="000000" w:themeColor="text1"/>
                <w:szCs w:val="22"/>
              </w:rPr>
              <w:t>The primary fuel used for cooking events identified through the baseline scenario survey is more than 10% different from that determined retrospectively through the first project usage survey and the difference results in baseline emissions that are higher than they would be if the proportion of primary fuel in baseline and project scenarios matched. For example, if the baseline scenario indicates 75% primary wood use, and 25% charcoal use; and the first project usage survey indicates a baseline of 85% wood use and 15% charcoal use (from before the project technology was introduced), then the emissions in the baseline scenario would be considered non-conservative, as charcoal has higher CO</w:t>
            </w:r>
            <w:r w:rsidRPr="00B33BB6">
              <w:rPr>
                <w:rFonts w:eastAsia="Arial Nova" w:cs="Arial"/>
                <w:color w:val="000000" w:themeColor="text1"/>
                <w:szCs w:val="22"/>
                <w:vertAlign w:val="subscript"/>
              </w:rPr>
              <w:t>2</w:t>
            </w:r>
            <w:r w:rsidRPr="00B33BB6">
              <w:rPr>
                <w:rFonts w:eastAsia="Arial Nova" w:cs="Arial"/>
                <w:color w:val="000000" w:themeColor="text1"/>
                <w:szCs w:val="22"/>
              </w:rPr>
              <w:t>e emissions than wood per TJ of useful energy delivered. If more than two fuels are used, the same process must be applied for all.</w:t>
            </w:r>
          </w:p>
        </w:tc>
        <w:tc>
          <w:tcPr>
            <w:tcW w:w="400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9557205" w14:textId="77777777" w:rsidR="00714248" w:rsidRPr="00B33BB6" w:rsidRDefault="00714248">
            <w:pPr>
              <w:rPr>
                <w:rFonts w:eastAsia="Arial Nova" w:cs="Arial"/>
                <w:color w:val="000000" w:themeColor="text1"/>
                <w:szCs w:val="22"/>
              </w:rPr>
            </w:pPr>
            <w:r w:rsidRPr="00B33BB6">
              <w:rPr>
                <w:rFonts w:eastAsia="Arial Nova" w:cs="Arial"/>
                <w:color w:val="000000" w:themeColor="text1"/>
                <w:szCs w:val="22"/>
              </w:rPr>
              <w:t xml:space="preserve">The project must exclude the baseline energy consumption from non-primary fuels in the estimation of baseline </w:t>
            </w:r>
            <w:proofErr w:type="gramStart"/>
            <w:r w:rsidRPr="00B33BB6">
              <w:rPr>
                <w:rFonts w:eastAsia="Arial Nova" w:cs="Arial"/>
                <w:color w:val="000000" w:themeColor="text1"/>
                <w:szCs w:val="22"/>
              </w:rPr>
              <w:t>emissions, or</w:t>
            </w:r>
            <w:proofErr w:type="gramEnd"/>
            <w:r w:rsidRPr="00B33BB6">
              <w:rPr>
                <w:rFonts w:eastAsia="Arial Nova" w:cs="Arial"/>
                <w:color w:val="000000" w:themeColor="text1"/>
                <w:szCs w:val="22"/>
              </w:rPr>
              <w:t xml:space="preserve"> proportionately reduce the energy consumption of the primary fuel by the percent difference in primary fuel use between the baseline scenario and project-estimated baseline from the first project usage survey, whichever results in a lower baseline CO</w:t>
            </w:r>
            <w:r w:rsidRPr="00B33BB6">
              <w:rPr>
                <w:rFonts w:eastAsia="Arial Nova" w:cs="Arial"/>
                <w:color w:val="000000" w:themeColor="text1"/>
                <w:szCs w:val="22"/>
                <w:vertAlign w:val="subscript"/>
              </w:rPr>
              <w:t>2</w:t>
            </w:r>
            <w:r w:rsidRPr="00B33BB6">
              <w:rPr>
                <w:rFonts w:eastAsia="Arial Nova" w:cs="Arial"/>
                <w:color w:val="000000" w:themeColor="text1"/>
                <w:szCs w:val="22"/>
              </w:rPr>
              <w:t>e emissions estimate.</w:t>
            </w:r>
          </w:p>
        </w:tc>
      </w:tr>
    </w:tbl>
    <w:p w14:paraId="28B170DD" w14:textId="77777777" w:rsidR="00714248" w:rsidRPr="00714248" w:rsidRDefault="00714248" w:rsidP="00714248">
      <w:pPr>
        <w:rPr>
          <w:rFonts w:cs="Arial"/>
        </w:rPr>
      </w:pPr>
    </w:p>
    <w:p w14:paraId="01B8160F" w14:textId="283A38DB" w:rsidR="00A01D63" w:rsidRPr="00B32448" w:rsidRDefault="00714248" w:rsidP="00B32448">
      <w:pPr>
        <w:pBdr>
          <w:top w:val="nil"/>
          <w:left w:val="nil"/>
          <w:bottom w:val="nil"/>
          <w:right w:val="nil"/>
          <w:between w:val="nil"/>
        </w:pBdr>
        <w:tabs>
          <w:tab w:val="left" w:pos="510"/>
        </w:tabs>
        <w:spacing w:before="60" w:after="60"/>
        <w:rPr>
          <w:rFonts w:eastAsia="Arial Nova" w:cs="Arial"/>
          <w:szCs w:val="22"/>
        </w:rPr>
      </w:pPr>
      <w:r w:rsidRPr="00714248">
        <w:rPr>
          <w:rFonts w:eastAsia="Arial Nova" w:cs="Arial"/>
          <w:szCs w:val="22"/>
        </w:rPr>
        <w:t xml:space="preserve">Sample size requirements for baseline scenario parameters are </w:t>
      </w:r>
      <w:r w:rsidRPr="00934A9C">
        <w:rPr>
          <w:rFonts w:eastAsia="Arial Nova" w:cs="Arial"/>
          <w:szCs w:val="22"/>
        </w:rPr>
        <w:t xml:space="preserve">provided in </w:t>
      </w:r>
      <w:hyperlink w:anchor="A10" w:history="1">
        <w:r w:rsidRPr="00934A9C">
          <w:rPr>
            <w:rStyle w:val="Hyperlink"/>
            <w:rFonts w:eastAsia="Arial Nova" w:cs="Arial"/>
            <w:szCs w:val="22"/>
          </w:rPr>
          <w:t>Appendix 10</w:t>
        </w:r>
      </w:hyperlink>
      <w:r w:rsidRPr="00934A9C">
        <w:rPr>
          <w:rFonts w:eastAsia="Arial Nova" w:cs="Arial"/>
          <w:szCs w:val="22"/>
        </w:rPr>
        <w:t>.</w:t>
      </w:r>
      <w:bookmarkStart w:id="43" w:name="_Toc203294052"/>
    </w:p>
    <w:p w14:paraId="36CF73D3" w14:textId="77777777" w:rsidR="009626FA" w:rsidRDefault="009626FA" w:rsidP="009626FA">
      <w:pPr>
        <w:pStyle w:val="SDMHead3"/>
      </w:pPr>
      <w:r>
        <w:lastRenderedPageBreak/>
        <w:t>C</w:t>
      </w:r>
      <w:bookmarkStart w:id="44" w:name="S1022"/>
      <w:r>
        <w:t>alculation</w:t>
      </w:r>
      <w:bookmarkEnd w:id="44"/>
      <w:r>
        <w:t xml:space="preserve"> of baseline emissions prior to downward adjustment</w:t>
      </w:r>
      <w:bookmarkEnd w:id="43"/>
    </w:p>
    <w:p w14:paraId="6A75894F" w14:textId="77777777" w:rsidR="009C0779" w:rsidRPr="00582FEA" w:rsidRDefault="00582FEA" w:rsidP="00582FEA">
      <w:pPr>
        <w:pStyle w:val="SDMPara"/>
        <w:shd w:val="clear" w:color="auto" w:fill="FFFFFF" w:themeFill="background1"/>
      </w:pPr>
      <w:r w:rsidRPr="009C0779">
        <w:rPr>
          <w:color w:val="000000" w:themeColor="text1"/>
        </w:rPr>
        <w:t>This methodology determines both baseline and project emissions by calculating GHG emissions from electricity, renewable and non-renewable fuels. </w:t>
      </w:r>
    </w:p>
    <w:p w14:paraId="32AF4966" w14:textId="476105BC" w:rsidR="009C0779" w:rsidRPr="00582FEA" w:rsidRDefault="00582FEA" w:rsidP="00582FEA">
      <w:pPr>
        <w:pStyle w:val="SDMPara"/>
        <w:shd w:val="clear" w:color="auto" w:fill="FFFFFF" w:themeFill="background1"/>
      </w:pPr>
      <w:r w:rsidRPr="009C0779">
        <w:rPr>
          <w:color w:val="000000" w:themeColor="text1"/>
        </w:rPr>
        <w:t xml:space="preserve">Electricity can include both grid and off-grid sources. Emissions from grid electricity are country-specific and calculated based on marginal emission factors from the International Financial Institutions Technical Working Group on GHG Accounting, (provided </w:t>
      </w:r>
      <w:r w:rsidRPr="00934A9C">
        <w:rPr>
          <w:color w:val="000000" w:themeColor="text1"/>
        </w:rPr>
        <w:t xml:space="preserve">in </w:t>
      </w:r>
      <w:hyperlink w:anchor="A2" w:history="1">
        <w:r w:rsidRPr="00934A9C">
          <w:rPr>
            <w:rStyle w:val="Hyperlink"/>
          </w:rPr>
          <w:t>Appendix 2: Grid Emission Factors</w:t>
        </w:r>
      </w:hyperlink>
      <w:r w:rsidRPr="00934A9C">
        <w:rPr>
          <w:color w:val="000000" w:themeColor="text1"/>
        </w:rPr>
        <w:t>)</w:t>
      </w:r>
      <w:r w:rsidRPr="009C0779">
        <w:rPr>
          <w:color w:val="000000" w:themeColor="text1"/>
        </w:rPr>
        <w:t xml:space="preserve"> or based on marginal emission factors provided by the relevant national authority. Emissions from off-grid sources are technology-specific </w:t>
      </w:r>
      <w:r w:rsidRPr="00934A9C">
        <w:rPr>
          <w:color w:val="000000" w:themeColor="text1"/>
        </w:rPr>
        <w:t xml:space="preserve">(provided in </w:t>
      </w:r>
      <w:hyperlink w:anchor="A3" w:history="1">
        <w:r w:rsidRPr="00934A9C">
          <w:rPr>
            <w:rStyle w:val="Hyperlink"/>
          </w:rPr>
          <w:t>Appendix 3: Off-Grid Emission Factors for Select Technologies</w:t>
        </w:r>
      </w:hyperlink>
      <w:r w:rsidRPr="00934A9C">
        <w:rPr>
          <w:color w:val="000000" w:themeColor="text1"/>
        </w:rPr>
        <w:t>). The</w:t>
      </w:r>
      <w:r w:rsidRPr="009C0779">
        <w:rPr>
          <w:color w:val="000000" w:themeColor="text1"/>
        </w:rPr>
        <w:t xml:space="preserve"> off-grid component includes both individual household systems and mini-grids using either single or multiple sources of power.</w:t>
      </w:r>
    </w:p>
    <w:p w14:paraId="4A5B0BFF" w14:textId="77777777" w:rsidR="009C0779" w:rsidRPr="00582FEA" w:rsidRDefault="00582FEA" w:rsidP="00582FEA">
      <w:pPr>
        <w:pStyle w:val="SDMPara"/>
        <w:shd w:val="clear" w:color="auto" w:fill="FFFFFF" w:themeFill="background1"/>
      </w:pPr>
      <w:r w:rsidRPr="009C0779">
        <w:rPr>
          <w:color w:val="000000" w:themeColor="text1"/>
        </w:rPr>
        <w:t>Renewable fuels include the renewable fraction of fuelwood and charcoal, waste biomass like crop residues and dung, processed biomass like briquettes and pellets from fully renewable sources, bioethanol, biogas, and solar. </w:t>
      </w:r>
    </w:p>
    <w:p w14:paraId="5EC06BD4" w14:textId="77777777" w:rsidR="009C0779" w:rsidRPr="00582FEA" w:rsidRDefault="00582FEA" w:rsidP="00582FEA">
      <w:pPr>
        <w:pStyle w:val="SDMPara"/>
        <w:shd w:val="clear" w:color="auto" w:fill="FFFFFF" w:themeFill="background1"/>
      </w:pPr>
      <w:r w:rsidRPr="009C0779">
        <w:rPr>
          <w:color w:val="000000" w:themeColor="text1"/>
        </w:rPr>
        <w:t>Non-renewable fuels refer to the non-renewable fraction of fuelwood and charcoal, as well as fossil fuels such as LPG, coal, and kerosene. </w:t>
      </w:r>
    </w:p>
    <w:p w14:paraId="6309AACE" w14:textId="77777777" w:rsidR="009C0779" w:rsidRPr="00582FEA" w:rsidRDefault="00582FEA" w:rsidP="009C0779">
      <w:pPr>
        <w:pStyle w:val="SDMPara"/>
        <w:shd w:val="clear" w:color="auto" w:fill="FFFFFF" w:themeFill="background1"/>
      </w:pPr>
      <w:r w:rsidRPr="009C0779">
        <w:rPr>
          <w:color w:val="000000" w:themeColor="text1"/>
        </w:rPr>
        <w:t xml:space="preserve">To account for renewable and non-renewable woody biomass, the methodology utilizes </w:t>
      </w:r>
      <w:proofErr w:type="spellStart"/>
      <w:r w:rsidRPr="009C0779">
        <w:rPr>
          <w:color w:val="000000" w:themeColor="text1"/>
        </w:rPr>
        <w:t>fNRB</w:t>
      </w:r>
      <w:proofErr w:type="spellEnd"/>
      <w:r w:rsidRPr="009C0779">
        <w:rPr>
          <w:color w:val="000000" w:themeColor="text1"/>
        </w:rPr>
        <w:t>. </w:t>
      </w:r>
    </w:p>
    <w:p w14:paraId="37143B1C" w14:textId="77777777" w:rsidR="00582FEA" w:rsidRPr="009C0779" w:rsidRDefault="00582FEA" w:rsidP="009C0779">
      <w:pPr>
        <w:pStyle w:val="SDMPara"/>
        <w:shd w:val="clear" w:color="auto" w:fill="FFFFFF" w:themeFill="background1"/>
        <w:rPr>
          <w:rFonts w:eastAsia="Montserrat"/>
        </w:rPr>
      </w:pPr>
      <w:r w:rsidRPr="009C0779">
        <w:rPr>
          <w:rFonts w:eastAsia="Montserrat"/>
        </w:rPr>
        <w:t>Emissions are calculated on an energy basis, for which the conversions from mass to energy are conducted using Equation (1):</w:t>
      </w:r>
    </w:p>
    <w:p w14:paraId="1E2C6C8D" w14:textId="77777777" w:rsidR="00582FEA" w:rsidRPr="00582FEA" w:rsidRDefault="00582FEA" w:rsidP="00582FEA">
      <w:pPr>
        <w:pBdr>
          <w:top w:val="nil"/>
          <w:left w:val="nil"/>
          <w:bottom w:val="nil"/>
          <w:right w:val="nil"/>
          <w:between w:val="nil"/>
        </w:pBdr>
        <w:ind w:left="360"/>
        <w:rPr>
          <w:rFonts w:eastAsia="Montserrat" w:cs="Arial"/>
          <w:szCs w:val="22"/>
        </w:rPr>
      </w:pPr>
    </w:p>
    <w:p w14:paraId="294D2CB9" w14:textId="77777777" w:rsidR="00582FEA" w:rsidRPr="00582FEA" w:rsidRDefault="00582FEA" w:rsidP="00582FEA">
      <w:pPr>
        <w:ind w:left="360"/>
        <w:rPr>
          <w:rFonts w:eastAsia="Montserrat" w:cs="Arial"/>
          <w:b/>
          <w:szCs w:val="22"/>
        </w:rPr>
      </w:pPr>
    </w:p>
    <w:tbl>
      <w:tblPr>
        <w:tblW w:w="9204" w:type="dxa"/>
        <w:tblBorders>
          <w:top w:val="nil"/>
          <w:left w:val="nil"/>
          <w:bottom w:val="nil"/>
          <w:right w:val="nil"/>
          <w:insideH w:val="nil"/>
          <w:insideV w:val="nil"/>
        </w:tblBorders>
        <w:tblLayout w:type="fixed"/>
        <w:tblLook w:val="0400" w:firstRow="0" w:lastRow="0" w:firstColumn="0" w:lastColumn="0" w:noHBand="0" w:noVBand="1"/>
      </w:tblPr>
      <w:tblGrid>
        <w:gridCol w:w="8222"/>
        <w:gridCol w:w="982"/>
      </w:tblGrid>
      <w:tr w:rsidR="00582FEA" w:rsidRPr="00B33BB6" w14:paraId="52C092EE" w14:textId="77777777" w:rsidTr="003600D5">
        <w:tc>
          <w:tcPr>
            <w:tcW w:w="8222" w:type="dxa"/>
          </w:tcPr>
          <w:p w14:paraId="10B98456" w14:textId="77777777" w:rsidR="00582FEA" w:rsidRPr="00582FEA" w:rsidRDefault="00000000" w:rsidP="00582FEA">
            <w:pPr>
              <w:ind w:left="360"/>
              <w:jc w:val="center"/>
              <w:rPr>
                <w:rFonts w:eastAsia="Cambria Math"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x</m:t>
                    </m:r>
                  </m:sub>
                </m:sSub>
                <m:r>
                  <w:rPr>
                    <w:rFonts w:ascii="Cambria Math" w:eastAsia="Cambria Math" w:hAnsi="Cambria Math" w:cs="Arial"/>
                    <w:szCs w:val="22"/>
                  </w:rPr>
                  <m:t>=</m:t>
                </m:r>
                <m:sSub>
                  <m:sSubPr>
                    <m:ctrlPr>
                      <w:rPr>
                        <w:rFonts w:ascii="Cambria Math" w:eastAsia="Cambria Math" w:hAnsi="Cambria Math" w:cs="Arial"/>
                        <w:szCs w:val="22"/>
                      </w:rPr>
                    </m:ctrlPr>
                  </m:sSubPr>
                  <m:e>
                    <m:sSub>
                      <m:sSubPr>
                        <m:ctrlPr>
                          <w:rPr>
                            <w:rFonts w:ascii="Cambria Math" w:eastAsia="Cambria Math" w:hAnsi="Cambria Math" w:cs="Arial"/>
                            <w:szCs w:val="22"/>
                          </w:rPr>
                        </m:ctrlPr>
                      </m:sSubPr>
                      <m:e>
                        <m:r>
                          <w:rPr>
                            <w:rFonts w:ascii="Cambria Math" w:eastAsia="Cambria Math" w:hAnsi="Cambria Math" w:cs="Arial"/>
                            <w:szCs w:val="22"/>
                          </w:rPr>
                          <m:t>FC</m:t>
                        </m:r>
                      </m:e>
                      <m:sub>
                        <m:r>
                          <w:rPr>
                            <w:rFonts w:ascii="Cambria Math" w:eastAsia="Cambria Math" w:hAnsi="Cambria Math" w:cs="Arial"/>
                            <w:szCs w:val="22"/>
                          </w:rPr>
                          <m:t>x</m:t>
                        </m:r>
                      </m:sub>
                    </m:sSub>
                    <m:r>
                      <w:rPr>
                        <w:rFonts w:ascii="Cambria Math" w:eastAsia="Cambria Math" w:hAnsi="Cambria Math" w:cs="Arial"/>
                        <w:szCs w:val="22"/>
                      </w:rPr>
                      <m:t>×</m:t>
                    </m:r>
                    <m:r>
                      <w:rPr>
                        <w:rFonts w:ascii="Cambria Math" w:eastAsia="Cambria Math" w:hAnsi="Cambria Math" w:cs="Arial"/>
                        <w:szCs w:val="22"/>
                        <w:vertAlign w:val="subscript"/>
                      </w:rPr>
                      <m:t xml:space="preserve"> </m:t>
                    </m:r>
                    <m:r>
                      <w:rPr>
                        <w:rFonts w:ascii="Cambria Math" w:eastAsia="Cambria Math" w:hAnsi="Cambria Math" w:cs="Arial"/>
                        <w:szCs w:val="22"/>
                      </w:rPr>
                      <m:t>NCV</m:t>
                    </m:r>
                  </m:e>
                  <m:sub>
                    <m:r>
                      <w:rPr>
                        <w:rFonts w:ascii="Cambria Math" w:eastAsia="Cambria Math" w:hAnsi="Cambria Math" w:cs="Arial"/>
                        <w:szCs w:val="22"/>
                      </w:rPr>
                      <m:t>x</m:t>
                    </m:r>
                  </m:sub>
                </m:sSub>
              </m:oMath>
            </m:oMathPara>
          </w:p>
        </w:tc>
        <w:tc>
          <w:tcPr>
            <w:tcW w:w="982" w:type="dxa"/>
          </w:tcPr>
          <w:p w14:paraId="38168387" w14:textId="77777777" w:rsidR="00582FEA" w:rsidRPr="00582FEA" w:rsidRDefault="00582FEA" w:rsidP="003600D5">
            <w:pPr>
              <w:ind w:left="360"/>
              <w:rPr>
                <w:rFonts w:cs="Arial"/>
                <w:szCs w:val="22"/>
              </w:rPr>
            </w:pPr>
            <w:bookmarkStart w:id="45" w:name="e1"/>
            <w:r w:rsidRPr="00582FEA">
              <w:rPr>
                <w:rFonts w:cs="Arial"/>
                <w:szCs w:val="22"/>
              </w:rPr>
              <w:t>(1)</w:t>
            </w:r>
            <w:bookmarkEnd w:id="45"/>
          </w:p>
        </w:tc>
      </w:tr>
    </w:tbl>
    <w:p w14:paraId="40D199D7" w14:textId="77777777" w:rsidR="00582FEA" w:rsidRPr="00582FEA" w:rsidRDefault="00582FEA" w:rsidP="00582FEA">
      <w:pPr>
        <w:rPr>
          <w:rFonts w:eastAsia="Montserrat" w:cs="Arial"/>
          <w:szCs w:val="22"/>
        </w:rPr>
      </w:pPr>
      <w:r w:rsidRPr="00582FEA">
        <w:rPr>
          <w:rFonts w:eastAsia="Montserrat" w:cs="Arial"/>
          <w:szCs w:val="22"/>
        </w:rPr>
        <w:t>Where:</w:t>
      </w:r>
    </w:p>
    <w:p w14:paraId="44079DBA" w14:textId="77777777" w:rsidR="00582FEA" w:rsidRPr="00582FEA" w:rsidRDefault="00582FEA" w:rsidP="00582FEA">
      <w:pPr>
        <w:ind w:left="360"/>
        <w:rPr>
          <w:rFonts w:eastAsia="Montserrat" w:cs="Arial"/>
          <w:b/>
          <w:szCs w:val="22"/>
        </w:rPr>
      </w:pPr>
    </w:p>
    <w:tbl>
      <w:tblPr>
        <w:tblStyle w:val="TableGrid"/>
        <w:tblW w:w="9209" w:type="dxa"/>
        <w:tblLook w:val="04A0" w:firstRow="1" w:lastRow="0" w:firstColumn="1" w:lastColumn="0" w:noHBand="0" w:noVBand="1"/>
      </w:tblPr>
      <w:tblGrid>
        <w:gridCol w:w="1696"/>
        <w:gridCol w:w="6096"/>
        <w:gridCol w:w="1417"/>
      </w:tblGrid>
      <w:tr w:rsidR="00582FEA" w:rsidRPr="00B33BB6" w14:paraId="16B77DE2" w14:textId="77777777">
        <w:tc>
          <w:tcPr>
            <w:tcW w:w="1696" w:type="dxa"/>
          </w:tcPr>
          <w:p w14:paraId="733AD37D" w14:textId="77777777" w:rsidR="00582FEA" w:rsidRPr="00582FEA" w:rsidRDefault="00582FEA" w:rsidP="00934A9C">
            <w:pPr>
              <w:rPr>
                <w:rFonts w:eastAsia="Montserrat" w:cs="Arial"/>
                <w:b/>
                <w:szCs w:val="22"/>
              </w:rPr>
            </w:pPr>
            <w:r w:rsidRPr="00582FEA">
              <w:rPr>
                <w:rFonts w:eastAsia="Montserrat" w:cs="Arial"/>
                <w:b/>
                <w:szCs w:val="22"/>
              </w:rPr>
              <w:t>Parameter</w:t>
            </w:r>
          </w:p>
        </w:tc>
        <w:tc>
          <w:tcPr>
            <w:tcW w:w="6096" w:type="dxa"/>
          </w:tcPr>
          <w:p w14:paraId="32D06A55" w14:textId="77777777" w:rsidR="00582FEA" w:rsidRPr="00582FEA" w:rsidRDefault="00582FEA" w:rsidP="00934A9C">
            <w:pPr>
              <w:rPr>
                <w:rFonts w:eastAsia="Montserrat" w:cs="Arial"/>
                <w:b/>
                <w:szCs w:val="22"/>
              </w:rPr>
            </w:pPr>
            <w:r w:rsidRPr="00582FEA">
              <w:rPr>
                <w:rFonts w:eastAsia="Montserrat" w:cs="Arial"/>
                <w:b/>
                <w:szCs w:val="22"/>
              </w:rPr>
              <w:t>Description</w:t>
            </w:r>
          </w:p>
        </w:tc>
        <w:tc>
          <w:tcPr>
            <w:tcW w:w="1417" w:type="dxa"/>
          </w:tcPr>
          <w:p w14:paraId="008C0564" w14:textId="77777777" w:rsidR="00582FEA" w:rsidRPr="00582FEA" w:rsidRDefault="00582FEA" w:rsidP="00934A9C">
            <w:pPr>
              <w:rPr>
                <w:rFonts w:eastAsia="Montserrat" w:cs="Arial"/>
                <w:b/>
                <w:szCs w:val="22"/>
              </w:rPr>
            </w:pPr>
            <w:r w:rsidRPr="00582FEA">
              <w:rPr>
                <w:rFonts w:eastAsia="Montserrat" w:cs="Arial"/>
                <w:b/>
                <w:szCs w:val="22"/>
              </w:rPr>
              <w:t>Unit</w:t>
            </w:r>
          </w:p>
        </w:tc>
      </w:tr>
      <w:tr w:rsidR="00582FEA" w:rsidRPr="00B33BB6" w14:paraId="6E6F07AA" w14:textId="77777777">
        <w:tc>
          <w:tcPr>
            <w:tcW w:w="1696" w:type="dxa"/>
          </w:tcPr>
          <w:p w14:paraId="1865158E" w14:textId="77777777" w:rsidR="00582FEA" w:rsidRPr="00582FEA" w:rsidRDefault="00000000" w:rsidP="00934A9C">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x</m:t>
                    </m:r>
                  </m:sub>
                </m:sSub>
              </m:oMath>
            </m:oMathPara>
          </w:p>
        </w:tc>
        <w:tc>
          <w:tcPr>
            <w:tcW w:w="6096" w:type="dxa"/>
          </w:tcPr>
          <w:p w14:paraId="78F8AE61" w14:textId="77777777" w:rsidR="00582FEA" w:rsidRPr="00582FEA" w:rsidRDefault="00582FEA" w:rsidP="00934A9C">
            <w:pPr>
              <w:rPr>
                <w:rFonts w:eastAsia="Montserrat" w:cs="Arial"/>
                <w:b/>
                <w:szCs w:val="22"/>
              </w:rPr>
            </w:pPr>
            <w:r w:rsidRPr="00582FEA">
              <w:rPr>
                <w:rFonts w:eastAsia="Montserrat" w:cs="Arial"/>
                <w:szCs w:val="22"/>
              </w:rPr>
              <w:t xml:space="preserve">Energy consumption for the respective fuel and scenario </w:t>
            </w:r>
            <w:r w:rsidRPr="00582FEA">
              <w:rPr>
                <w:rFonts w:eastAsia="Montserrat" w:cs="Arial"/>
                <w:i/>
                <w:szCs w:val="22"/>
              </w:rPr>
              <w:t>x</w:t>
            </w:r>
          </w:p>
        </w:tc>
        <w:tc>
          <w:tcPr>
            <w:tcW w:w="1417" w:type="dxa"/>
          </w:tcPr>
          <w:p w14:paraId="7746B3DC" w14:textId="77777777" w:rsidR="00582FEA" w:rsidRPr="00582FEA" w:rsidRDefault="00582FEA" w:rsidP="00934A9C">
            <w:pPr>
              <w:rPr>
                <w:rFonts w:eastAsia="Montserrat" w:cs="Arial"/>
                <w:b/>
                <w:szCs w:val="22"/>
              </w:rPr>
            </w:pPr>
            <w:r w:rsidRPr="00582FEA">
              <w:rPr>
                <w:rFonts w:eastAsia="Montserrat" w:cs="Arial"/>
                <w:szCs w:val="22"/>
              </w:rPr>
              <w:t>TJ</w:t>
            </w:r>
          </w:p>
        </w:tc>
      </w:tr>
      <w:tr w:rsidR="00582FEA" w:rsidRPr="00B33BB6" w14:paraId="4ACB19FB" w14:textId="77777777">
        <w:tc>
          <w:tcPr>
            <w:tcW w:w="1696" w:type="dxa"/>
          </w:tcPr>
          <w:p w14:paraId="3485F1A1" w14:textId="77777777" w:rsidR="00582FEA" w:rsidRPr="00582FEA" w:rsidRDefault="00000000" w:rsidP="00934A9C">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FC</m:t>
                    </m:r>
                  </m:e>
                  <m:sub>
                    <m:r>
                      <w:rPr>
                        <w:rFonts w:ascii="Cambria Math" w:eastAsia="Cambria Math" w:hAnsi="Cambria Math" w:cs="Arial"/>
                        <w:szCs w:val="22"/>
                      </w:rPr>
                      <m:t>x</m:t>
                    </m:r>
                  </m:sub>
                </m:sSub>
              </m:oMath>
            </m:oMathPara>
          </w:p>
        </w:tc>
        <w:tc>
          <w:tcPr>
            <w:tcW w:w="6096" w:type="dxa"/>
          </w:tcPr>
          <w:p w14:paraId="1193847C" w14:textId="77777777" w:rsidR="00582FEA" w:rsidRPr="00582FEA" w:rsidRDefault="00582FEA" w:rsidP="00934A9C">
            <w:pPr>
              <w:rPr>
                <w:rFonts w:eastAsia="Montserrat" w:cs="Arial"/>
                <w:szCs w:val="22"/>
              </w:rPr>
            </w:pPr>
            <w:r w:rsidRPr="00582FEA">
              <w:rPr>
                <w:rFonts w:eastAsia="Montserrat" w:cs="Arial"/>
                <w:szCs w:val="22"/>
              </w:rPr>
              <w:t xml:space="preserve">Fuel consumption for the respective fuel and scenario </w:t>
            </w:r>
            <w:r w:rsidRPr="00582FEA">
              <w:rPr>
                <w:rFonts w:eastAsia="Montserrat" w:cs="Arial"/>
                <w:i/>
                <w:szCs w:val="22"/>
              </w:rPr>
              <w:t>x</w:t>
            </w:r>
          </w:p>
        </w:tc>
        <w:tc>
          <w:tcPr>
            <w:tcW w:w="1417" w:type="dxa"/>
          </w:tcPr>
          <w:p w14:paraId="634E381A" w14:textId="77777777" w:rsidR="00582FEA" w:rsidRPr="00582FEA" w:rsidRDefault="00582FEA" w:rsidP="00934A9C">
            <w:pPr>
              <w:rPr>
                <w:rFonts w:eastAsia="Montserrat" w:cs="Arial"/>
                <w:szCs w:val="22"/>
              </w:rPr>
            </w:pPr>
            <w:proofErr w:type="spellStart"/>
            <w:r w:rsidRPr="00582FEA">
              <w:rPr>
                <w:rFonts w:eastAsia="Montserrat" w:cs="Arial"/>
                <w:szCs w:val="22"/>
              </w:rPr>
              <w:t>tonnes</w:t>
            </w:r>
            <w:proofErr w:type="spellEnd"/>
          </w:p>
        </w:tc>
      </w:tr>
      <w:tr w:rsidR="00582FEA" w:rsidRPr="00B33BB6" w14:paraId="3AC1D973" w14:textId="77777777">
        <w:tc>
          <w:tcPr>
            <w:tcW w:w="1696" w:type="dxa"/>
          </w:tcPr>
          <w:p w14:paraId="6CB09889" w14:textId="77777777" w:rsidR="00582FEA" w:rsidRPr="00582FEA" w:rsidRDefault="00000000" w:rsidP="00934A9C">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NCV</m:t>
                    </m:r>
                  </m:e>
                  <m:sub>
                    <m:r>
                      <w:rPr>
                        <w:rFonts w:ascii="Cambria Math" w:eastAsia="Cambria Math" w:hAnsi="Cambria Math" w:cs="Arial"/>
                        <w:szCs w:val="22"/>
                      </w:rPr>
                      <m:t>x</m:t>
                    </m:r>
                  </m:sub>
                </m:sSub>
              </m:oMath>
            </m:oMathPara>
          </w:p>
        </w:tc>
        <w:tc>
          <w:tcPr>
            <w:tcW w:w="6096" w:type="dxa"/>
          </w:tcPr>
          <w:p w14:paraId="4DD89E41" w14:textId="7D290F82" w:rsidR="00582FEA" w:rsidRPr="00582FEA" w:rsidRDefault="00582FEA" w:rsidP="00934A9C">
            <w:pPr>
              <w:rPr>
                <w:rFonts w:eastAsia="Montserrat" w:cs="Arial"/>
                <w:szCs w:val="22"/>
              </w:rPr>
            </w:pPr>
            <w:r w:rsidRPr="00582FEA">
              <w:rPr>
                <w:rFonts w:eastAsia="Montserrat" w:cs="Arial"/>
                <w:szCs w:val="22"/>
              </w:rPr>
              <w:t xml:space="preserve">Net calorific value for fuel </w:t>
            </w:r>
            <w:r w:rsidRPr="00582FEA">
              <w:rPr>
                <w:rFonts w:eastAsia="Montserrat" w:cs="Arial"/>
                <w:i/>
                <w:szCs w:val="22"/>
              </w:rPr>
              <w:t>x</w:t>
            </w:r>
            <w:r w:rsidRPr="00582FEA">
              <w:rPr>
                <w:rFonts w:eastAsia="Montserrat" w:cs="Arial"/>
                <w:szCs w:val="22"/>
              </w:rPr>
              <w:t xml:space="preserve"> (see </w:t>
            </w:r>
            <w:hyperlink w:anchor="A5" w:history="1">
              <w:r w:rsidRPr="00934A9C">
                <w:rPr>
                  <w:rStyle w:val="Hyperlink"/>
                  <w:rFonts w:eastAsia="Montserrat" w:cs="Arial"/>
                  <w:szCs w:val="22"/>
                  <w:lang w:val="en-GB"/>
                </w:rPr>
                <w:t>Appendix 5</w:t>
              </w:r>
            </w:hyperlink>
            <w:r w:rsidRPr="00934A9C">
              <w:rPr>
                <w:rFonts w:eastAsia="Montserrat" w:cs="Arial"/>
                <w:szCs w:val="22"/>
              </w:rPr>
              <w:t>)</w:t>
            </w:r>
          </w:p>
        </w:tc>
        <w:tc>
          <w:tcPr>
            <w:tcW w:w="1417" w:type="dxa"/>
          </w:tcPr>
          <w:p w14:paraId="0A3BFF67" w14:textId="77777777" w:rsidR="00582FEA" w:rsidRPr="00582FEA" w:rsidRDefault="00582FEA" w:rsidP="00934A9C">
            <w:pPr>
              <w:rPr>
                <w:rFonts w:eastAsia="Montserrat" w:cs="Arial"/>
                <w:szCs w:val="22"/>
              </w:rPr>
            </w:pPr>
            <w:r w:rsidRPr="00582FEA">
              <w:rPr>
                <w:rFonts w:eastAsia="Montserrat" w:cs="Arial"/>
                <w:szCs w:val="22"/>
              </w:rPr>
              <w:t>TJ/</w:t>
            </w:r>
            <w:proofErr w:type="spellStart"/>
            <w:r w:rsidRPr="00582FEA">
              <w:rPr>
                <w:rFonts w:eastAsia="Montserrat" w:cs="Arial"/>
                <w:szCs w:val="22"/>
              </w:rPr>
              <w:t>tonnes</w:t>
            </w:r>
            <w:proofErr w:type="spellEnd"/>
          </w:p>
        </w:tc>
      </w:tr>
    </w:tbl>
    <w:p w14:paraId="39BFF21C" w14:textId="77777777" w:rsidR="00582FEA" w:rsidRPr="00582FEA" w:rsidRDefault="00582FEA" w:rsidP="00582FEA">
      <w:pPr>
        <w:shd w:val="clear" w:color="auto" w:fill="FFFFFF" w:themeFill="background1"/>
        <w:ind w:left="360"/>
        <w:rPr>
          <w:rFonts w:cs="Arial"/>
          <w:color w:val="000000" w:themeColor="text1"/>
          <w:szCs w:val="22"/>
        </w:rPr>
      </w:pPr>
    </w:p>
    <w:p w14:paraId="13B7F424" w14:textId="77777777" w:rsidR="009C0779" w:rsidRPr="00582FEA" w:rsidRDefault="00582FEA" w:rsidP="00582FEA">
      <w:pPr>
        <w:pStyle w:val="SDMPara"/>
        <w:pBdr>
          <w:top w:val="nil"/>
          <w:left w:val="nil"/>
          <w:bottom w:val="nil"/>
          <w:right w:val="nil"/>
          <w:between w:val="nil"/>
        </w:pBdr>
        <w:tabs>
          <w:tab w:val="left" w:pos="510"/>
        </w:tabs>
        <w:spacing w:before="60" w:after="60"/>
        <w:rPr>
          <w:rFonts w:eastAsia="Montserrat"/>
        </w:rPr>
      </w:pPr>
      <w:r w:rsidRPr="009C0779">
        <w:rPr>
          <w:rFonts w:eastAsia="Montserrat"/>
        </w:rPr>
        <w:t>The approaches for calculating baseline emissions under CLEAR depend on the type of project, with two options each for CTEC and non-CTEC projects.</w:t>
      </w:r>
    </w:p>
    <w:p w14:paraId="0C51CB11" w14:textId="77777777" w:rsidR="009C0779" w:rsidRDefault="009C0779" w:rsidP="009C0779">
      <w:pPr>
        <w:pStyle w:val="SDMPara"/>
        <w:numPr>
          <w:ilvl w:val="0"/>
          <w:numId w:val="0"/>
        </w:numPr>
        <w:pBdr>
          <w:top w:val="nil"/>
          <w:left w:val="nil"/>
          <w:bottom w:val="nil"/>
          <w:right w:val="nil"/>
          <w:between w:val="nil"/>
        </w:pBdr>
        <w:tabs>
          <w:tab w:val="left" w:pos="510"/>
        </w:tabs>
        <w:spacing w:before="60" w:after="60"/>
        <w:ind w:left="709"/>
        <w:rPr>
          <w:rFonts w:eastAsia="Montserrat"/>
        </w:rPr>
      </w:pPr>
    </w:p>
    <w:p w14:paraId="784194F6" w14:textId="40B3FECE" w:rsidR="009C0779" w:rsidRPr="00582FEA" w:rsidRDefault="00582FEA" w:rsidP="00582FEA">
      <w:pPr>
        <w:pStyle w:val="SDMPara"/>
        <w:pBdr>
          <w:top w:val="nil"/>
          <w:left w:val="nil"/>
          <w:bottom w:val="nil"/>
          <w:right w:val="nil"/>
          <w:between w:val="nil"/>
        </w:pBdr>
        <w:tabs>
          <w:tab w:val="left" w:pos="510"/>
        </w:tabs>
        <w:spacing w:before="60" w:after="60"/>
        <w:rPr>
          <w:rFonts w:eastAsia="Montserrat"/>
        </w:rPr>
      </w:pPr>
      <w:r w:rsidRPr="009C0779">
        <w:rPr>
          <w:rFonts w:eastAsia="Montserrat"/>
        </w:rPr>
        <w:t xml:space="preserve">For CTEC projects, baseline energy consumption can either be measured through a KPT or </w:t>
      </w:r>
      <w:proofErr w:type="gramStart"/>
      <w:r w:rsidRPr="009C0779">
        <w:rPr>
          <w:rFonts w:eastAsia="Montserrat"/>
        </w:rPr>
        <w:t>back-calculated</w:t>
      </w:r>
      <w:proofErr w:type="gramEnd"/>
      <w:r w:rsidRPr="009C0779">
        <w:rPr>
          <w:rFonts w:eastAsia="Montserrat"/>
        </w:rPr>
        <w:t xml:space="preserve"> from project cookstove energy consumption using specific energy consumption ratios of the baseline and project cookstoves, determined via CCTs performed on each cookstove model.</w:t>
      </w:r>
    </w:p>
    <w:p w14:paraId="2AA2B903" w14:textId="77777777" w:rsidR="009C0779" w:rsidRDefault="009C0779" w:rsidP="009C0779">
      <w:pPr>
        <w:pStyle w:val="ListParagraph"/>
        <w:rPr>
          <w:rFonts w:eastAsia="Montserrat" w:cs="Arial"/>
          <w:szCs w:val="22"/>
        </w:rPr>
      </w:pPr>
    </w:p>
    <w:p w14:paraId="21AA5400" w14:textId="5D5BED12" w:rsidR="009C0779" w:rsidRPr="00582FEA" w:rsidRDefault="00582FEA" w:rsidP="00582FEA">
      <w:pPr>
        <w:pStyle w:val="SDMPara"/>
        <w:pBdr>
          <w:top w:val="nil"/>
          <w:left w:val="nil"/>
          <w:bottom w:val="nil"/>
          <w:right w:val="nil"/>
          <w:between w:val="nil"/>
        </w:pBdr>
        <w:tabs>
          <w:tab w:val="left" w:pos="510"/>
        </w:tabs>
        <w:spacing w:before="60" w:after="60"/>
        <w:rPr>
          <w:rFonts w:eastAsia="Montserrat"/>
        </w:rPr>
      </w:pPr>
      <w:r w:rsidRPr="009C0779">
        <w:rPr>
          <w:rFonts w:eastAsia="Montserrat"/>
        </w:rPr>
        <w:t xml:space="preserve">Non-CTEC projects may also choose from two different approaches to determine energy consumption in the baseline scenario: measuring fuel consumption using a baseline KPT or using a global default. </w:t>
      </w:r>
    </w:p>
    <w:p w14:paraId="1CE3C492" w14:textId="77777777" w:rsidR="009C0779" w:rsidRDefault="009C0779" w:rsidP="009C0779">
      <w:pPr>
        <w:pStyle w:val="ListParagraph"/>
        <w:rPr>
          <w:rFonts w:eastAsia="Montserrat"/>
          <w:color w:val="000000" w:themeColor="text1"/>
        </w:rPr>
      </w:pPr>
    </w:p>
    <w:p w14:paraId="342AB9BA" w14:textId="30A6997D" w:rsidR="00582FEA" w:rsidRPr="0024276B" w:rsidRDefault="00582FEA" w:rsidP="0024276B">
      <w:pPr>
        <w:pStyle w:val="SDMPara"/>
        <w:pBdr>
          <w:top w:val="nil"/>
          <w:left w:val="nil"/>
          <w:bottom w:val="nil"/>
          <w:right w:val="nil"/>
          <w:between w:val="nil"/>
        </w:pBdr>
        <w:tabs>
          <w:tab w:val="left" w:pos="510"/>
        </w:tabs>
        <w:spacing w:before="60" w:after="60"/>
        <w:rPr>
          <w:rFonts w:eastAsia="Montserrat"/>
        </w:rPr>
      </w:pPr>
      <w:r w:rsidRPr="009C0779">
        <w:rPr>
          <w:color w:val="000000" w:themeColor="text1"/>
        </w:rPr>
        <w:t>For both CTEC and non-CTEC projects, baseline fuel consumption and emission estimates derived from KPTs, CCT-based ratios, or global defaults are not subject to trend analysis.</w:t>
      </w:r>
      <w:r w:rsidR="0024276B">
        <w:rPr>
          <w:color w:val="000000" w:themeColor="text1"/>
        </w:rPr>
        <w:t xml:space="preserve"> </w:t>
      </w:r>
      <w:r w:rsidRPr="009C0779">
        <w:rPr>
          <w:color w:val="808080" w:themeColor="background1" w:themeShade="80"/>
        </w:rPr>
        <w:t xml:space="preserve">Each of these approaches reflects typical cookstove performance and usage as a </w:t>
      </w:r>
      <w:r w:rsidRPr="009C0779">
        <w:rPr>
          <w:color w:val="808080" w:themeColor="background1" w:themeShade="80"/>
        </w:rPr>
        <w:lastRenderedPageBreak/>
        <w:t>snapshot in time, rather than a multi-year dataset capturing historical variability or long-term trends. The global defaults also represent the minimum level of energy service, which is not subject to trends. Accordingly, no trend analysis is applied to baseline fuel consumption values derived under any of these approaches.</w:t>
      </w:r>
    </w:p>
    <w:p w14:paraId="15E86ABD" w14:textId="0D69F00C" w:rsidR="0024276B" w:rsidRPr="00582FEA" w:rsidRDefault="00582FEA" w:rsidP="00582FEA">
      <w:pPr>
        <w:pStyle w:val="SDMPara"/>
        <w:shd w:val="clear" w:color="auto" w:fill="FFFFFF" w:themeFill="background1"/>
        <w:rPr>
          <w:b/>
          <w:color w:val="000000" w:themeColor="text1"/>
          <w:lang w:val="en-US"/>
        </w:rPr>
      </w:pPr>
      <w:r w:rsidRPr="0024276B">
        <w:rPr>
          <w:b/>
          <w:color w:val="000000" w:themeColor="text1"/>
          <w:lang w:val="en-US"/>
        </w:rPr>
        <w:t>Baseline caps and flags:</w:t>
      </w:r>
    </w:p>
    <w:p w14:paraId="1053872A" w14:textId="77777777" w:rsidR="0024276B" w:rsidRPr="0024276B" w:rsidRDefault="00582FEA" w:rsidP="00582FEA">
      <w:pPr>
        <w:pStyle w:val="SDMSubPara1"/>
        <w:shd w:val="clear" w:color="auto" w:fill="FFFFFF" w:themeFill="background1"/>
        <w:rPr>
          <w:b/>
          <w:bCs/>
          <w:color w:val="000000" w:themeColor="text1"/>
          <w:lang w:val="en-US"/>
        </w:rPr>
      </w:pPr>
      <w:r w:rsidRPr="0024276B">
        <w:rPr>
          <w:color w:val="000000" w:themeColor="text1"/>
          <w:lang w:val="en-US"/>
        </w:rPr>
        <w:t xml:space="preserve">Baseline energy consumption values (estimated with </w:t>
      </w:r>
      <w:proofErr w:type="gramStart"/>
      <w:r w:rsidRPr="0024276B">
        <w:rPr>
          <w:color w:val="000000" w:themeColor="text1"/>
          <w:lang w:val="en-US"/>
        </w:rPr>
        <w:t>the KPT</w:t>
      </w:r>
      <w:proofErr w:type="gramEnd"/>
      <w:r w:rsidRPr="0024276B">
        <w:rPr>
          <w:color w:val="000000" w:themeColor="text1"/>
          <w:lang w:val="en-US"/>
        </w:rPr>
        <w:t xml:space="preserve"> or back-calculated) for primary fuelwood users (75% of cooking events) are capped at 0.0047 TJ useful energy delivered/(person*year) (2.0 </w:t>
      </w:r>
      <w:proofErr w:type="spellStart"/>
      <w:r w:rsidRPr="0024276B">
        <w:rPr>
          <w:color w:val="000000" w:themeColor="text1"/>
          <w:lang w:val="en-US"/>
        </w:rPr>
        <w:t>tonnes</w:t>
      </w:r>
      <w:proofErr w:type="spellEnd"/>
      <w:r w:rsidRPr="0024276B">
        <w:rPr>
          <w:color w:val="000000" w:themeColor="text1"/>
          <w:lang w:val="en-US"/>
        </w:rPr>
        <w:t xml:space="preserve">/(person*year)), or 0.031 TJ/(person*year) of air-dried wood or a combination of wood and any other additional baseline fuels. Values above 0.0023 TJ useful energy delivered/(person*year) (1.0 </w:t>
      </w:r>
      <w:proofErr w:type="spellStart"/>
      <w:r w:rsidRPr="0024276B">
        <w:rPr>
          <w:color w:val="000000" w:themeColor="text1"/>
          <w:lang w:val="en-US"/>
        </w:rPr>
        <w:t>tonnes</w:t>
      </w:r>
      <w:proofErr w:type="spellEnd"/>
      <w:r w:rsidRPr="0024276B">
        <w:rPr>
          <w:color w:val="000000" w:themeColor="text1"/>
          <w:lang w:val="en-US"/>
        </w:rPr>
        <w:t xml:space="preserve">/(person*year)) or 0.0156 TJ/(person*year)) of air-dried wood and additional baseline fuels are flagged for additional justification. </w:t>
      </w:r>
    </w:p>
    <w:p w14:paraId="7A75E6C6" w14:textId="77777777" w:rsidR="0024276B" w:rsidRPr="0024276B" w:rsidRDefault="00582FEA" w:rsidP="00582FEA">
      <w:pPr>
        <w:pStyle w:val="SDMSubPara1"/>
        <w:shd w:val="clear" w:color="auto" w:fill="FFFFFF" w:themeFill="background1"/>
        <w:rPr>
          <w:b/>
          <w:bCs/>
          <w:color w:val="000000" w:themeColor="text1"/>
          <w:lang w:val="en-US"/>
        </w:rPr>
      </w:pPr>
      <w:r w:rsidRPr="0024276B">
        <w:rPr>
          <w:color w:val="000000" w:themeColor="text1"/>
          <w:lang w:val="en-US"/>
        </w:rPr>
        <w:t xml:space="preserve">For baselines with charcoal as the primary fuel use, the cap is set at 0.00295 TJ useful energy delivered/(person*year) (0.40 </w:t>
      </w:r>
      <w:proofErr w:type="spellStart"/>
      <w:r w:rsidRPr="0024276B">
        <w:rPr>
          <w:color w:val="000000" w:themeColor="text1"/>
          <w:lang w:val="en-US"/>
        </w:rPr>
        <w:t>tonnes</w:t>
      </w:r>
      <w:proofErr w:type="spellEnd"/>
      <w:r w:rsidRPr="0024276B">
        <w:rPr>
          <w:color w:val="000000" w:themeColor="text1"/>
          <w:lang w:val="en-US"/>
        </w:rPr>
        <w:t xml:space="preserve">/(person*year)), or 0.012 TJ/(person*year) of charcoal and any additional baseline fuels. Values above 0.0015 TJ useful energy delivered/(person*year) (0.20 </w:t>
      </w:r>
      <w:proofErr w:type="spellStart"/>
      <w:r w:rsidRPr="0024276B">
        <w:rPr>
          <w:color w:val="000000" w:themeColor="text1"/>
          <w:lang w:val="en-US"/>
        </w:rPr>
        <w:t>tonnes</w:t>
      </w:r>
      <w:proofErr w:type="spellEnd"/>
      <w:r w:rsidRPr="0024276B">
        <w:rPr>
          <w:color w:val="000000" w:themeColor="text1"/>
          <w:lang w:val="en-US"/>
        </w:rPr>
        <w:t xml:space="preserve">/(person*year)), or 0.0059 TJ/(person*year) are flagged for further justification. </w:t>
      </w:r>
    </w:p>
    <w:p w14:paraId="1801988E" w14:textId="77777777" w:rsidR="0024276B" w:rsidRPr="0024276B" w:rsidRDefault="00582FEA" w:rsidP="00582FEA">
      <w:pPr>
        <w:pStyle w:val="SDMSubPara1"/>
        <w:shd w:val="clear" w:color="auto" w:fill="FFFFFF" w:themeFill="background1"/>
        <w:rPr>
          <w:b/>
          <w:bCs/>
          <w:color w:val="000000" w:themeColor="text1"/>
          <w:lang w:val="en-US"/>
        </w:rPr>
      </w:pPr>
      <w:r w:rsidRPr="0024276B">
        <w:rPr>
          <w:color w:val="000000" w:themeColor="text1"/>
        </w:rPr>
        <w:t>For mixed baseline scenarios (no primary fuel is used for more than 75% of cooking events) or those with other primary baseline fuels, the flags and caps are the same as those for primary charcoal baselines.</w:t>
      </w:r>
      <w:r w:rsidRPr="00B33BB6">
        <w:rPr>
          <w:rStyle w:val="FootnoteReference"/>
          <w:color w:val="000000" w:themeColor="text1"/>
        </w:rPr>
        <w:footnoteReference w:id="9"/>
      </w:r>
      <w:r w:rsidRPr="0024276B">
        <w:rPr>
          <w:color w:val="000000" w:themeColor="text1"/>
        </w:rPr>
        <w:t xml:space="preserve"> </w:t>
      </w:r>
    </w:p>
    <w:p w14:paraId="6EFF6B8B" w14:textId="77777777" w:rsidR="00582FEA" w:rsidRPr="0024276B" w:rsidRDefault="00582FEA" w:rsidP="00582FEA">
      <w:pPr>
        <w:pStyle w:val="SDMSubPara1"/>
        <w:shd w:val="clear" w:color="auto" w:fill="FFFFFF" w:themeFill="background1"/>
        <w:rPr>
          <w:b/>
          <w:bCs/>
          <w:color w:val="000000" w:themeColor="text1"/>
          <w:lang w:val="en-US"/>
        </w:rPr>
      </w:pPr>
      <w:r w:rsidRPr="0024276B">
        <w:rPr>
          <w:color w:val="000000" w:themeColor="text1"/>
        </w:rPr>
        <w:t>An overview of the baseline caps and flags is presented in the table below.</w:t>
      </w:r>
    </w:p>
    <w:p w14:paraId="7671663D" w14:textId="6A05327C" w:rsidR="0024276B" w:rsidRPr="0024276B" w:rsidRDefault="0024276B" w:rsidP="00582FEA">
      <w:pPr>
        <w:pStyle w:val="SDMSubPara1"/>
        <w:shd w:val="clear" w:color="auto" w:fill="FFFFFF" w:themeFill="background1"/>
        <w:rPr>
          <w:b/>
          <w:bCs/>
          <w:color w:val="000000" w:themeColor="text1"/>
          <w:lang w:val="en-US"/>
        </w:rPr>
      </w:pPr>
      <w:r w:rsidRPr="00582FEA">
        <w:rPr>
          <w:color w:val="000000" w:themeColor="text1"/>
          <w:lang w:val="en-US"/>
        </w:rPr>
        <w:t xml:space="preserve">When the flagged threshold is surpassed, projects must provide justification in the </w:t>
      </w:r>
      <w:hyperlink w:anchor="A1" w:history="1">
        <w:r w:rsidRPr="00850906">
          <w:rPr>
            <w:rStyle w:val="Hyperlink"/>
            <w:lang w:val="en-US"/>
          </w:rPr>
          <w:t>Project Information Cover Sheet</w:t>
        </w:r>
      </w:hyperlink>
      <w:r w:rsidRPr="00582FEA">
        <w:rPr>
          <w:color w:val="000000" w:themeColor="text1"/>
          <w:lang w:val="en-US"/>
        </w:rPr>
        <w:t xml:space="preserve"> for why a higher baseline is realistic in that project area.</w:t>
      </w:r>
      <w:r w:rsidRPr="00B33BB6">
        <w:rPr>
          <w:rStyle w:val="FootnoteReference"/>
          <w:color w:val="000000" w:themeColor="text1"/>
          <w:lang w:val="en-US"/>
        </w:rPr>
        <w:footnoteReference w:id="10"/>
      </w:r>
      <w:r w:rsidRPr="00582FEA">
        <w:rPr>
          <w:color w:val="000000" w:themeColor="text1"/>
          <w:lang w:val="en-US"/>
        </w:rPr>
        <w:t xml:space="preserve"> For example, such justifications could include the case of households using plancha cookstoves or areas where wood is relatively abundant.</w:t>
      </w:r>
    </w:p>
    <w:p w14:paraId="57CDAD7A" w14:textId="77777777" w:rsidR="00582FEA" w:rsidRPr="00582FEA" w:rsidRDefault="00582FEA" w:rsidP="00582FEA">
      <w:pPr>
        <w:shd w:val="clear" w:color="auto" w:fill="FFFFFF" w:themeFill="background1"/>
        <w:ind w:left="360"/>
        <w:rPr>
          <w:rFonts w:cs="Arial"/>
          <w:color w:val="000000" w:themeColor="text1"/>
          <w:szCs w:val="22"/>
        </w:rPr>
      </w:pPr>
    </w:p>
    <w:tbl>
      <w:tblPr>
        <w:tblStyle w:val="TableGrid"/>
        <w:tblW w:w="9625" w:type="dxa"/>
        <w:tblLook w:val="04A0" w:firstRow="1" w:lastRow="0" w:firstColumn="1" w:lastColumn="0" w:noHBand="0" w:noVBand="1"/>
      </w:tblPr>
      <w:tblGrid>
        <w:gridCol w:w="2335"/>
        <w:gridCol w:w="1311"/>
        <w:gridCol w:w="1311"/>
        <w:gridCol w:w="4668"/>
      </w:tblGrid>
      <w:tr w:rsidR="00582FEA" w:rsidRPr="00B33BB6" w14:paraId="5447F45B" w14:textId="77777777">
        <w:tc>
          <w:tcPr>
            <w:tcW w:w="2335" w:type="dxa"/>
          </w:tcPr>
          <w:p w14:paraId="08851670" w14:textId="77777777" w:rsidR="00582FEA" w:rsidRPr="00582FEA" w:rsidRDefault="00582FEA" w:rsidP="00582FEA">
            <w:pPr>
              <w:ind w:left="360"/>
              <w:rPr>
                <w:rFonts w:cs="Arial"/>
                <w:b/>
                <w:bCs/>
                <w:color w:val="000000" w:themeColor="text1"/>
                <w:szCs w:val="22"/>
              </w:rPr>
            </w:pPr>
            <w:r w:rsidRPr="00582FEA">
              <w:rPr>
                <w:rFonts w:cs="Arial"/>
                <w:b/>
                <w:bCs/>
                <w:color w:val="000000" w:themeColor="text1"/>
                <w:szCs w:val="22"/>
              </w:rPr>
              <w:t>User group</w:t>
            </w:r>
          </w:p>
        </w:tc>
        <w:tc>
          <w:tcPr>
            <w:tcW w:w="1311" w:type="dxa"/>
          </w:tcPr>
          <w:p w14:paraId="74BA767D" w14:textId="77777777" w:rsidR="00582FEA" w:rsidRPr="00582FEA" w:rsidRDefault="00582FEA" w:rsidP="00733694">
            <w:pPr>
              <w:jc w:val="center"/>
              <w:rPr>
                <w:rFonts w:cs="Arial"/>
                <w:b/>
                <w:bCs/>
                <w:color w:val="000000" w:themeColor="text1"/>
                <w:szCs w:val="22"/>
              </w:rPr>
            </w:pPr>
            <w:r w:rsidRPr="00582FEA">
              <w:rPr>
                <w:rFonts w:cs="Arial"/>
                <w:b/>
                <w:bCs/>
                <w:color w:val="000000" w:themeColor="text1"/>
                <w:szCs w:val="22"/>
              </w:rPr>
              <w:t>Cap</w:t>
            </w:r>
          </w:p>
        </w:tc>
        <w:tc>
          <w:tcPr>
            <w:tcW w:w="1311" w:type="dxa"/>
          </w:tcPr>
          <w:p w14:paraId="30609545" w14:textId="77777777" w:rsidR="00582FEA" w:rsidRPr="00582FEA" w:rsidRDefault="00582FEA" w:rsidP="00733694">
            <w:pPr>
              <w:ind w:left="360"/>
              <w:rPr>
                <w:rFonts w:cs="Arial"/>
                <w:b/>
                <w:bCs/>
                <w:color w:val="000000" w:themeColor="text1"/>
                <w:szCs w:val="22"/>
              </w:rPr>
            </w:pPr>
            <w:r w:rsidRPr="00582FEA">
              <w:rPr>
                <w:rFonts w:cs="Arial"/>
                <w:b/>
                <w:bCs/>
                <w:color w:val="000000" w:themeColor="text1"/>
                <w:szCs w:val="22"/>
              </w:rPr>
              <w:t>Flag</w:t>
            </w:r>
          </w:p>
        </w:tc>
        <w:tc>
          <w:tcPr>
            <w:tcW w:w="4668" w:type="dxa"/>
          </w:tcPr>
          <w:p w14:paraId="044B3549" w14:textId="77777777" w:rsidR="00582FEA" w:rsidRPr="00582FEA" w:rsidRDefault="00582FEA" w:rsidP="00733694">
            <w:pPr>
              <w:rPr>
                <w:rFonts w:cs="Arial"/>
                <w:b/>
                <w:bCs/>
                <w:color w:val="000000" w:themeColor="text1"/>
                <w:szCs w:val="22"/>
              </w:rPr>
            </w:pPr>
            <w:r w:rsidRPr="00582FEA">
              <w:rPr>
                <w:rFonts w:cs="Arial"/>
                <w:b/>
                <w:bCs/>
                <w:color w:val="000000" w:themeColor="text1"/>
                <w:szCs w:val="22"/>
              </w:rPr>
              <w:t>Unit</w:t>
            </w:r>
          </w:p>
        </w:tc>
      </w:tr>
      <w:tr w:rsidR="00582FEA" w:rsidRPr="00B33BB6" w14:paraId="0E4BCCE7" w14:textId="77777777">
        <w:tc>
          <w:tcPr>
            <w:tcW w:w="2335" w:type="dxa"/>
            <w:vMerge w:val="restart"/>
          </w:tcPr>
          <w:p w14:paraId="677621CB" w14:textId="77777777" w:rsidR="00582FEA" w:rsidRPr="00582FEA" w:rsidRDefault="00582FEA" w:rsidP="00733694">
            <w:pPr>
              <w:jc w:val="left"/>
              <w:rPr>
                <w:rFonts w:cs="Arial"/>
                <w:b/>
                <w:bCs/>
                <w:color w:val="000000" w:themeColor="text1"/>
                <w:szCs w:val="22"/>
              </w:rPr>
            </w:pPr>
            <w:r w:rsidRPr="00582FEA">
              <w:rPr>
                <w:rFonts w:cs="Arial"/>
                <w:b/>
                <w:bCs/>
                <w:color w:val="000000" w:themeColor="text1"/>
                <w:szCs w:val="22"/>
              </w:rPr>
              <w:t>Primary fuelwood users</w:t>
            </w:r>
          </w:p>
        </w:tc>
        <w:tc>
          <w:tcPr>
            <w:tcW w:w="1311" w:type="dxa"/>
          </w:tcPr>
          <w:p w14:paraId="39FB67AD" w14:textId="77777777" w:rsidR="00582FEA" w:rsidRPr="00582FEA" w:rsidRDefault="00582FEA" w:rsidP="00733694">
            <w:pPr>
              <w:jc w:val="center"/>
              <w:rPr>
                <w:rFonts w:cs="Arial"/>
                <w:color w:val="000000" w:themeColor="text1"/>
                <w:szCs w:val="22"/>
              </w:rPr>
            </w:pPr>
            <w:r w:rsidRPr="00582FEA">
              <w:rPr>
                <w:rFonts w:cs="Arial"/>
                <w:color w:val="000000" w:themeColor="text1"/>
                <w:szCs w:val="22"/>
              </w:rPr>
              <w:t>0.0047</w:t>
            </w:r>
          </w:p>
        </w:tc>
        <w:tc>
          <w:tcPr>
            <w:tcW w:w="1311" w:type="dxa"/>
          </w:tcPr>
          <w:p w14:paraId="7CC52625" w14:textId="77777777" w:rsidR="00582FEA" w:rsidRPr="00582FEA" w:rsidRDefault="00582FEA" w:rsidP="00733694">
            <w:pPr>
              <w:jc w:val="center"/>
              <w:rPr>
                <w:rFonts w:cs="Arial"/>
                <w:color w:val="000000" w:themeColor="text1"/>
                <w:szCs w:val="22"/>
              </w:rPr>
            </w:pPr>
            <w:r w:rsidRPr="00582FEA">
              <w:rPr>
                <w:rStyle w:val="normaltextrun"/>
                <w:rFonts w:cs="Arial"/>
                <w:szCs w:val="22"/>
              </w:rPr>
              <w:t>&gt; 0.0023</w:t>
            </w:r>
          </w:p>
        </w:tc>
        <w:tc>
          <w:tcPr>
            <w:tcW w:w="4668" w:type="dxa"/>
          </w:tcPr>
          <w:p w14:paraId="32555287" w14:textId="77777777" w:rsidR="00582FEA" w:rsidRPr="00582FEA" w:rsidRDefault="00582FEA" w:rsidP="00733694">
            <w:pPr>
              <w:rPr>
                <w:rFonts w:cs="Arial"/>
                <w:color w:val="000000" w:themeColor="text1"/>
                <w:szCs w:val="22"/>
              </w:rPr>
            </w:pPr>
            <w:r w:rsidRPr="00582FEA">
              <w:rPr>
                <w:rStyle w:val="normaltextrun"/>
                <w:rFonts w:cs="Arial"/>
                <w:color w:val="000000"/>
                <w:szCs w:val="22"/>
              </w:rPr>
              <w:t>TJ useful energy delivered/(person*year)</w:t>
            </w:r>
          </w:p>
        </w:tc>
      </w:tr>
      <w:tr w:rsidR="00582FEA" w:rsidRPr="00B33BB6" w14:paraId="51048AAF" w14:textId="77777777">
        <w:tc>
          <w:tcPr>
            <w:tcW w:w="2335" w:type="dxa"/>
            <w:vMerge/>
          </w:tcPr>
          <w:p w14:paraId="0D0074D1" w14:textId="77777777" w:rsidR="00582FEA" w:rsidRPr="00582FEA" w:rsidRDefault="00582FEA" w:rsidP="00733694">
            <w:pPr>
              <w:ind w:left="360"/>
              <w:jc w:val="left"/>
              <w:rPr>
                <w:rFonts w:cs="Arial"/>
                <w:b/>
                <w:bCs/>
                <w:color w:val="000000" w:themeColor="text1"/>
                <w:szCs w:val="22"/>
              </w:rPr>
            </w:pPr>
          </w:p>
        </w:tc>
        <w:tc>
          <w:tcPr>
            <w:tcW w:w="1311" w:type="dxa"/>
          </w:tcPr>
          <w:p w14:paraId="658E208F" w14:textId="77777777" w:rsidR="00582FEA" w:rsidRPr="00582FEA" w:rsidRDefault="00582FEA" w:rsidP="00733694">
            <w:pPr>
              <w:jc w:val="center"/>
              <w:rPr>
                <w:rFonts w:cs="Arial"/>
                <w:color w:val="000000" w:themeColor="text1"/>
                <w:szCs w:val="22"/>
              </w:rPr>
            </w:pPr>
            <w:r w:rsidRPr="00582FEA">
              <w:rPr>
                <w:rFonts w:cs="Arial"/>
                <w:color w:val="000000" w:themeColor="text1"/>
                <w:szCs w:val="22"/>
              </w:rPr>
              <w:t>0.031</w:t>
            </w:r>
          </w:p>
        </w:tc>
        <w:tc>
          <w:tcPr>
            <w:tcW w:w="1311" w:type="dxa"/>
            <w:vAlign w:val="center"/>
          </w:tcPr>
          <w:p w14:paraId="1883F55A" w14:textId="77777777" w:rsidR="00582FEA" w:rsidRPr="00582FEA" w:rsidRDefault="00582FEA" w:rsidP="00733694">
            <w:pPr>
              <w:jc w:val="center"/>
              <w:rPr>
                <w:rFonts w:cs="Arial"/>
                <w:color w:val="000000" w:themeColor="text1"/>
                <w:szCs w:val="22"/>
              </w:rPr>
            </w:pPr>
            <w:r w:rsidRPr="00582FEA">
              <w:rPr>
                <w:rStyle w:val="normaltextrun"/>
                <w:rFonts w:cs="Arial"/>
                <w:szCs w:val="22"/>
              </w:rPr>
              <w:t>0.0156</w:t>
            </w:r>
          </w:p>
        </w:tc>
        <w:tc>
          <w:tcPr>
            <w:tcW w:w="4668" w:type="dxa"/>
          </w:tcPr>
          <w:p w14:paraId="19684AA6" w14:textId="77777777" w:rsidR="00582FEA" w:rsidRPr="00582FEA" w:rsidRDefault="00582FEA" w:rsidP="00733694">
            <w:pPr>
              <w:rPr>
                <w:rFonts w:cs="Arial"/>
                <w:color w:val="000000" w:themeColor="text1"/>
                <w:szCs w:val="22"/>
              </w:rPr>
            </w:pPr>
            <w:r w:rsidRPr="00582FEA">
              <w:rPr>
                <w:rStyle w:val="normaltextrun"/>
                <w:rFonts w:cs="Arial"/>
                <w:color w:val="000000"/>
                <w:szCs w:val="22"/>
              </w:rPr>
              <w:t>TJ/(person*year)</w:t>
            </w:r>
          </w:p>
        </w:tc>
      </w:tr>
      <w:tr w:rsidR="00582FEA" w:rsidRPr="00B33BB6" w14:paraId="625ECA0E" w14:textId="77777777">
        <w:tc>
          <w:tcPr>
            <w:tcW w:w="2335" w:type="dxa"/>
            <w:vMerge/>
          </w:tcPr>
          <w:p w14:paraId="3649473F" w14:textId="77777777" w:rsidR="00582FEA" w:rsidRPr="00582FEA" w:rsidRDefault="00582FEA" w:rsidP="00733694">
            <w:pPr>
              <w:ind w:left="360"/>
              <w:jc w:val="left"/>
              <w:rPr>
                <w:rFonts w:cs="Arial"/>
                <w:b/>
                <w:bCs/>
                <w:color w:val="000000" w:themeColor="text1"/>
                <w:szCs w:val="22"/>
              </w:rPr>
            </w:pPr>
          </w:p>
        </w:tc>
        <w:tc>
          <w:tcPr>
            <w:tcW w:w="1311" w:type="dxa"/>
          </w:tcPr>
          <w:p w14:paraId="343F1667" w14:textId="77777777" w:rsidR="00582FEA" w:rsidRPr="00582FEA" w:rsidRDefault="00582FEA" w:rsidP="00733694">
            <w:pPr>
              <w:jc w:val="center"/>
              <w:rPr>
                <w:rFonts w:cs="Arial"/>
                <w:color w:val="000000" w:themeColor="text1"/>
                <w:szCs w:val="22"/>
              </w:rPr>
            </w:pPr>
            <w:r w:rsidRPr="00582FEA">
              <w:rPr>
                <w:rFonts w:cs="Arial"/>
                <w:color w:val="000000" w:themeColor="text1"/>
                <w:szCs w:val="22"/>
              </w:rPr>
              <w:t>2</w:t>
            </w:r>
          </w:p>
        </w:tc>
        <w:tc>
          <w:tcPr>
            <w:tcW w:w="1311" w:type="dxa"/>
          </w:tcPr>
          <w:p w14:paraId="734B3113" w14:textId="77777777" w:rsidR="00582FEA" w:rsidRPr="00B33BB6" w:rsidRDefault="00582FEA" w:rsidP="00733694">
            <w:pPr>
              <w:pStyle w:val="paragraph"/>
              <w:jc w:val="center"/>
              <w:textAlignment w:val="baseline"/>
              <w:rPr>
                <w:rFonts w:ascii="Arial" w:hAnsi="Arial" w:cs="Arial"/>
                <w:sz w:val="22"/>
                <w:szCs w:val="22"/>
              </w:rPr>
            </w:pPr>
            <w:r w:rsidRPr="00B33BB6">
              <w:rPr>
                <w:rStyle w:val="normaltextrun"/>
                <w:rFonts w:ascii="Arial" w:hAnsi="Arial" w:cs="Arial"/>
                <w:sz w:val="22"/>
                <w:szCs w:val="22"/>
              </w:rPr>
              <w:t>&gt;1.0</w:t>
            </w:r>
          </w:p>
        </w:tc>
        <w:tc>
          <w:tcPr>
            <w:tcW w:w="4668" w:type="dxa"/>
          </w:tcPr>
          <w:p w14:paraId="26A6A6EE" w14:textId="77777777" w:rsidR="00582FEA" w:rsidRPr="00582FEA" w:rsidRDefault="00582FEA" w:rsidP="00733694">
            <w:pPr>
              <w:rPr>
                <w:rFonts w:cs="Arial"/>
                <w:color w:val="000000" w:themeColor="text1"/>
                <w:szCs w:val="22"/>
              </w:rPr>
            </w:pPr>
            <w:proofErr w:type="spellStart"/>
            <w:r w:rsidRPr="00582FEA">
              <w:rPr>
                <w:rStyle w:val="normaltextrun"/>
                <w:rFonts w:cs="Arial"/>
                <w:color w:val="000000"/>
                <w:szCs w:val="22"/>
              </w:rPr>
              <w:t>tonnes</w:t>
            </w:r>
            <w:proofErr w:type="spellEnd"/>
            <w:r w:rsidRPr="00582FEA">
              <w:rPr>
                <w:rStyle w:val="normaltextrun"/>
                <w:rFonts w:cs="Arial"/>
                <w:color w:val="000000"/>
                <w:szCs w:val="22"/>
              </w:rPr>
              <w:t>/(person*year)</w:t>
            </w:r>
          </w:p>
        </w:tc>
      </w:tr>
      <w:tr w:rsidR="00582FEA" w:rsidRPr="00B33BB6" w14:paraId="72FA7294" w14:textId="77777777">
        <w:tc>
          <w:tcPr>
            <w:tcW w:w="2335" w:type="dxa"/>
            <w:vMerge w:val="restart"/>
          </w:tcPr>
          <w:p w14:paraId="697A73DE" w14:textId="77777777" w:rsidR="00582FEA" w:rsidRPr="00582FEA" w:rsidRDefault="00582FEA" w:rsidP="00733694">
            <w:pPr>
              <w:jc w:val="left"/>
              <w:rPr>
                <w:rFonts w:cs="Arial"/>
                <w:b/>
                <w:bCs/>
                <w:color w:val="000000" w:themeColor="text1"/>
                <w:szCs w:val="22"/>
              </w:rPr>
            </w:pPr>
            <w:r w:rsidRPr="00582FEA">
              <w:rPr>
                <w:rFonts w:cs="Arial"/>
                <w:b/>
                <w:bCs/>
                <w:color w:val="000000" w:themeColor="text1"/>
                <w:szCs w:val="22"/>
              </w:rPr>
              <w:t>Primary charcoal users</w:t>
            </w:r>
          </w:p>
        </w:tc>
        <w:tc>
          <w:tcPr>
            <w:tcW w:w="1311" w:type="dxa"/>
          </w:tcPr>
          <w:p w14:paraId="19BC045C" w14:textId="32AD6888" w:rsidR="00582FEA" w:rsidRPr="00582FEA" w:rsidRDefault="00582FEA" w:rsidP="00733694">
            <w:pPr>
              <w:jc w:val="center"/>
              <w:rPr>
                <w:rFonts w:cs="Arial"/>
                <w:color w:val="000000" w:themeColor="text1"/>
                <w:szCs w:val="22"/>
              </w:rPr>
            </w:pPr>
            <w:r w:rsidRPr="00582FEA">
              <w:rPr>
                <w:rStyle w:val="normaltextrun"/>
                <w:rFonts w:cs="Arial"/>
                <w:szCs w:val="22"/>
              </w:rPr>
              <w:t>0.00295</w:t>
            </w:r>
          </w:p>
        </w:tc>
        <w:tc>
          <w:tcPr>
            <w:tcW w:w="1311" w:type="dxa"/>
          </w:tcPr>
          <w:p w14:paraId="5D0008CC" w14:textId="418FEF77" w:rsidR="00582FEA" w:rsidRPr="00582FEA" w:rsidRDefault="00582FEA" w:rsidP="00733694">
            <w:pPr>
              <w:jc w:val="center"/>
              <w:rPr>
                <w:rFonts w:cs="Arial"/>
                <w:color w:val="000000" w:themeColor="text1"/>
                <w:szCs w:val="22"/>
              </w:rPr>
            </w:pPr>
            <w:r w:rsidRPr="00582FEA">
              <w:rPr>
                <w:rStyle w:val="normaltextrun"/>
                <w:rFonts w:cs="Arial"/>
                <w:color w:val="000000"/>
                <w:szCs w:val="22"/>
              </w:rPr>
              <w:t>&gt;</w:t>
            </w:r>
            <w:r w:rsidRPr="00582FEA">
              <w:rPr>
                <w:rStyle w:val="normaltextrun"/>
                <w:rFonts w:cs="Arial"/>
                <w:szCs w:val="22"/>
              </w:rPr>
              <w:t xml:space="preserve"> 0.0015</w:t>
            </w:r>
          </w:p>
        </w:tc>
        <w:tc>
          <w:tcPr>
            <w:tcW w:w="4668" w:type="dxa"/>
          </w:tcPr>
          <w:p w14:paraId="655E6FF8" w14:textId="77777777" w:rsidR="00582FEA" w:rsidRPr="00582FEA" w:rsidRDefault="00582FEA" w:rsidP="00733694">
            <w:pPr>
              <w:rPr>
                <w:rFonts w:cs="Arial"/>
                <w:color w:val="000000" w:themeColor="text1"/>
                <w:szCs w:val="22"/>
              </w:rPr>
            </w:pPr>
            <w:r w:rsidRPr="00582FEA">
              <w:rPr>
                <w:rStyle w:val="normaltextrun"/>
                <w:rFonts w:cs="Arial"/>
                <w:color w:val="000000"/>
                <w:szCs w:val="22"/>
              </w:rPr>
              <w:t>TJ useful energy delivered/(person*year)</w:t>
            </w:r>
          </w:p>
        </w:tc>
      </w:tr>
      <w:tr w:rsidR="00582FEA" w:rsidRPr="00B33BB6" w14:paraId="4B1AB4F2" w14:textId="77777777">
        <w:tc>
          <w:tcPr>
            <w:tcW w:w="2335" w:type="dxa"/>
            <w:vMerge/>
          </w:tcPr>
          <w:p w14:paraId="0D0A90C7" w14:textId="77777777" w:rsidR="00582FEA" w:rsidRPr="00582FEA" w:rsidRDefault="00582FEA" w:rsidP="00733694">
            <w:pPr>
              <w:ind w:left="360"/>
              <w:jc w:val="left"/>
              <w:rPr>
                <w:rFonts w:cs="Arial"/>
                <w:b/>
                <w:bCs/>
                <w:color w:val="000000" w:themeColor="text1"/>
                <w:szCs w:val="22"/>
              </w:rPr>
            </w:pPr>
          </w:p>
        </w:tc>
        <w:tc>
          <w:tcPr>
            <w:tcW w:w="1311" w:type="dxa"/>
          </w:tcPr>
          <w:p w14:paraId="6960E341" w14:textId="77777777" w:rsidR="00582FEA" w:rsidRPr="00582FEA" w:rsidRDefault="00582FEA" w:rsidP="00733694">
            <w:pPr>
              <w:jc w:val="center"/>
              <w:rPr>
                <w:rFonts w:cs="Arial"/>
                <w:color w:val="000000" w:themeColor="text1"/>
                <w:szCs w:val="22"/>
              </w:rPr>
            </w:pPr>
            <w:r w:rsidRPr="00582FEA">
              <w:rPr>
                <w:rStyle w:val="normaltextrun"/>
                <w:rFonts w:cs="Arial"/>
                <w:color w:val="000000"/>
                <w:szCs w:val="22"/>
              </w:rPr>
              <w:t>0.012</w:t>
            </w:r>
          </w:p>
        </w:tc>
        <w:tc>
          <w:tcPr>
            <w:tcW w:w="1311" w:type="dxa"/>
          </w:tcPr>
          <w:p w14:paraId="44FB20F6" w14:textId="77777777" w:rsidR="00582FEA" w:rsidRPr="00582FEA" w:rsidRDefault="00582FEA" w:rsidP="00733694">
            <w:pPr>
              <w:jc w:val="center"/>
              <w:rPr>
                <w:rFonts w:cs="Arial"/>
                <w:color w:val="000000" w:themeColor="text1"/>
                <w:szCs w:val="22"/>
              </w:rPr>
            </w:pPr>
            <w:r w:rsidRPr="00582FEA">
              <w:rPr>
                <w:rStyle w:val="normaltextrun"/>
                <w:rFonts w:cs="Arial"/>
                <w:color w:val="000000"/>
                <w:szCs w:val="22"/>
              </w:rPr>
              <w:t>0.0059</w:t>
            </w:r>
          </w:p>
        </w:tc>
        <w:tc>
          <w:tcPr>
            <w:tcW w:w="4668" w:type="dxa"/>
          </w:tcPr>
          <w:p w14:paraId="712C49DE" w14:textId="77777777" w:rsidR="00582FEA" w:rsidRPr="00582FEA" w:rsidRDefault="00582FEA" w:rsidP="00733694">
            <w:pPr>
              <w:rPr>
                <w:rFonts w:cs="Arial"/>
                <w:color w:val="000000" w:themeColor="text1"/>
                <w:szCs w:val="22"/>
              </w:rPr>
            </w:pPr>
            <w:r w:rsidRPr="00582FEA">
              <w:rPr>
                <w:rStyle w:val="normaltextrun"/>
                <w:rFonts w:cs="Arial"/>
                <w:color w:val="000000"/>
                <w:szCs w:val="22"/>
              </w:rPr>
              <w:t>TJ/(person*year)</w:t>
            </w:r>
          </w:p>
        </w:tc>
      </w:tr>
      <w:tr w:rsidR="00582FEA" w:rsidRPr="00B33BB6" w14:paraId="361E00EE" w14:textId="77777777">
        <w:tc>
          <w:tcPr>
            <w:tcW w:w="2335" w:type="dxa"/>
            <w:vMerge/>
          </w:tcPr>
          <w:p w14:paraId="5A9C85F3" w14:textId="77777777" w:rsidR="00582FEA" w:rsidRPr="00582FEA" w:rsidRDefault="00582FEA" w:rsidP="00733694">
            <w:pPr>
              <w:ind w:left="360"/>
              <w:jc w:val="left"/>
              <w:rPr>
                <w:rFonts w:cs="Arial"/>
                <w:b/>
                <w:bCs/>
                <w:color w:val="000000" w:themeColor="text1"/>
                <w:szCs w:val="22"/>
              </w:rPr>
            </w:pPr>
          </w:p>
        </w:tc>
        <w:tc>
          <w:tcPr>
            <w:tcW w:w="1311" w:type="dxa"/>
          </w:tcPr>
          <w:p w14:paraId="41CB938B" w14:textId="77777777" w:rsidR="00582FEA" w:rsidRPr="00B33BB6" w:rsidRDefault="00582FEA" w:rsidP="00733694">
            <w:pPr>
              <w:pStyle w:val="paragraph"/>
              <w:spacing w:before="0" w:beforeAutospacing="0" w:after="0" w:afterAutospacing="0"/>
              <w:jc w:val="center"/>
              <w:textAlignment w:val="baseline"/>
              <w:rPr>
                <w:rFonts w:ascii="Arial" w:hAnsi="Arial" w:cs="Arial"/>
                <w:sz w:val="22"/>
                <w:szCs w:val="22"/>
              </w:rPr>
            </w:pPr>
            <w:r w:rsidRPr="00B33BB6">
              <w:rPr>
                <w:rStyle w:val="normaltextrun"/>
                <w:rFonts w:ascii="Arial" w:hAnsi="Arial" w:cs="Arial"/>
                <w:sz w:val="22"/>
                <w:szCs w:val="22"/>
              </w:rPr>
              <w:t>0.4</w:t>
            </w:r>
          </w:p>
        </w:tc>
        <w:tc>
          <w:tcPr>
            <w:tcW w:w="1311" w:type="dxa"/>
          </w:tcPr>
          <w:p w14:paraId="39E81449" w14:textId="77777777" w:rsidR="00582FEA" w:rsidRPr="00B33BB6" w:rsidRDefault="00582FEA" w:rsidP="00733694">
            <w:pPr>
              <w:pStyle w:val="paragraph"/>
              <w:spacing w:before="0" w:beforeAutospacing="0" w:after="0" w:afterAutospacing="0"/>
              <w:jc w:val="center"/>
              <w:textAlignment w:val="baseline"/>
              <w:rPr>
                <w:rFonts w:ascii="Arial" w:hAnsi="Arial" w:cs="Arial"/>
                <w:sz w:val="22"/>
                <w:szCs w:val="22"/>
              </w:rPr>
            </w:pPr>
            <w:r w:rsidRPr="00B33BB6">
              <w:rPr>
                <w:rStyle w:val="normaltextrun"/>
                <w:rFonts w:ascii="Arial" w:hAnsi="Arial" w:cs="Arial"/>
                <w:sz w:val="22"/>
                <w:szCs w:val="22"/>
              </w:rPr>
              <w:t>&gt;0.2</w:t>
            </w:r>
          </w:p>
        </w:tc>
        <w:tc>
          <w:tcPr>
            <w:tcW w:w="4668" w:type="dxa"/>
          </w:tcPr>
          <w:p w14:paraId="175F17BA" w14:textId="77777777" w:rsidR="00582FEA" w:rsidRPr="00582FEA" w:rsidRDefault="00582FEA" w:rsidP="00934A9C">
            <w:pPr>
              <w:rPr>
                <w:rFonts w:cs="Arial"/>
                <w:color w:val="000000" w:themeColor="text1"/>
                <w:szCs w:val="22"/>
              </w:rPr>
            </w:pPr>
            <w:proofErr w:type="spellStart"/>
            <w:r w:rsidRPr="00582FEA">
              <w:rPr>
                <w:rStyle w:val="normaltextrun"/>
                <w:rFonts w:cs="Arial"/>
                <w:color w:val="000000"/>
                <w:szCs w:val="22"/>
              </w:rPr>
              <w:t>tonnes</w:t>
            </w:r>
            <w:proofErr w:type="spellEnd"/>
            <w:r w:rsidRPr="00582FEA">
              <w:rPr>
                <w:rStyle w:val="normaltextrun"/>
                <w:rFonts w:cs="Arial"/>
                <w:color w:val="000000"/>
                <w:szCs w:val="22"/>
              </w:rPr>
              <w:t>/(person*year)</w:t>
            </w:r>
          </w:p>
        </w:tc>
      </w:tr>
      <w:tr w:rsidR="00582FEA" w:rsidRPr="00B33BB6" w14:paraId="0EB4028A" w14:textId="77777777">
        <w:tc>
          <w:tcPr>
            <w:tcW w:w="2335" w:type="dxa"/>
            <w:vMerge w:val="restart"/>
          </w:tcPr>
          <w:p w14:paraId="38167371" w14:textId="77777777" w:rsidR="00582FEA" w:rsidRPr="00582FEA" w:rsidRDefault="00582FEA" w:rsidP="00733694">
            <w:pPr>
              <w:jc w:val="left"/>
              <w:rPr>
                <w:rFonts w:cs="Arial"/>
                <w:b/>
                <w:bCs/>
                <w:color w:val="000000" w:themeColor="text1"/>
                <w:szCs w:val="22"/>
              </w:rPr>
            </w:pPr>
            <w:r w:rsidRPr="00582FEA">
              <w:rPr>
                <w:rFonts w:cs="Arial"/>
                <w:b/>
                <w:bCs/>
                <w:color w:val="000000" w:themeColor="text1"/>
                <w:szCs w:val="22"/>
              </w:rPr>
              <w:t>Mixed/</w:t>
            </w:r>
            <w:proofErr w:type="gramStart"/>
            <w:r w:rsidRPr="00582FEA">
              <w:rPr>
                <w:rFonts w:cs="Arial"/>
                <w:b/>
                <w:bCs/>
                <w:color w:val="000000" w:themeColor="text1"/>
                <w:szCs w:val="22"/>
              </w:rPr>
              <w:t>other</w:t>
            </w:r>
            <w:proofErr w:type="gramEnd"/>
            <w:r w:rsidRPr="00582FEA">
              <w:rPr>
                <w:rFonts w:cs="Arial"/>
                <w:b/>
                <w:bCs/>
                <w:color w:val="000000" w:themeColor="text1"/>
                <w:szCs w:val="22"/>
              </w:rPr>
              <w:t xml:space="preserve"> primary baseline</w:t>
            </w:r>
          </w:p>
        </w:tc>
        <w:tc>
          <w:tcPr>
            <w:tcW w:w="1311" w:type="dxa"/>
          </w:tcPr>
          <w:p w14:paraId="50578CBE" w14:textId="49E27BB3" w:rsidR="00582FEA" w:rsidRPr="00582FEA" w:rsidRDefault="00582FEA" w:rsidP="00733694">
            <w:pPr>
              <w:jc w:val="center"/>
              <w:rPr>
                <w:rFonts w:cs="Arial"/>
                <w:color w:val="000000" w:themeColor="text1"/>
                <w:szCs w:val="22"/>
              </w:rPr>
            </w:pPr>
            <w:r w:rsidRPr="00582FEA">
              <w:rPr>
                <w:rStyle w:val="normaltextrun"/>
                <w:rFonts w:cs="Arial"/>
                <w:szCs w:val="22"/>
              </w:rPr>
              <w:t>0.00295</w:t>
            </w:r>
          </w:p>
        </w:tc>
        <w:tc>
          <w:tcPr>
            <w:tcW w:w="1311" w:type="dxa"/>
          </w:tcPr>
          <w:p w14:paraId="49BF34EE" w14:textId="10B06935" w:rsidR="00582FEA" w:rsidRPr="00582FEA" w:rsidRDefault="00582FEA" w:rsidP="00733694">
            <w:pPr>
              <w:jc w:val="center"/>
              <w:rPr>
                <w:rFonts w:cs="Arial"/>
                <w:color w:val="000000" w:themeColor="text1"/>
                <w:szCs w:val="22"/>
              </w:rPr>
            </w:pPr>
            <w:r w:rsidRPr="00582FEA">
              <w:rPr>
                <w:rStyle w:val="normaltextrun"/>
                <w:rFonts w:cs="Arial"/>
                <w:color w:val="000000"/>
                <w:szCs w:val="22"/>
              </w:rPr>
              <w:t>&gt;</w:t>
            </w:r>
            <w:r w:rsidRPr="00582FEA">
              <w:rPr>
                <w:rStyle w:val="normaltextrun"/>
                <w:rFonts w:cs="Arial"/>
                <w:szCs w:val="22"/>
              </w:rPr>
              <w:t xml:space="preserve"> 0.0015</w:t>
            </w:r>
          </w:p>
        </w:tc>
        <w:tc>
          <w:tcPr>
            <w:tcW w:w="4668" w:type="dxa"/>
          </w:tcPr>
          <w:p w14:paraId="475E7B7B" w14:textId="77777777" w:rsidR="00582FEA" w:rsidRPr="00582FEA" w:rsidRDefault="00582FEA" w:rsidP="00733694">
            <w:pPr>
              <w:rPr>
                <w:rFonts w:cs="Arial"/>
                <w:color w:val="000000" w:themeColor="text1"/>
                <w:szCs w:val="22"/>
              </w:rPr>
            </w:pPr>
            <w:r w:rsidRPr="00582FEA">
              <w:rPr>
                <w:rStyle w:val="normaltextrun"/>
                <w:rFonts w:cs="Arial"/>
                <w:color w:val="000000"/>
                <w:szCs w:val="22"/>
              </w:rPr>
              <w:t>TJ useful energy delivered/(person*year)</w:t>
            </w:r>
          </w:p>
        </w:tc>
      </w:tr>
      <w:tr w:rsidR="00582FEA" w:rsidRPr="00B33BB6" w14:paraId="798AEF4E" w14:textId="77777777">
        <w:tc>
          <w:tcPr>
            <w:tcW w:w="2335" w:type="dxa"/>
            <w:vMerge/>
          </w:tcPr>
          <w:p w14:paraId="2AD22E58" w14:textId="77777777" w:rsidR="00582FEA" w:rsidRPr="00582FEA" w:rsidRDefault="00582FEA" w:rsidP="00582FEA">
            <w:pPr>
              <w:ind w:left="360"/>
              <w:rPr>
                <w:rFonts w:cs="Arial"/>
                <w:color w:val="000000" w:themeColor="text1"/>
                <w:szCs w:val="22"/>
              </w:rPr>
            </w:pPr>
          </w:p>
        </w:tc>
        <w:tc>
          <w:tcPr>
            <w:tcW w:w="1311" w:type="dxa"/>
          </w:tcPr>
          <w:p w14:paraId="5C48A103" w14:textId="77777777" w:rsidR="00582FEA" w:rsidRPr="00582FEA" w:rsidRDefault="00582FEA" w:rsidP="00733694">
            <w:pPr>
              <w:jc w:val="center"/>
              <w:rPr>
                <w:rFonts w:cs="Arial"/>
                <w:color w:val="000000" w:themeColor="text1"/>
                <w:szCs w:val="22"/>
              </w:rPr>
            </w:pPr>
            <w:r w:rsidRPr="00582FEA">
              <w:rPr>
                <w:rStyle w:val="normaltextrun"/>
                <w:rFonts w:cs="Arial"/>
                <w:color w:val="000000"/>
                <w:szCs w:val="22"/>
              </w:rPr>
              <w:t>0.012</w:t>
            </w:r>
          </w:p>
        </w:tc>
        <w:tc>
          <w:tcPr>
            <w:tcW w:w="1311" w:type="dxa"/>
          </w:tcPr>
          <w:p w14:paraId="6955CF06" w14:textId="77777777" w:rsidR="00582FEA" w:rsidRPr="00582FEA" w:rsidRDefault="00582FEA" w:rsidP="00733694">
            <w:pPr>
              <w:jc w:val="center"/>
              <w:rPr>
                <w:rFonts w:cs="Arial"/>
                <w:color w:val="000000" w:themeColor="text1"/>
                <w:szCs w:val="22"/>
              </w:rPr>
            </w:pPr>
            <w:r w:rsidRPr="00582FEA">
              <w:rPr>
                <w:rStyle w:val="normaltextrun"/>
                <w:rFonts w:cs="Arial"/>
                <w:color w:val="000000"/>
                <w:szCs w:val="22"/>
              </w:rPr>
              <w:t>0.0059</w:t>
            </w:r>
          </w:p>
        </w:tc>
        <w:tc>
          <w:tcPr>
            <w:tcW w:w="4668" w:type="dxa"/>
          </w:tcPr>
          <w:p w14:paraId="1BF3F857" w14:textId="77777777" w:rsidR="00582FEA" w:rsidRPr="00582FEA" w:rsidRDefault="00582FEA" w:rsidP="00733694">
            <w:pPr>
              <w:rPr>
                <w:rFonts w:cs="Arial"/>
                <w:color w:val="000000" w:themeColor="text1"/>
                <w:szCs w:val="22"/>
              </w:rPr>
            </w:pPr>
            <w:r w:rsidRPr="00582FEA">
              <w:rPr>
                <w:rStyle w:val="normaltextrun"/>
                <w:rFonts w:cs="Arial"/>
                <w:color w:val="000000"/>
                <w:szCs w:val="22"/>
              </w:rPr>
              <w:t>TJ/(person*year)</w:t>
            </w:r>
          </w:p>
        </w:tc>
      </w:tr>
      <w:tr w:rsidR="00582FEA" w:rsidRPr="00B33BB6" w14:paraId="7C741EB2" w14:textId="77777777">
        <w:tc>
          <w:tcPr>
            <w:tcW w:w="2335" w:type="dxa"/>
            <w:vMerge/>
          </w:tcPr>
          <w:p w14:paraId="620B6B09" w14:textId="77777777" w:rsidR="00582FEA" w:rsidRPr="00582FEA" w:rsidRDefault="00582FEA" w:rsidP="00582FEA">
            <w:pPr>
              <w:ind w:left="360"/>
              <w:rPr>
                <w:rFonts w:cs="Arial"/>
                <w:color w:val="000000" w:themeColor="text1"/>
                <w:szCs w:val="22"/>
              </w:rPr>
            </w:pPr>
          </w:p>
        </w:tc>
        <w:tc>
          <w:tcPr>
            <w:tcW w:w="1311" w:type="dxa"/>
          </w:tcPr>
          <w:p w14:paraId="6B162118" w14:textId="77777777" w:rsidR="00582FEA" w:rsidRPr="00582FEA" w:rsidRDefault="00582FEA" w:rsidP="00733694">
            <w:pPr>
              <w:jc w:val="center"/>
              <w:rPr>
                <w:rFonts w:cs="Arial"/>
                <w:color w:val="000000" w:themeColor="text1"/>
                <w:szCs w:val="22"/>
              </w:rPr>
            </w:pPr>
            <w:r w:rsidRPr="00582FEA">
              <w:rPr>
                <w:rStyle w:val="normaltextrun"/>
                <w:rFonts w:cs="Arial"/>
                <w:szCs w:val="22"/>
              </w:rPr>
              <w:t>0.4</w:t>
            </w:r>
          </w:p>
        </w:tc>
        <w:tc>
          <w:tcPr>
            <w:tcW w:w="1311" w:type="dxa"/>
          </w:tcPr>
          <w:p w14:paraId="4B0073FA" w14:textId="77777777" w:rsidR="00582FEA" w:rsidRPr="00582FEA" w:rsidRDefault="00582FEA" w:rsidP="00733694">
            <w:pPr>
              <w:jc w:val="center"/>
              <w:rPr>
                <w:rFonts w:cs="Arial"/>
                <w:color w:val="000000" w:themeColor="text1"/>
                <w:szCs w:val="22"/>
              </w:rPr>
            </w:pPr>
            <w:r w:rsidRPr="00582FEA">
              <w:rPr>
                <w:rStyle w:val="normaltextrun"/>
                <w:rFonts w:cs="Arial"/>
                <w:szCs w:val="22"/>
              </w:rPr>
              <w:t>&gt;0.2</w:t>
            </w:r>
          </w:p>
        </w:tc>
        <w:tc>
          <w:tcPr>
            <w:tcW w:w="4668" w:type="dxa"/>
          </w:tcPr>
          <w:p w14:paraId="6B6E2AFD" w14:textId="77777777" w:rsidR="00582FEA" w:rsidRPr="00582FEA" w:rsidRDefault="00582FEA" w:rsidP="00733694">
            <w:pPr>
              <w:rPr>
                <w:rFonts w:cs="Arial"/>
                <w:color w:val="000000" w:themeColor="text1"/>
                <w:szCs w:val="22"/>
              </w:rPr>
            </w:pPr>
            <w:proofErr w:type="spellStart"/>
            <w:r w:rsidRPr="00582FEA">
              <w:rPr>
                <w:rStyle w:val="normaltextrun"/>
                <w:rFonts w:cs="Arial"/>
                <w:color w:val="000000"/>
                <w:szCs w:val="22"/>
              </w:rPr>
              <w:t>tonnes</w:t>
            </w:r>
            <w:proofErr w:type="spellEnd"/>
            <w:r w:rsidRPr="00582FEA">
              <w:rPr>
                <w:rStyle w:val="normaltextrun"/>
                <w:rFonts w:cs="Arial"/>
                <w:color w:val="000000"/>
                <w:szCs w:val="22"/>
              </w:rPr>
              <w:t>/(person*year)</w:t>
            </w:r>
          </w:p>
        </w:tc>
      </w:tr>
    </w:tbl>
    <w:p w14:paraId="70768BBD" w14:textId="77777777" w:rsidR="00582FEA" w:rsidRPr="00582FEA" w:rsidRDefault="00582FEA" w:rsidP="0024276B">
      <w:pPr>
        <w:pBdr>
          <w:top w:val="nil"/>
          <w:left w:val="nil"/>
          <w:bottom w:val="nil"/>
          <w:right w:val="nil"/>
          <w:between w:val="nil"/>
        </w:pBdr>
        <w:tabs>
          <w:tab w:val="left" w:pos="510"/>
        </w:tabs>
        <w:spacing w:before="60" w:after="60"/>
        <w:rPr>
          <w:rFonts w:eastAsia="Montserrat" w:cs="Arial"/>
          <w:szCs w:val="22"/>
        </w:rPr>
      </w:pPr>
    </w:p>
    <w:p w14:paraId="1FC9C40D" w14:textId="77777777" w:rsidR="00D50D90" w:rsidRDefault="00582FEA" w:rsidP="002A6124">
      <w:pPr>
        <w:pStyle w:val="SDMPara"/>
        <w:shd w:val="clear" w:color="auto" w:fill="FFFFFF" w:themeFill="background1"/>
        <w:spacing w:after="160"/>
        <w:rPr>
          <w:rFonts w:eastAsia="Montserrat"/>
        </w:rPr>
      </w:pPr>
      <w:r w:rsidRPr="002A6124">
        <w:rPr>
          <w:rFonts w:eastAsia="Montserrat"/>
          <w:b/>
          <w:bCs/>
        </w:rPr>
        <w:t>Baseline emissions for</w:t>
      </w:r>
      <w:r w:rsidRPr="002A6124">
        <w:rPr>
          <w:rFonts w:eastAsia="Montserrat"/>
        </w:rPr>
        <w:t xml:space="preserve"> </w:t>
      </w:r>
      <w:r w:rsidRPr="002A6124">
        <w:rPr>
          <w:rFonts w:eastAsia="Montserrat"/>
          <w:b/>
        </w:rPr>
        <w:t>CTEC projects using the back-calculation option</w:t>
      </w:r>
      <w:r w:rsidRPr="002A6124">
        <w:rPr>
          <w:rFonts w:eastAsia="Montserrat"/>
        </w:rPr>
        <w:t xml:space="preserve"> </w:t>
      </w:r>
    </w:p>
    <w:p w14:paraId="0EDBD038" w14:textId="77777777" w:rsidR="00582FEA" w:rsidRPr="00D50D90" w:rsidRDefault="00D50D90" w:rsidP="00D50D90">
      <w:pPr>
        <w:pStyle w:val="SDMSubPara1"/>
        <w:shd w:val="clear" w:color="auto" w:fill="FFFFFF" w:themeFill="background1"/>
        <w:spacing w:after="160"/>
        <w:rPr>
          <w:rFonts w:eastAsia="Montserrat"/>
        </w:rPr>
      </w:pPr>
      <w:r>
        <w:rPr>
          <w:rFonts w:eastAsia="Montserrat"/>
        </w:rPr>
        <w:t xml:space="preserve">Baseline emissions for CTEC projects using the back-calculation option </w:t>
      </w:r>
      <w:r w:rsidR="00582FEA" w:rsidRPr="00D50D90">
        <w:rPr>
          <w:rFonts w:eastAsia="Montserrat"/>
        </w:rPr>
        <w:t>are calculated using Equation (2)</w:t>
      </w:r>
      <w:r w:rsidR="00582FEA" w:rsidRPr="00B33BB6">
        <w:rPr>
          <w:rStyle w:val="FootnoteReference"/>
          <w:rFonts w:eastAsia="Montserrat"/>
        </w:rPr>
        <w:footnoteReference w:id="11"/>
      </w:r>
      <w:r w:rsidR="00582FEA" w:rsidRPr="00D50D90">
        <w:rPr>
          <w:rFonts w:eastAsia="Montserrat"/>
        </w:rPr>
        <w:t>.</w:t>
      </w:r>
    </w:p>
    <w:p w14:paraId="21CF9FE1" w14:textId="77777777" w:rsidR="00582FEA" w:rsidRPr="00582FEA" w:rsidDel="00A035A8" w:rsidRDefault="00582FEA" w:rsidP="00582FEA">
      <w:pPr>
        <w:ind w:left="360"/>
        <w:rPr>
          <w:rFonts w:eastAsia="Montserrat" w:cs="Arial"/>
          <w:szCs w:val="22"/>
        </w:rPr>
      </w:pPr>
    </w:p>
    <w:tbl>
      <w:tblPr>
        <w:tblW w:w="9356" w:type="dxa"/>
        <w:tblInd w:w="601" w:type="dxa"/>
        <w:tblBorders>
          <w:top w:val="nil"/>
          <w:left w:val="nil"/>
          <w:bottom w:val="nil"/>
          <w:right w:val="nil"/>
          <w:insideH w:val="nil"/>
          <w:insideV w:val="nil"/>
        </w:tblBorders>
        <w:tblLayout w:type="fixed"/>
        <w:tblLook w:val="0400" w:firstRow="0" w:lastRow="0" w:firstColumn="0" w:lastColumn="0" w:noHBand="0" w:noVBand="1"/>
      </w:tblPr>
      <w:tblGrid>
        <w:gridCol w:w="8506"/>
        <w:gridCol w:w="850"/>
      </w:tblGrid>
      <w:tr w:rsidR="00582FEA" w:rsidRPr="00B33BB6" w14:paraId="06D45D36" w14:textId="77777777" w:rsidTr="00D50D90">
        <w:tc>
          <w:tcPr>
            <w:tcW w:w="8506" w:type="dxa"/>
            <w:vAlign w:val="center"/>
          </w:tcPr>
          <w:p w14:paraId="353542AC" w14:textId="77777777" w:rsidR="00582FEA" w:rsidRPr="00582FEA" w:rsidDel="00C92F3C" w:rsidRDefault="00000000" w:rsidP="00982D06">
            <w:pPr>
              <w:jc w:val="center"/>
              <w:rPr>
                <w:rFonts w:cs="Arial"/>
                <w:i/>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y</m:t>
                    </m:r>
                  </m:sub>
                </m:sSub>
                <m:r>
                  <w:rPr>
                    <w:rFonts w:ascii="Cambria Math" w:eastAsia="Cambria Math" w:hAnsi="Cambria Math" w:cs="Arial"/>
                    <w:szCs w:val="22"/>
                  </w:rPr>
                  <m:t xml:space="preserve"> =  </m:t>
                </m:r>
                <m:nary>
                  <m:naryPr>
                    <m:chr m:val="∑"/>
                    <m:supHide m:val="1"/>
                    <m:ctrlPr>
                      <w:rPr>
                        <w:rFonts w:ascii="Cambria Math" w:eastAsia="Cambria Math" w:hAnsi="Cambria Math" w:cs="Arial"/>
                        <w:i/>
                        <w:szCs w:val="22"/>
                      </w:rPr>
                    </m:ctrlPr>
                  </m:naryPr>
                  <m:sub>
                    <m:r>
                      <w:rPr>
                        <w:rFonts w:ascii="Cambria Math" w:eastAsia="Cambria Math" w:hAnsi="Cambria Math" w:cs="Arial"/>
                        <w:szCs w:val="22"/>
                      </w:rPr>
                      <m:t>i</m:t>
                    </m:r>
                  </m:sub>
                  <m:sup/>
                  <m:e>
                    <m:r>
                      <w:rPr>
                        <w:rFonts w:ascii="Cambria Math" w:eastAsia="Cambria Math" w:hAnsi="Cambria Math" w:cs="Arial"/>
                        <w:szCs w:val="22"/>
                      </w:rPr>
                      <m:t xml:space="preserve"> </m:t>
                    </m:r>
                  </m:e>
                </m:nary>
                <m:d>
                  <m:dPr>
                    <m:ctrlPr>
                      <w:rPr>
                        <w:rFonts w:ascii="Cambria Math" w:eastAsia="Cambria Math" w:hAnsi="Cambria Math" w:cs="Arial"/>
                        <w:i/>
                        <w:szCs w:val="22"/>
                      </w:rPr>
                    </m:ctrlPr>
                  </m:dPr>
                  <m:e>
                    <m:sSub>
                      <m:sSubPr>
                        <m:ctrlPr>
                          <w:rPr>
                            <w:rFonts w:ascii="Cambria Math" w:eastAsia="Cambria Math" w:hAnsi="Cambria Math" w:cs="Arial"/>
                            <w:i/>
                            <w:szCs w:val="22"/>
                          </w:rPr>
                        </m:ctrlPr>
                      </m:sSubPr>
                      <m:e>
                        <m:r>
                          <w:rPr>
                            <w:rFonts w:ascii="Cambria Math" w:eastAsia="Cambria Math" w:hAnsi="Cambria Math" w:cs="Arial"/>
                            <w:szCs w:val="22"/>
                          </w:rPr>
                          <m:t>EC</m:t>
                        </m:r>
                      </m:e>
                      <m:sub>
                        <m:r>
                          <w:rPr>
                            <w:rFonts w:ascii="Cambria Math" w:eastAsia="Cambria Math" w:hAnsi="Cambria Math" w:cs="Arial"/>
                            <w:szCs w:val="22"/>
                          </w:rPr>
                          <m:t>d-base,i,y</m:t>
                        </m:r>
                      </m:sub>
                    </m:sSub>
                    <m:r>
                      <w:rPr>
                        <w:rFonts w:ascii="Cambria Math" w:eastAsia="Cambria Math" w:hAnsi="Cambria Math" w:cs="Arial"/>
                        <w:szCs w:val="22"/>
                      </w:rPr>
                      <m:t>×</m:t>
                    </m:r>
                    <m:d>
                      <m:dPr>
                        <m:ctrlPr>
                          <w:rPr>
                            <w:rFonts w:ascii="Cambria Math" w:eastAsia="Cambria Math" w:hAnsi="Cambria Math" w:cs="Arial"/>
                            <w:i/>
                            <w:szCs w:val="22"/>
                          </w:rPr>
                        </m:ctrlPr>
                      </m:dPr>
                      <m:e>
                        <m:sSub>
                          <m:sSubPr>
                            <m:ctrlPr>
                              <w:rPr>
                                <w:rFonts w:ascii="Cambria Math" w:eastAsia="Cambria Math" w:hAnsi="Cambria Math" w:cs="Arial"/>
                                <w:i/>
                                <w:szCs w:val="22"/>
                              </w:rPr>
                            </m:ctrlPr>
                          </m:sSubPr>
                          <m:e>
                            <m:r>
                              <w:rPr>
                                <w:rFonts w:ascii="Cambria Math" w:eastAsia="Cambria Math" w:hAnsi="Cambria Math" w:cs="Arial"/>
                                <w:szCs w:val="22"/>
                              </w:rPr>
                              <m:t>fNRB</m:t>
                            </m:r>
                          </m:e>
                          <m:sub>
                            <m:r>
                              <w:rPr>
                                <w:rFonts w:ascii="Cambria Math" w:eastAsia="Cambria Math" w:hAnsi="Cambria Math" w:cs="Arial"/>
                                <w:szCs w:val="22"/>
                              </w:rPr>
                              <m:t>i</m:t>
                            </m:r>
                          </m:sub>
                        </m:sSub>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base,i,CO2</m:t>
                            </m:r>
                          </m:sub>
                        </m:sSub>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base,i,nonCO2</m:t>
                            </m:r>
                          </m:sub>
                        </m:sSub>
                      </m:e>
                    </m:d>
                  </m:e>
                </m:d>
                <m:r>
                  <w:rPr>
                    <w:rFonts w:ascii="Cambria Math" w:eastAsia="Cambria Math" w:hAnsi="Cambria Math" w:cs="Arial"/>
                    <w:szCs w:val="22"/>
                  </w:rPr>
                  <m:t>+</m:t>
                </m:r>
                <m:nary>
                  <m:naryPr>
                    <m:chr m:val="∑"/>
                    <m:supHide m:val="1"/>
                    <m:ctrlPr>
                      <w:rPr>
                        <w:rFonts w:ascii="Cambria Math" w:eastAsia="Cambria Math" w:hAnsi="Cambria Math" w:cs="Arial"/>
                        <w:i/>
                        <w:szCs w:val="22"/>
                      </w:rPr>
                    </m:ctrlPr>
                  </m:naryPr>
                  <m:sub>
                    <m:r>
                      <w:rPr>
                        <w:rFonts w:ascii="Cambria Math" w:eastAsia="Cambria Math" w:hAnsi="Cambria Math" w:cs="Arial"/>
                        <w:szCs w:val="22"/>
                      </w:rPr>
                      <m:t>i</m:t>
                    </m:r>
                  </m:sub>
                  <m:sup/>
                  <m:e>
                    <m:r>
                      <w:rPr>
                        <w:rFonts w:ascii="Cambria Math" w:eastAsia="Cambria Math" w:hAnsi="Cambria Math" w:cs="Arial"/>
                        <w:szCs w:val="22"/>
                      </w:rPr>
                      <m:t xml:space="preserve"> </m:t>
                    </m:r>
                  </m:e>
                </m:nary>
                <m:sSub>
                  <m:sSubPr>
                    <m:ctrlPr>
                      <w:rPr>
                        <w:rFonts w:ascii="Cambria Math" w:eastAsia="Cambria Math" w:hAnsi="Cambria Math" w:cs="Arial"/>
                        <w:i/>
                        <w:szCs w:val="22"/>
                      </w:rPr>
                    </m:ctrlPr>
                  </m:sSubPr>
                  <m:e>
                    <m:r>
                      <w:rPr>
                        <w:rFonts w:ascii="Cambria Math" w:eastAsia="Cambria Math" w:hAnsi="Cambria Math" w:cs="Arial"/>
                        <w:szCs w:val="22"/>
                      </w:rPr>
                      <m:t>UE</m:t>
                    </m:r>
                  </m:e>
                  <m:sub>
                    <m:r>
                      <w:rPr>
                        <w:rFonts w:ascii="Cambria Math" w:eastAsia="Cambria Math" w:hAnsi="Cambria Math" w:cs="Arial"/>
                        <w:szCs w:val="22"/>
                      </w:rPr>
                      <m:t>base,i,y</m:t>
                    </m:r>
                  </m:sub>
                </m:sSub>
              </m:oMath>
            </m:oMathPara>
          </w:p>
        </w:tc>
        <w:tc>
          <w:tcPr>
            <w:tcW w:w="850" w:type="dxa"/>
            <w:vAlign w:val="center"/>
          </w:tcPr>
          <w:p w14:paraId="574B8258" w14:textId="77777777" w:rsidR="00582FEA" w:rsidRPr="00582FEA" w:rsidRDefault="00582FEA" w:rsidP="00582FEA">
            <w:pPr>
              <w:ind w:left="360"/>
              <w:jc w:val="center"/>
              <w:rPr>
                <w:rFonts w:cs="Arial"/>
                <w:szCs w:val="22"/>
              </w:rPr>
            </w:pPr>
            <w:bookmarkStart w:id="46" w:name="e2"/>
            <w:r w:rsidRPr="00582FEA">
              <w:rPr>
                <w:rFonts w:cs="Arial"/>
                <w:szCs w:val="22"/>
              </w:rPr>
              <w:t>(2)</w:t>
            </w:r>
            <w:bookmarkEnd w:id="46"/>
          </w:p>
        </w:tc>
      </w:tr>
    </w:tbl>
    <w:p w14:paraId="1C08A208" w14:textId="77777777" w:rsidR="00582FEA" w:rsidRPr="00582FEA" w:rsidRDefault="00582FEA" w:rsidP="00582FEA">
      <w:pPr>
        <w:ind w:left="360"/>
        <w:rPr>
          <w:rFonts w:eastAsia="Montserrat" w:cs="Arial"/>
          <w:szCs w:val="22"/>
        </w:rPr>
      </w:pPr>
    </w:p>
    <w:p w14:paraId="123CD657" w14:textId="77777777" w:rsidR="00582FEA" w:rsidRPr="00582FEA" w:rsidRDefault="00582FEA" w:rsidP="00D50D90">
      <w:pPr>
        <w:ind w:left="709" w:right="-567"/>
        <w:rPr>
          <w:rFonts w:eastAsia="Montserrat" w:cs="Arial"/>
          <w:szCs w:val="22"/>
        </w:rPr>
      </w:pPr>
      <w:r w:rsidRPr="00582FEA">
        <w:rPr>
          <w:rFonts w:eastAsia="Montserrat" w:cs="Arial"/>
          <w:szCs w:val="22"/>
        </w:rPr>
        <w:t>Where:</w:t>
      </w:r>
    </w:p>
    <w:p w14:paraId="42F77B62" w14:textId="77777777" w:rsidR="00582FEA" w:rsidRPr="00582FEA" w:rsidRDefault="00582FEA" w:rsidP="00582FEA">
      <w:pPr>
        <w:ind w:left="360"/>
        <w:rPr>
          <w:rFonts w:eastAsia="Montserrat" w:cs="Arial"/>
          <w:szCs w:val="22"/>
        </w:rPr>
      </w:pPr>
    </w:p>
    <w:tbl>
      <w:tblPr>
        <w:tblStyle w:val="TableGrid"/>
        <w:tblW w:w="9209" w:type="dxa"/>
        <w:tblInd w:w="596" w:type="dxa"/>
        <w:tblLook w:val="04A0" w:firstRow="1" w:lastRow="0" w:firstColumn="1" w:lastColumn="0" w:noHBand="0" w:noVBand="1"/>
      </w:tblPr>
      <w:tblGrid>
        <w:gridCol w:w="1695"/>
        <w:gridCol w:w="6041"/>
        <w:gridCol w:w="1473"/>
      </w:tblGrid>
      <w:tr w:rsidR="00582FEA" w:rsidRPr="00B33BB6" w14:paraId="5E889B51" w14:textId="77777777" w:rsidTr="00D50D90">
        <w:tc>
          <w:tcPr>
            <w:tcW w:w="1695" w:type="dxa"/>
          </w:tcPr>
          <w:p w14:paraId="2B4525C9" w14:textId="77777777" w:rsidR="00582FEA" w:rsidRPr="00582FEA" w:rsidRDefault="00582FEA" w:rsidP="00982D06">
            <w:pPr>
              <w:rPr>
                <w:rFonts w:eastAsia="Montserrat" w:cs="Arial"/>
                <w:b/>
                <w:szCs w:val="22"/>
              </w:rPr>
            </w:pPr>
            <w:r w:rsidRPr="00582FEA">
              <w:rPr>
                <w:rFonts w:eastAsia="Montserrat" w:cs="Arial"/>
                <w:b/>
                <w:szCs w:val="22"/>
              </w:rPr>
              <w:t>Parameter</w:t>
            </w:r>
          </w:p>
        </w:tc>
        <w:tc>
          <w:tcPr>
            <w:tcW w:w="6041" w:type="dxa"/>
          </w:tcPr>
          <w:p w14:paraId="16C758ED" w14:textId="77777777" w:rsidR="00582FEA" w:rsidRPr="00582FEA" w:rsidRDefault="00582FEA" w:rsidP="00982D06">
            <w:pPr>
              <w:rPr>
                <w:rFonts w:eastAsia="Montserrat" w:cs="Arial"/>
                <w:b/>
                <w:szCs w:val="22"/>
              </w:rPr>
            </w:pPr>
            <w:r w:rsidRPr="00582FEA">
              <w:rPr>
                <w:rFonts w:eastAsia="Montserrat" w:cs="Arial"/>
                <w:b/>
                <w:szCs w:val="22"/>
              </w:rPr>
              <w:t>Description</w:t>
            </w:r>
          </w:p>
        </w:tc>
        <w:tc>
          <w:tcPr>
            <w:tcW w:w="1473" w:type="dxa"/>
          </w:tcPr>
          <w:p w14:paraId="78AB4BD1" w14:textId="77777777" w:rsidR="00582FEA" w:rsidRPr="00582FEA" w:rsidRDefault="00582FEA" w:rsidP="00934A9C">
            <w:pPr>
              <w:rPr>
                <w:rFonts w:eastAsia="Montserrat" w:cs="Arial"/>
                <w:b/>
                <w:szCs w:val="22"/>
              </w:rPr>
            </w:pPr>
            <w:r w:rsidRPr="00582FEA">
              <w:rPr>
                <w:rFonts w:eastAsia="Montserrat" w:cs="Arial"/>
                <w:b/>
                <w:szCs w:val="22"/>
              </w:rPr>
              <w:t>Unit</w:t>
            </w:r>
          </w:p>
        </w:tc>
      </w:tr>
      <w:tr w:rsidR="00582FEA" w:rsidRPr="00B33BB6" w14:paraId="1595CC07" w14:textId="77777777" w:rsidTr="00D50D90">
        <w:tc>
          <w:tcPr>
            <w:tcW w:w="1695" w:type="dxa"/>
          </w:tcPr>
          <w:p w14:paraId="39BB5F26" w14:textId="77777777" w:rsidR="00582FEA" w:rsidRPr="00582FEA" w:rsidRDefault="00000000" w:rsidP="00934A9C">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BE</m:t>
                    </m:r>
                  </m:e>
                  <m:sub>
                    <m:r>
                      <w:rPr>
                        <w:rFonts w:ascii="Cambria Math" w:eastAsia="Cambria Math" w:hAnsi="Cambria Math" w:cs="Arial"/>
                        <w:szCs w:val="22"/>
                      </w:rPr>
                      <m:t>y</m:t>
                    </m:r>
                  </m:sub>
                </m:sSub>
              </m:oMath>
            </m:oMathPara>
          </w:p>
        </w:tc>
        <w:tc>
          <w:tcPr>
            <w:tcW w:w="6041" w:type="dxa"/>
          </w:tcPr>
          <w:p w14:paraId="643DFDC8" w14:textId="77777777" w:rsidR="00582FEA" w:rsidRPr="00582FEA" w:rsidRDefault="00582FEA" w:rsidP="00982D06">
            <w:pPr>
              <w:rPr>
                <w:rFonts w:eastAsia="Montserrat" w:cs="Arial"/>
                <w:szCs w:val="22"/>
              </w:rPr>
            </w:pPr>
            <w:r w:rsidRPr="00582FEA">
              <w:rPr>
                <w:rFonts w:eastAsia="Montserrat" w:cs="Arial"/>
                <w:szCs w:val="22"/>
              </w:rPr>
              <w:t xml:space="preserve">Baseline emissions during year </w:t>
            </w:r>
            <w:r w:rsidRPr="00582FEA">
              <w:rPr>
                <w:rFonts w:eastAsia="Montserrat" w:cs="Arial"/>
                <w:i/>
                <w:szCs w:val="22"/>
              </w:rPr>
              <w:t>y</w:t>
            </w:r>
          </w:p>
        </w:tc>
        <w:tc>
          <w:tcPr>
            <w:tcW w:w="1473" w:type="dxa"/>
          </w:tcPr>
          <w:p w14:paraId="393DDEB6" w14:textId="77777777" w:rsidR="00582FEA" w:rsidRPr="00582FEA" w:rsidRDefault="00582FEA" w:rsidP="00934A9C">
            <w:pPr>
              <w:rPr>
                <w:rFonts w:eastAsia="Montserrat" w:cs="Arial"/>
                <w:szCs w:val="22"/>
              </w:rPr>
            </w:pPr>
            <w:r w:rsidRPr="00582FEA">
              <w:rPr>
                <w:rFonts w:eastAsia="Montserrat" w:cs="Arial"/>
                <w:szCs w:val="22"/>
              </w:rPr>
              <w:t>tCO</w:t>
            </w:r>
            <w:r w:rsidRPr="00582FEA">
              <w:rPr>
                <w:rFonts w:eastAsia="Montserrat" w:cs="Arial"/>
                <w:szCs w:val="22"/>
                <w:vertAlign w:val="subscript"/>
              </w:rPr>
              <w:t>2</w:t>
            </w:r>
            <w:r w:rsidRPr="00582FEA">
              <w:rPr>
                <w:rFonts w:eastAsia="Montserrat" w:cs="Arial"/>
                <w:szCs w:val="22"/>
              </w:rPr>
              <w:t>e</w:t>
            </w:r>
          </w:p>
        </w:tc>
      </w:tr>
      <w:tr w:rsidR="00582FEA" w:rsidRPr="00B33BB6" w14:paraId="4C44A39B" w14:textId="77777777" w:rsidTr="00D50D90">
        <w:tc>
          <w:tcPr>
            <w:tcW w:w="1695" w:type="dxa"/>
          </w:tcPr>
          <w:p w14:paraId="2EC0EF34" w14:textId="77777777" w:rsidR="00582FEA" w:rsidRPr="00582FEA" w:rsidRDefault="00000000" w:rsidP="00582FEA">
            <w:pPr>
              <w:ind w:left="360"/>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d-base,i,y</m:t>
                    </m:r>
                  </m:sub>
                </m:sSub>
              </m:oMath>
            </m:oMathPara>
          </w:p>
        </w:tc>
        <w:tc>
          <w:tcPr>
            <w:tcW w:w="6041" w:type="dxa"/>
          </w:tcPr>
          <w:p w14:paraId="3AA55C62" w14:textId="3F57170D" w:rsidR="00582FEA" w:rsidRPr="00582FEA" w:rsidRDefault="00582FEA" w:rsidP="00982D06">
            <w:pPr>
              <w:rPr>
                <w:rFonts w:eastAsia="Montserrat" w:cs="Arial"/>
                <w:szCs w:val="22"/>
              </w:rPr>
            </w:pPr>
            <w:r w:rsidRPr="00582FEA">
              <w:rPr>
                <w:rFonts w:eastAsia="Montserrat" w:cs="Arial"/>
                <w:szCs w:val="22"/>
              </w:rPr>
              <w:t xml:space="preserve">Displaced energy consumption of fuel </w:t>
            </w:r>
            <w:proofErr w:type="spellStart"/>
            <w:r w:rsidRPr="00582FEA">
              <w:rPr>
                <w:rFonts w:eastAsia="Montserrat" w:cs="Arial"/>
                <w:i/>
                <w:szCs w:val="22"/>
              </w:rPr>
              <w:t>i</w:t>
            </w:r>
            <w:proofErr w:type="spellEnd"/>
            <w:r w:rsidRPr="00582FEA">
              <w:rPr>
                <w:rFonts w:eastAsia="Montserrat" w:cs="Arial"/>
                <w:szCs w:val="22"/>
              </w:rPr>
              <w:t xml:space="preserve"> in baseline scenario in year </w:t>
            </w:r>
            <w:r w:rsidRPr="00582FEA">
              <w:rPr>
                <w:rFonts w:eastAsia="Montserrat" w:cs="Arial"/>
                <w:i/>
                <w:szCs w:val="22"/>
              </w:rPr>
              <w:t>y</w:t>
            </w:r>
            <w:r w:rsidRPr="00582FEA">
              <w:rPr>
                <w:rFonts w:eastAsia="Montserrat" w:cs="Arial"/>
                <w:szCs w:val="22"/>
              </w:rPr>
              <w:t>. Where fuels such as pellets and briquettes are made from a mix of renewable and non-renewable sources (e.g., renewable agricultural waste and non-renewable wood), each source should be considered its own fuel</w:t>
            </w:r>
            <w:r w:rsidRPr="00B33BB6">
              <w:rPr>
                <w:rStyle w:val="FootnoteReference"/>
                <w:rFonts w:eastAsia="Montserrat" w:cs="Arial"/>
                <w:szCs w:val="22"/>
              </w:rPr>
              <w:footnoteReference w:id="12"/>
            </w:r>
            <w:r w:rsidRPr="00582FEA">
              <w:rPr>
                <w:rFonts w:eastAsia="Montserrat" w:cs="Arial"/>
                <w:szCs w:val="22"/>
              </w:rPr>
              <w:t>. This parameter is determined followi</w:t>
            </w:r>
            <w:r w:rsidRPr="00800141">
              <w:rPr>
                <w:rFonts w:eastAsia="Montserrat" w:cs="Arial"/>
                <w:szCs w:val="22"/>
              </w:rPr>
              <w:t xml:space="preserve">ng </w:t>
            </w:r>
            <w:hyperlink w:anchor="e3" w:history="1">
              <w:r w:rsidRPr="00800141">
                <w:rPr>
                  <w:rStyle w:val="Hyperlink"/>
                  <w:rFonts w:eastAsia="Montserrat" w:cs="Arial"/>
                  <w:szCs w:val="22"/>
                  <w:lang w:val="en-GB"/>
                </w:rPr>
                <w:t>Equation (3).</w:t>
              </w:r>
            </w:hyperlink>
          </w:p>
        </w:tc>
        <w:tc>
          <w:tcPr>
            <w:tcW w:w="1473" w:type="dxa"/>
          </w:tcPr>
          <w:p w14:paraId="74D5E1CE" w14:textId="77777777" w:rsidR="00582FEA" w:rsidRPr="00582FEA" w:rsidRDefault="00582FEA" w:rsidP="00934A9C">
            <w:pPr>
              <w:rPr>
                <w:rFonts w:eastAsia="Montserrat" w:cs="Arial"/>
                <w:szCs w:val="22"/>
              </w:rPr>
            </w:pPr>
            <w:r w:rsidRPr="00582FEA">
              <w:rPr>
                <w:rFonts w:eastAsia="Montserrat" w:cs="Arial"/>
                <w:szCs w:val="22"/>
              </w:rPr>
              <w:t>TJ</w:t>
            </w:r>
          </w:p>
        </w:tc>
      </w:tr>
      <w:tr w:rsidR="00582FEA" w:rsidRPr="00B33BB6" w14:paraId="12D4BF72" w14:textId="77777777" w:rsidTr="00D50D90">
        <w:tc>
          <w:tcPr>
            <w:tcW w:w="1695" w:type="dxa"/>
          </w:tcPr>
          <w:p w14:paraId="0045503F" w14:textId="77777777" w:rsidR="00582FEA" w:rsidRPr="00582FEA" w:rsidRDefault="00000000" w:rsidP="00582FEA">
            <w:pPr>
              <w:ind w:left="360"/>
              <w:rPr>
                <w:rFonts w:eastAsia="Montserrat"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fNRB</m:t>
                    </m:r>
                  </m:e>
                  <m:sub>
                    <m:r>
                      <w:rPr>
                        <w:rFonts w:ascii="Cambria Math" w:eastAsia="Cambria Math" w:hAnsi="Cambria Math" w:cs="Arial"/>
                        <w:szCs w:val="22"/>
                      </w:rPr>
                      <m:t>i</m:t>
                    </m:r>
                  </m:sub>
                </m:sSub>
              </m:oMath>
            </m:oMathPara>
          </w:p>
        </w:tc>
        <w:tc>
          <w:tcPr>
            <w:tcW w:w="6041" w:type="dxa"/>
          </w:tcPr>
          <w:p w14:paraId="7E2439AE" w14:textId="77777777" w:rsidR="00582FEA" w:rsidRPr="00582FEA" w:rsidRDefault="00582FEA" w:rsidP="00982D06">
            <w:pPr>
              <w:rPr>
                <w:rFonts w:eastAsia="Montserrat" w:cs="Arial"/>
                <w:szCs w:val="22"/>
              </w:rPr>
            </w:pPr>
            <w:r w:rsidRPr="00582FEA">
              <w:rPr>
                <w:rFonts w:eastAsia="Montserrat" w:cs="Arial"/>
                <w:szCs w:val="22"/>
              </w:rPr>
              <w:t xml:space="preserve">Fraction of non-renewable woody biomass fuel </w:t>
            </w:r>
            <w:proofErr w:type="spellStart"/>
            <w:r w:rsidRPr="00582FEA">
              <w:rPr>
                <w:rFonts w:eastAsia="Montserrat" w:cs="Arial"/>
                <w:i/>
                <w:szCs w:val="22"/>
              </w:rPr>
              <w:t>i</w:t>
            </w:r>
            <w:proofErr w:type="spellEnd"/>
            <w:r w:rsidRPr="00582FEA">
              <w:rPr>
                <w:rFonts w:eastAsia="Montserrat" w:cs="Arial"/>
                <w:szCs w:val="22"/>
              </w:rPr>
              <w:t xml:space="preserve"> consumed. This parameter varies between zero and 100% for fuelwood, charcoal, and other solid biomass fuels that are not fully renewable. When renewable biomass fuels are used (defined above), this parameter is equal to zero. When fossil fuels are used, it is equal to 100%.</w:t>
            </w:r>
          </w:p>
        </w:tc>
        <w:tc>
          <w:tcPr>
            <w:tcW w:w="1473" w:type="dxa"/>
          </w:tcPr>
          <w:p w14:paraId="4EC5BC47" w14:textId="77777777" w:rsidR="00582FEA" w:rsidRPr="00582FEA" w:rsidRDefault="00582FEA" w:rsidP="00934A9C">
            <w:pPr>
              <w:rPr>
                <w:rFonts w:eastAsia="Montserrat" w:cs="Arial"/>
                <w:szCs w:val="22"/>
              </w:rPr>
            </w:pPr>
            <w:r w:rsidRPr="00582FEA">
              <w:rPr>
                <w:rFonts w:eastAsia="Montserrat" w:cs="Arial"/>
                <w:szCs w:val="22"/>
              </w:rPr>
              <w:t>%</w:t>
            </w:r>
          </w:p>
        </w:tc>
      </w:tr>
      <w:tr w:rsidR="00582FEA" w:rsidRPr="00B33BB6" w14:paraId="4CFAAFC6" w14:textId="77777777" w:rsidTr="00D50D90">
        <w:tc>
          <w:tcPr>
            <w:tcW w:w="1695" w:type="dxa"/>
          </w:tcPr>
          <w:p w14:paraId="06C12F1E" w14:textId="77777777" w:rsidR="00582FEA" w:rsidRPr="00582FEA" w:rsidRDefault="00000000" w:rsidP="00582FEA">
            <w:pPr>
              <w:ind w:left="360"/>
              <w:rPr>
                <w:rFonts w:eastAsia="Montserrat"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base,i,CO2</m:t>
                    </m:r>
                  </m:sub>
                </m:sSub>
              </m:oMath>
            </m:oMathPara>
          </w:p>
        </w:tc>
        <w:tc>
          <w:tcPr>
            <w:tcW w:w="6041" w:type="dxa"/>
          </w:tcPr>
          <w:p w14:paraId="3C3935F1" w14:textId="77777777" w:rsidR="00582FEA" w:rsidRPr="00582FEA" w:rsidRDefault="00582FEA" w:rsidP="00982D06">
            <w:pPr>
              <w:rPr>
                <w:rFonts w:eastAsia="Montserrat" w:cs="Arial"/>
                <w:szCs w:val="22"/>
              </w:rPr>
            </w:pPr>
            <w:r w:rsidRPr="00582FEA">
              <w:rPr>
                <w:rFonts w:eastAsia="Montserrat" w:cs="Arial"/>
                <w:szCs w:val="22"/>
              </w:rPr>
              <w:t>CO</w:t>
            </w:r>
            <w:r w:rsidRPr="00582FEA">
              <w:rPr>
                <w:rFonts w:eastAsia="Montserrat" w:cs="Arial"/>
                <w:szCs w:val="22"/>
                <w:vertAlign w:val="subscript"/>
              </w:rPr>
              <w:t>2</w:t>
            </w:r>
            <w:r w:rsidRPr="00582FEA">
              <w:rPr>
                <w:rFonts w:eastAsia="Montserrat" w:cs="Arial"/>
                <w:szCs w:val="22"/>
              </w:rPr>
              <w:t xml:space="preserve"> emission factor for baseline fuel</w:t>
            </w:r>
            <w:r w:rsidRPr="00582FEA">
              <w:rPr>
                <w:rFonts w:eastAsia="Montserrat" w:cs="Arial"/>
                <w:i/>
                <w:szCs w:val="22"/>
              </w:rPr>
              <w:t xml:space="preserve"> </w:t>
            </w:r>
            <w:proofErr w:type="spellStart"/>
            <w:r w:rsidRPr="00582FEA">
              <w:rPr>
                <w:rFonts w:eastAsia="Montserrat" w:cs="Arial"/>
                <w:i/>
                <w:szCs w:val="22"/>
              </w:rPr>
              <w:t>i</w:t>
            </w:r>
            <w:proofErr w:type="spellEnd"/>
            <w:r w:rsidRPr="00582FEA">
              <w:rPr>
                <w:rFonts w:eastAsia="Montserrat" w:cs="Arial"/>
                <w:szCs w:val="22"/>
              </w:rPr>
              <w:t xml:space="preserve"> </w:t>
            </w:r>
          </w:p>
        </w:tc>
        <w:tc>
          <w:tcPr>
            <w:tcW w:w="1473" w:type="dxa"/>
          </w:tcPr>
          <w:p w14:paraId="79D7202F" w14:textId="77777777" w:rsidR="00582FEA" w:rsidRPr="00582FEA" w:rsidRDefault="00582FEA" w:rsidP="00934A9C">
            <w:pPr>
              <w:rPr>
                <w:rFonts w:eastAsia="Montserrat" w:cs="Arial"/>
                <w:szCs w:val="22"/>
              </w:rPr>
            </w:pPr>
            <w:r w:rsidRPr="00582FEA">
              <w:rPr>
                <w:rFonts w:eastAsia="Montserrat" w:cs="Arial"/>
                <w:szCs w:val="22"/>
              </w:rPr>
              <w:t>tCO</w:t>
            </w:r>
            <w:r w:rsidRPr="00582FEA">
              <w:rPr>
                <w:rFonts w:eastAsia="Montserrat" w:cs="Arial"/>
                <w:szCs w:val="22"/>
                <w:vertAlign w:val="subscript"/>
              </w:rPr>
              <w:t>2</w:t>
            </w:r>
            <w:r w:rsidRPr="00582FEA">
              <w:rPr>
                <w:rFonts w:eastAsia="Montserrat" w:cs="Arial"/>
                <w:szCs w:val="22"/>
              </w:rPr>
              <w:t>e/TJ</w:t>
            </w:r>
          </w:p>
        </w:tc>
      </w:tr>
      <w:tr w:rsidR="00582FEA" w:rsidRPr="00B33BB6" w14:paraId="19427F02" w14:textId="77777777" w:rsidTr="00D50D90">
        <w:tc>
          <w:tcPr>
            <w:tcW w:w="1695" w:type="dxa"/>
          </w:tcPr>
          <w:p w14:paraId="48360CC8" w14:textId="77777777" w:rsidR="00582FEA" w:rsidRPr="00582FEA" w:rsidRDefault="00000000" w:rsidP="00582FEA">
            <w:pPr>
              <w:ind w:left="360"/>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base,i,nonCO2</m:t>
                    </m:r>
                  </m:sub>
                </m:sSub>
              </m:oMath>
            </m:oMathPara>
          </w:p>
        </w:tc>
        <w:tc>
          <w:tcPr>
            <w:tcW w:w="6041" w:type="dxa"/>
          </w:tcPr>
          <w:p w14:paraId="5C9523EE" w14:textId="77777777" w:rsidR="00582FEA" w:rsidRPr="00582FEA" w:rsidRDefault="00582FEA" w:rsidP="00982D06">
            <w:pPr>
              <w:rPr>
                <w:rFonts w:eastAsia="Montserrat" w:cs="Arial"/>
                <w:szCs w:val="22"/>
              </w:rPr>
            </w:pPr>
            <w:r w:rsidRPr="00582FEA">
              <w:rPr>
                <w:rFonts w:eastAsia="Montserrat" w:cs="Arial"/>
                <w:szCs w:val="22"/>
              </w:rPr>
              <w:t>Non-CO</w:t>
            </w:r>
            <w:r w:rsidRPr="00582FEA">
              <w:rPr>
                <w:rFonts w:eastAsia="Montserrat" w:cs="Arial"/>
                <w:szCs w:val="22"/>
                <w:vertAlign w:val="subscript"/>
              </w:rPr>
              <w:t>2</w:t>
            </w:r>
            <w:r w:rsidRPr="00582FEA">
              <w:rPr>
                <w:rFonts w:eastAsia="Montserrat" w:cs="Arial"/>
                <w:szCs w:val="22"/>
              </w:rPr>
              <w:t xml:space="preserve"> emission factor for baseline fuel </w:t>
            </w:r>
            <w:proofErr w:type="spellStart"/>
            <w:r w:rsidRPr="00582FEA">
              <w:rPr>
                <w:rFonts w:eastAsia="Montserrat" w:cs="Arial"/>
                <w:i/>
                <w:szCs w:val="22"/>
              </w:rPr>
              <w:t>i</w:t>
            </w:r>
            <w:proofErr w:type="spellEnd"/>
            <w:r w:rsidRPr="00582FEA">
              <w:rPr>
                <w:rFonts w:eastAsia="Montserrat" w:cs="Arial"/>
                <w:szCs w:val="22"/>
              </w:rPr>
              <w:t xml:space="preserve"> </w:t>
            </w:r>
          </w:p>
        </w:tc>
        <w:tc>
          <w:tcPr>
            <w:tcW w:w="1473" w:type="dxa"/>
          </w:tcPr>
          <w:p w14:paraId="6090420B" w14:textId="77777777" w:rsidR="00582FEA" w:rsidRPr="00582FEA" w:rsidRDefault="00582FEA" w:rsidP="00934A9C">
            <w:pPr>
              <w:rPr>
                <w:rFonts w:eastAsia="Montserrat" w:cs="Arial"/>
                <w:szCs w:val="22"/>
              </w:rPr>
            </w:pPr>
            <w:r w:rsidRPr="00582FEA">
              <w:rPr>
                <w:rFonts w:eastAsia="Montserrat" w:cs="Arial"/>
                <w:szCs w:val="22"/>
              </w:rPr>
              <w:t>tCO</w:t>
            </w:r>
            <w:r w:rsidRPr="00582FEA">
              <w:rPr>
                <w:rFonts w:eastAsia="Montserrat" w:cs="Arial"/>
                <w:szCs w:val="22"/>
                <w:vertAlign w:val="subscript"/>
              </w:rPr>
              <w:t>2</w:t>
            </w:r>
            <w:r w:rsidRPr="00582FEA">
              <w:rPr>
                <w:rFonts w:eastAsia="Montserrat" w:cs="Arial"/>
                <w:szCs w:val="22"/>
              </w:rPr>
              <w:t>e/TJ</w:t>
            </w:r>
          </w:p>
        </w:tc>
      </w:tr>
      <w:tr w:rsidR="00582FEA" w:rsidRPr="00B33BB6" w14:paraId="7DB8ECDE" w14:textId="77777777" w:rsidTr="00D50D90">
        <w:tc>
          <w:tcPr>
            <w:tcW w:w="1695" w:type="dxa"/>
          </w:tcPr>
          <w:p w14:paraId="270F2F7E" w14:textId="77777777" w:rsidR="00582FEA" w:rsidRPr="00582FEA" w:rsidRDefault="00000000" w:rsidP="00582FEA">
            <w:pPr>
              <w:ind w:left="360"/>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base,i,y</m:t>
                    </m:r>
                  </m:sub>
                </m:sSub>
              </m:oMath>
            </m:oMathPara>
          </w:p>
        </w:tc>
        <w:tc>
          <w:tcPr>
            <w:tcW w:w="6041" w:type="dxa"/>
          </w:tcPr>
          <w:p w14:paraId="0C9DBE5B" w14:textId="0FC14FD5" w:rsidR="00582FEA" w:rsidRPr="00582FEA" w:rsidRDefault="00582FEA" w:rsidP="00982D06">
            <w:pPr>
              <w:rPr>
                <w:rFonts w:eastAsia="Montserrat" w:cs="Arial"/>
                <w:szCs w:val="22"/>
              </w:rPr>
            </w:pPr>
            <w:r w:rsidRPr="00582FEA">
              <w:rPr>
                <w:rFonts w:eastAsia="Montserrat" w:cs="Arial"/>
                <w:szCs w:val="22"/>
              </w:rPr>
              <w:t>Upstream emissions for baseline fuel</w:t>
            </w:r>
            <w:r w:rsidRPr="00582FEA">
              <w:rPr>
                <w:rFonts w:eastAsia="Montserrat" w:cs="Arial"/>
                <w:i/>
                <w:szCs w:val="22"/>
              </w:rPr>
              <w:t xml:space="preserve"> </w:t>
            </w:r>
            <w:proofErr w:type="spellStart"/>
            <w:r w:rsidRPr="00582FEA">
              <w:rPr>
                <w:rFonts w:eastAsia="Montserrat" w:cs="Arial"/>
                <w:i/>
                <w:szCs w:val="22"/>
              </w:rPr>
              <w:t>i</w:t>
            </w:r>
            <w:proofErr w:type="spellEnd"/>
            <w:r w:rsidRPr="00582FEA">
              <w:rPr>
                <w:rFonts w:eastAsia="Montserrat" w:cs="Arial"/>
                <w:i/>
                <w:szCs w:val="22"/>
              </w:rPr>
              <w:t xml:space="preserve"> </w:t>
            </w:r>
            <w:r w:rsidRPr="00582FEA">
              <w:rPr>
                <w:rFonts w:eastAsia="Montserrat" w:cs="Arial"/>
                <w:szCs w:val="22"/>
              </w:rPr>
              <w:t xml:space="preserve">in year </w:t>
            </w:r>
            <w:r w:rsidRPr="00582FEA">
              <w:rPr>
                <w:rFonts w:eastAsia="Montserrat" w:cs="Arial"/>
                <w:i/>
                <w:szCs w:val="22"/>
              </w:rPr>
              <w:t>y</w:t>
            </w:r>
            <w:r w:rsidRPr="00582FEA">
              <w:rPr>
                <w:rFonts w:eastAsia="Montserrat" w:cs="Arial"/>
                <w:szCs w:val="22"/>
              </w:rPr>
              <w:t xml:space="preserve">, determined following </w:t>
            </w:r>
            <w:r w:rsidR="003953D4">
              <w:rPr>
                <w:rFonts w:eastAsia="Montserrat" w:cs="Arial"/>
                <w:szCs w:val="22"/>
              </w:rPr>
              <w:t xml:space="preserve">the </w:t>
            </w:r>
            <w:r w:rsidR="004A5BB5" w:rsidRPr="004A5BB5">
              <w:rPr>
                <w:rFonts w:eastAsia="Montserrat" w:cs="Arial"/>
                <w:szCs w:val="22"/>
              </w:rPr>
              <w:t>“</w:t>
            </w:r>
            <w:r w:rsidR="003953D4" w:rsidRPr="004A5BB5">
              <w:rPr>
                <w:rFonts w:eastAsia="Montserrat" w:cs="Arial"/>
                <w:i/>
                <w:szCs w:val="22"/>
                <w:shd w:val="clear" w:color="auto" w:fill="FFFFFF"/>
              </w:rPr>
              <w:t xml:space="preserve">Upstream Emissions </w:t>
            </w:r>
            <w:r w:rsidR="003953D4" w:rsidRPr="004A5BB5">
              <w:rPr>
                <w:rFonts w:cs="Arial"/>
                <w:i/>
                <w:iCs/>
                <w:szCs w:val="22"/>
                <w:shd w:val="clear" w:color="auto" w:fill="FFFFFF"/>
              </w:rPr>
              <w:t>for the Baseline Scenario</w:t>
            </w:r>
            <w:r w:rsidR="004A5BB5" w:rsidRPr="004A5BB5">
              <w:rPr>
                <w:rFonts w:cs="Arial"/>
                <w:i/>
                <w:iCs/>
                <w:szCs w:val="22"/>
                <w:shd w:val="clear" w:color="auto" w:fill="FFFFFF"/>
              </w:rPr>
              <w:t>”</w:t>
            </w:r>
            <w:r w:rsidR="004A5BB5">
              <w:rPr>
                <w:rFonts w:cs="Arial"/>
                <w:i/>
                <w:iCs/>
                <w:szCs w:val="22"/>
                <w:shd w:val="clear" w:color="auto" w:fill="FFFFFF"/>
              </w:rPr>
              <w:t xml:space="preserve"> requirements</w:t>
            </w:r>
            <w:r w:rsidR="003953D4" w:rsidRPr="00582FEA">
              <w:rPr>
                <w:rFonts w:eastAsia="Montserrat" w:cs="Arial"/>
                <w:szCs w:val="22"/>
              </w:rPr>
              <w:t xml:space="preserve"> </w:t>
            </w:r>
            <w:r w:rsidR="003953D4" w:rsidRPr="00C36B1C">
              <w:rPr>
                <w:rFonts w:eastAsia="Montserrat" w:cs="Arial"/>
                <w:szCs w:val="22"/>
              </w:rPr>
              <w:t xml:space="preserve">presented in </w:t>
            </w:r>
            <w:hyperlink w:anchor="S1022" w:history="1">
              <w:r w:rsidRPr="00C36B1C">
                <w:rPr>
                  <w:rStyle w:val="Hyperlink"/>
                  <w:rFonts w:eastAsia="Montserrat" w:cs="Arial"/>
                  <w:szCs w:val="22"/>
                  <w:lang w:val="en-GB"/>
                </w:rPr>
                <w:t>s</w:t>
              </w:r>
              <w:proofErr w:type="spellStart"/>
              <w:r w:rsidRPr="00C36B1C">
                <w:rPr>
                  <w:rStyle w:val="Hyperlink"/>
                  <w:rFonts w:eastAsia="Montserrat" w:cs="Arial"/>
                  <w:szCs w:val="22"/>
                  <w:shd w:val="clear" w:color="auto" w:fill="FFFFFF"/>
                </w:rPr>
                <w:t>ection</w:t>
              </w:r>
              <w:proofErr w:type="spellEnd"/>
              <w:r w:rsidRPr="00C36B1C">
                <w:rPr>
                  <w:rStyle w:val="Hyperlink"/>
                  <w:rFonts w:eastAsia="Montserrat" w:cs="Arial"/>
                  <w:szCs w:val="22"/>
                  <w:shd w:val="clear" w:color="auto" w:fill="FFFFFF"/>
                </w:rPr>
                <w:t xml:space="preserve"> </w:t>
              </w:r>
              <w:r w:rsidR="0053072B" w:rsidRPr="00C36B1C">
                <w:rPr>
                  <w:rStyle w:val="Hyperlink"/>
                  <w:rFonts w:cs="Arial"/>
                  <w:szCs w:val="22"/>
                  <w:shd w:val="clear" w:color="auto" w:fill="FFFFFF"/>
                </w:rPr>
                <w:t>10.2</w:t>
              </w:r>
              <w:r w:rsidR="003953D4" w:rsidRPr="00C36B1C">
                <w:rPr>
                  <w:rStyle w:val="Hyperlink"/>
                  <w:rFonts w:cs="Arial"/>
                  <w:szCs w:val="22"/>
                  <w:shd w:val="clear" w:color="auto" w:fill="FFFFFF"/>
                </w:rPr>
                <w:t>.2</w:t>
              </w:r>
              <w:r w:rsidRPr="00C36B1C">
                <w:rPr>
                  <w:rStyle w:val="Hyperlink"/>
                  <w:rFonts w:cs="Arial"/>
                  <w:szCs w:val="22"/>
                  <w:shd w:val="clear" w:color="auto" w:fill="FFFFFF"/>
                </w:rPr>
                <w:t>.</w:t>
              </w:r>
            </w:hyperlink>
            <w:r w:rsidRPr="00C36B1C">
              <w:rPr>
                <w:rFonts w:eastAsia="Montserrat" w:cs="Arial"/>
                <w:szCs w:val="22"/>
                <w:shd w:val="clear" w:color="auto" w:fill="FFFFFF"/>
              </w:rPr>
              <w:t xml:space="preserve"> </w:t>
            </w:r>
          </w:p>
        </w:tc>
        <w:tc>
          <w:tcPr>
            <w:tcW w:w="1473" w:type="dxa"/>
          </w:tcPr>
          <w:p w14:paraId="1A9C6AC6" w14:textId="77777777" w:rsidR="00582FEA" w:rsidRPr="00582FEA" w:rsidRDefault="00582FEA" w:rsidP="00934A9C">
            <w:pPr>
              <w:rPr>
                <w:rFonts w:eastAsia="Montserrat" w:cs="Arial"/>
                <w:szCs w:val="22"/>
              </w:rPr>
            </w:pPr>
            <w:r w:rsidRPr="00582FEA">
              <w:rPr>
                <w:rFonts w:eastAsia="Montserrat" w:cs="Arial"/>
                <w:szCs w:val="22"/>
              </w:rPr>
              <w:t>tCO</w:t>
            </w:r>
            <w:r w:rsidRPr="00582FEA">
              <w:rPr>
                <w:rFonts w:eastAsia="Montserrat" w:cs="Arial"/>
                <w:szCs w:val="22"/>
                <w:vertAlign w:val="subscript"/>
              </w:rPr>
              <w:t>2</w:t>
            </w:r>
            <w:r w:rsidRPr="00582FEA">
              <w:rPr>
                <w:rFonts w:eastAsia="Montserrat" w:cs="Arial"/>
                <w:szCs w:val="22"/>
              </w:rPr>
              <w:t>e</w:t>
            </w:r>
          </w:p>
        </w:tc>
      </w:tr>
    </w:tbl>
    <w:p w14:paraId="3A63F0AB" w14:textId="77777777" w:rsidR="00582FEA" w:rsidRPr="00582FEA" w:rsidRDefault="00582FEA" w:rsidP="00582FEA">
      <w:pPr>
        <w:ind w:left="360"/>
        <w:rPr>
          <w:rFonts w:eastAsia="Montserrat" w:cs="Arial"/>
          <w:szCs w:val="22"/>
        </w:rPr>
      </w:pPr>
    </w:p>
    <w:p w14:paraId="271498E1" w14:textId="3FCCF2A2" w:rsidR="00582FEA" w:rsidRPr="00582FEA" w:rsidRDefault="00582FEA" w:rsidP="00D50D90">
      <w:pPr>
        <w:ind w:left="709"/>
        <w:rPr>
          <w:rFonts w:eastAsia="Montserrat" w:cs="Arial"/>
          <w:szCs w:val="22"/>
        </w:rPr>
      </w:pPr>
      <w:r w:rsidRPr="00582FEA">
        <w:rPr>
          <w:rFonts w:eastAsia="Montserrat" w:cs="Arial"/>
          <w:szCs w:val="22"/>
        </w:rPr>
        <w:t>This approach calculates baseline energy consumption for each technology that is displaced by determining the amount of equivalent energy required for the baseline technology(</w:t>
      </w:r>
      <w:proofErr w:type="spellStart"/>
      <w:r w:rsidRPr="00582FEA">
        <w:rPr>
          <w:rFonts w:eastAsia="Montserrat" w:cs="Arial"/>
          <w:szCs w:val="22"/>
        </w:rPr>
        <w:t>ies</w:t>
      </w:r>
      <w:proofErr w:type="spellEnd"/>
      <w:r w:rsidRPr="00582FEA">
        <w:rPr>
          <w:rFonts w:eastAsia="Montserrat" w:cs="Arial"/>
          <w:szCs w:val="22"/>
        </w:rPr>
        <w:t xml:space="preserve">) to provide the same level of service as the project technology according </w:t>
      </w:r>
      <w:r w:rsidRPr="00582FEA">
        <w:rPr>
          <w:rFonts w:eastAsia="Montserrat" w:cs="Arial"/>
          <w:szCs w:val="22"/>
        </w:rPr>
        <w:lastRenderedPageBreak/>
        <w:t>to its continuously tracked energy consumption. This estimation is done using specific fuel consumption ratios, derived from CCTs performed on each of the baseline and project technology types. When multiple fuel-stove combinations are used in the baseline by the end user in the same premises, the proportional use shall be established from surveys or SUMs (</w:t>
      </w:r>
      <w:r w:rsidRPr="00934A9C">
        <w:rPr>
          <w:rFonts w:eastAsia="Montserrat" w:cs="Arial"/>
          <w:szCs w:val="22"/>
        </w:rPr>
        <w:t xml:space="preserve">See </w:t>
      </w:r>
      <w:hyperlink w:anchor="A9" w:history="1">
        <w:r w:rsidRPr="00934A9C">
          <w:rPr>
            <w:rStyle w:val="Hyperlink"/>
            <w:rFonts w:eastAsia="Montserrat" w:cs="Arial"/>
            <w:szCs w:val="22"/>
          </w:rPr>
          <w:t>Appendix 9</w:t>
        </w:r>
      </w:hyperlink>
      <w:r w:rsidRPr="00934A9C">
        <w:rPr>
          <w:rFonts w:eastAsia="Montserrat" w:cs="Arial"/>
          <w:szCs w:val="22"/>
        </w:rPr>
        <w:t xml:space="preserve"> for</w:t>
      </w:r>
      <w:r w:rsidRPr="00582FEA">
        <w:rPr>
          <w:rFonts w:eastAsia="Montserrat" w:cs="Arial"/>
          <w:szCs w:val="22"/>
        </w:rPr>
        <w:t xml:space="preserve"> SUMs guidance). For example, if baseline cookstove use is estimated as 50% of cooking events performed on a three-stone fire, 10% on a charcoal cookstove, and 40% on an LPG cookstove, then the baseline energy consumption that the project technologies displace shall be apportioned proportionately in accordance with Equation (3): </w:t>
      </w:r>
    </w:p>
    <w:p w14:paraId="5C39B186" w14:textId="77777777" w:rsidR="00582FEA" w:rsidRPr="00582FEA" w:rsidRDefault="00582FEA" w:rsidP="00582FEA">
      <w:pPr>
        <w:ind w:left="360"/>
        <w:rPr>
          <w:rFonts w:eastAsia="Montserrat" w:cs="Arial"/>
          <w:szCs w:val="22"/>
        </w:rPr>
      </w:pPr>
    </w:p>
    <w:tbl>
      <w:tblPr>
        <w:tblW w:w="9356" w:type="dxa"/>
        <w:tblInd w:w="-142" w:type="dxa"/>
        <w:tblBorders>
          <w:top w:val="nil"/>
          <w:left w:val="nil"/>
          <w:bottom w:val="nil"/>
          <w:right w:val="nil"/>
          <w:insideH w:val="nil"/>
          <w:insideV w:val="nil"/>
        </w:tblBorders>
        <w:tblLayout w:type="fixed"/>
        <w:tblLook w:val="0400" w:firstRow="0" w:lastRow="0" w:firstColumn="0" w:lastColumn="0" w:noHBand="0" w:noVBand="1"/>
      </w:tblPr>
      <w:tblGrid>
        <w:gridCol w:w="8506"/>
        <w:gridCol w:w="850"/>
      </w:tblGrid>
      <w:tr w:rsidR="00582FEA" w:rsidRPr="00B33BB6" w14:paraId="3B153A67" w14:textId="77777777" w:rsidTr="00733694">
        <w:tc>
          <w:tcPr>
            <w:tcW w:w="8506" w:type="dxa"/>
            <w:vAlign w:val="center"/>
          </w:tcPr>
          <w:p w14:paraId="2C5C4DF4" w14:textId="77777777" w:rsidR="00582FEA" w:rsidRPr="00582FEA" w:rsidRDefault="00000000" w:rsidP="00582FEA">
            <w:pPr>
              <w:ind w:left="360"/>
              <w:jc w:val="center"/>
              <w:rPr>
                <w:rFonts w:eastAsia="Cambria Math"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d-base,i,y</m:t>
                    </m:r>
                  </m:sub>
                </m:sSub>
                <m:r>
                  <w:rPr>
                    <w:rFonts w:ascii="Cambria Math" w:eastAsia="Cambria Math" w:hAnsi="Cambria Math" w:cs="Arial"/>
                    <w:szCs w:val="22"/>
                  </w:rPr>
                  <m:t xml:space="preserve">= </m:t>
                </m:r>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tPC</m:t>
                    </m:r>
                  </m:e>
                  <m:sub>
                    <m:r>
                      <w:rPr>
                        <w:rFonts w:ascii="Cambria Math" w:eastAsia="Cambria Math" w:hAnsi="Cambria Math" w:cs="Arial"/>
                        <w:szCs w:val="22"/>
                      </w:rPr>
                      <m:t>b,i</m:t>
                    </m:r>
                  </m:sub>
                </m:sSub>
                <m:r>
                  <w:rPr>
                    <w:rFonts w:ascii="Cambria Math" w:eastAsia="Cambria Math" w:hAnsi="Cambria Math" w:cs="Arial"/>
                    <w:szCs w:val="22"/>
                  </w:rPr>
                  <m:t xml:space="preserve">  × </m:t>
                </m:r>
                <m:d>
                  <m:dPr>
                    <m:ctrlPr>
                      <w:rPr>
                        <w:rFonts w:ascii="Cambria Math" w:eastAsia="Cambria Math" w:hAnsi="Cambria Math" w:cs="Arial"/>
                        <w:szCs w:val="22"/>
                      </w:rPr>
                    </m:ctrlPr>
                  </m:dPr>
                  <m:e>
                    <m:f>
                      <m:fPr>
                        <m:ctrlPr>
                          <w:rPr>
                            <w:rFonts w:ascii="Cambria Math" w:eastAsia="Cambria Math" w:hAnsi="Cambria Math" w:cs="Arial"/>
                            <w:szCs w:val="22"/>
                          </w:rPr>
                        </m:ctrlPr>
                      </m:fPr>
                      <m:num>
                        <m:sSub>
                          <m:sSubPr>
                            <m:ctrlPr>
                              <w:rPr>
                                <w:rFonts w:ascii="Cambria Math" w:eastAsia="Cambria Math" w:hAnsi="Cambria Math" w:cs="Arial"/>
                                <w:szCs w:val="22"/>
                              </w:rPr>
                            </m:ctrlPr>
                          </m:sSubPr>
                          <m:e>
                            <m:r>
                              <w:rPr>
                                <w:rFonts w:ascii="Cambria Math" w:eastAsia="Cambria Math" w:hAnsi="Cambria Math" w:cs="Arial"/>
                                <w:szCs w:val="22"/>
                              </w:rPr>
                              <m:t>SC</m:t>
                            </m:r>
                          </m:e>
                          <m:sub>
                            <m:r>
                              <w:rPr>
                                <w:rFonts w:ascii="Cambria Math" w:eastAsia="Cambria Math" w:hAnsi="Cambria Math" w:cs="Arial"/>
                                <w:szCs w:val="22"/>
                              </w:rPr>
                              <m:t>b,i</m:t>
                            </m:r>
                          </m:sub>
                        </m:sSub>
                      </m:num>
                      <m:den>
                        <m:sSub>
                          <m:sSubPr>
                            <m:ctrlPr>
                              <w:rPr>
                                <w:rFonts w:ascii="Cambria Math" w:eastAsia="Cambria Math" w:hAnsi="Cambria Math" w:cs="Arial"/>
                                <w:szCs w:val="22"/>
                              </w:rPr>
                            </m:ctrlPr>
                          </m:sSubPr>
                          <m:e>
                            <m:r>
                              <w:rPr>
                                <w:rFonts w:ascii="Cambria Math" w:eastAsia="Cambria Math" w:hAnsi="Cambria Math" w:cs="Arial"/>
                                <w:szCs w:val="22"/>
                              </w:rPr>
                              <m:t>SC</m:t>
                            </m:r>
                          </m:e>
                          <m:sub>
                            <m:r>
                              <w:rPr>
                                <w:rFonts w:ascii="Cambria Math" w:eastAsia="Cambria Math" w:hAnsi="Cambria Math" w:cs="Arial"/>
                                <w:szCs w:val="22"/>
                              </w:rPr>
                              <m:t>p,j</m:t>
                            </m:r>
                          </m:sub>
                        </m:sSub>
                      </m:den>
                    </m:f>
                  </m:e>
                </m:d>
              </m:oMath>
            </m:oMathPara>
          </w:p>
        </w:tc>
        <w:tc>
          <w:tcPr>
            <w:tcW w:w="850" w:type="dxa"/>
            <w:vAlign w:val="center"/>
          </w:tcPr>
          <w:p w14:paraId="6C274F2C" w14:textId="77777777" w:rsidR="00582FEA" w:rsidRPr="00582FEA" w:rsidRDefault="00582FEA" w:rsidP="00582FEA">
            <w:pPr>
              <w:ind w:left="360"/>
              <w:jc w:val="center"/>
              <w:rPr>
                <w:rFonts w:cs="Arial"/>
                <w:szCs w:val="22"/>
              </w:rPr>
            </w:pPr>
            <w:bookmarkStart w:id="48" w:name="e3"/>
            <w:r w:rsidRPr="00582FEA">
              <w:rPr>
                <w:rFonts w:cs="Arial"/>
                <w:szCs w:val="22"/>
              </w:rPr>
              <w:t>(3)</w:t>
            </w:r>
            <w:bookmarkEnd w:id="48"/>
          </w:p>
        </w:tc>
      </w:tr>
    </w:tbl>
    <w:p w14:paraId="386E5F27" w14:textId="77777777" w:rsidR="00582FEA" w:rsidRPr="00582FEA" w:rsidRDefault="00582FEA" w:rsidP="00D50D90">
      <w:pPr>
        <w:ind w:left="709" w:right="-567"/>
        <w:rPr>
          <w:rFonts w:eastAsia="Montserrat" w:cs="Arial"/>
          <w:szCs w:val="22"/>
        </w:rPr>
      </w:pPr>
      <w:r w:rsidRPr="00582FEA">
        <w:rPr>
          <w:rFonts w:eastAsia="Montserrat" w:cs="Arial"/>
          <w:szCs w:val="22"/>
        </w:rPr>
        <w:t>Where:</w:t>
      </w:r>
    </w:p>
    <w:p w14:paraId="7D453DEC" w14:textId="77777777" w:rsidR="00582FEA" w:rsidRPr="00582FEA" w:rsidRDefault="00582FEA" w:rsidP="00582FEA">
      <w:pPr>
        <w:ind w:left="360"/>
        <w:rPr>
          <w:rFonts w:eastAsia="Montserrat" w:cs="Arial"/>
          <w:b/>
          <w:szCs w:val="22"/>
        </w:rPr>
      </w:pPr>
    </w:p>
    <w:tbl>
      <w:tblPr>
        <w:tblStyle w:val="TableGrid"/>
        <w:tblW w:w="9206" w:type="dxa"/>
        <w:tblInd w:w="596" w:type="dxa"/>
        <w:tblLook w:val="04A0" w:firstRow="1" w:lastRow="0" w:firstColumn="1" w:lastColumn="0" w:noHBand="0" w:noVBand="1"/>
      </w:tblPr>
      <w:tblGrid>
        <w:gridCol w:w="1696"/>
        <w:gridCol w:w="5812"/>
        <w:gridCol w:w="1698"/>
      </w:tblGrid>
      <w:tr w:rsidR="00582FEA" w:rsidRPr="00B33BB6" w14:paraId="1272EA23" w14:textId="77777777" w:rsidTr="00D50D90">
        <w:tc>
          <w:tcPr>
            <w:tcW w:w="1696" w:type="dxa"/>
          </w:tcPr>
          <w:p w14:paraId="64657002" w14:textId="77777777" w:rsidR="00582FEA" w:rsidRPr="00582FEA" w:rsidRDefault="00582FEA" w:rsidP="00582FEA">
            <w:pPr>
              <w:ind w:left="360"/>
              <w:rPr>
                <w:rFonts w:eastAsia="Montserrat" w:cs="Arial"/>
                <w:b/>
                <w:szCs w:val="22"/>
              </w:rPr>
            </w:pPr>
            <w:r w:rsidRPr="00582FEA">
              <w:rPr>
                <w:rFonts w:eastAsia="Montserrat" w:cs="Arial"/>
                <w:b/>
                <w:szCs w:val="22"/>
              </w:rPr>
              <w:t>Parameter</w:t>
            </w:r>
          </w:p>
        </w:tc>
        <w:tc>
          <w:tcPr>
            <w:tcW w:w="5812" w:type="dxa"/>
          </w:tcPr>
          <w:p w14:paraId="2286DE83" w14:textId="77777777" w:rsidR="00582FEA" w:rsidRPr="00582FEA" w:rsidRDefault="00582FEA" w:rsidP="00582FEA">
            <w:pPr>
              <w:ind w:left="360"/>
              <w:rPr>
                <w:rFonts w:eastAsia="Montserrat" w:cs="Arial"/>
                <w:b/>
                <w:szCs w:val="22"/>
              </w:rPr>
            </w:pPr>
            <w:r w:rsidRPr="00582FEA">
              <w:rPr>
                <w:rFonts w:eastAsia="Montserrat" w:cs="Arial"/>
                <w:b/>
                <w:szCs w:val="22"/>
              </w:rPr>
              <w:t>Description</w:t>
            </w:r>
          </w:p>
        </w:tc>
        <w:tc>
          <w:tcPr>
            <w:tcW w:w="1698" w:type="dxa"/>
          </w:tcPr>
          <w:p w14:paraId="2B12FCA4" w14:textId="77777777" w:rsidR="00582FEA" w:rsidRPr="00582FEA" w:rsidRDefault="00582FEA" w:rsidP="00582FEA">
            <w:pPr>
              <w:ind w:left="360"/>
              <w:rPr>
                <w:rFonts w:eastAsia="Montserrat" w:cs="Arial"/>
                <w:b/>
                <w:szCs w:val="22"/>
              </w:rPr>
            </w:pPr>
            <w:r w:rsidRPr="00582FEA">
              <w:rPr>
                <w:rFonts w:eastAsia="Montserrat" w:cs="Arial"/>
                <w:b/>
                <w:szCs w:val="22"/>
              </w:rPr>
              <w:t>Unit</w:t>
            </w:r>
          </w:p>
        </w:tc>
      </w:tr>
      <w:tr w:rsidR="00582FEA" w:rsidRPr="00B33BB6" w14:paraId="15405CC9" w14:textId="77777777" w:rsidTr="00D50D90">
        <w:tc>
          <w:tcPr>
            <w:tcW w:w="1696" w:type="dxa"/>
          </w:tcPr>
          <w:p w14:paraId="5D8CE9ED" w14:textId="77777777" w:rsidR="00582FEA" w:rsidRPr="00582FEA" w:rsidRDefault="00000000" w:rsidP="00582FEA">
            <w:pPr>
              <w:ind w:left="360"/>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d-base,i,y</m:t>
                    </m:r>
                  </m:sub>
                </m:sSub>
              </m:oMath>
            </m:oMathPara>
          </w:p>
        </w:tc>
        <w:tc>
          <w:tcPr>
            <w:tcW w:w="5812" w:type="dxa"/>
          </w:tcPr>
          <w:p w14:paraId="01F6FF32" w14:textId="77777777" w:rsidR="00582FEA" w:rsidRPr="00582FEA" w:rsidRDefault="00582FEA" w:rsidP="00582FEA">
            <w:pPr>
              <w:ind w:left="360"/>
              <w:rPr>
                <w:rFonts w:eastAsia="Montserrat" w:cs="Arial"/>
                <w:szCs w:val="22"/>
              </w:rPr>
            </w:pPr>
            <w:r w:rsidRPr="00582FEA">
              <w:rPr>
                <w:rFonts w:eastAsia="Montserrat" w:cs="Arial"/>
                <w:szCs w:val="22"/>
              </w:rPr>
              <w:t xml:space="preserve">Displaced energy consumption of fuel </w:t>
            </w:r>
            <w:proofErr w:type="spellStart"/>
            <w:r w:rsidRPr="00582FEA">
              <w:rPr>
                <w:rFonts w:eastAsia="Montserrat" w:cs="Arial"/>
                <w:i/>
                <w:szCs w:val="22"/>
              </w:rPr>
              <w:t>i</w:t>
            </w:r>
            <w:proofErr w:type="spellEnd"/>
            <w:r w:rsidRPr="00582FEA">
              <w:rPr>
                <w:rFonts w:eastAsia="Montserrat" w:cs="Arial"/>
                <w:szCs w:val="22"/>
              </w:rPr>
              <w:t xml:space="preserve"> in baseline scenario in year </w:t>
            </w:r>
            <w:r w:rsidRPr="00582FEA">
              <w:rPr>
                <w:rFonts w:eastAsia="Montserrat" w:cs="Arial"/>
                <w:i/>
                <w:szCs w:val="22"/>
              </w:rPr>
              <w:t>y</w:t>
            </w:r>
          </w:p>
        </w:tc>
        <w:tc>
          <w:tcPr>
            <w:tcW w:w="1698" w:type="dxa"/>
          </w:tcPr>
          <w:p w14:paraId="7BA8C953" w14:textId="77777777" w:rsidR="00582FEA" w:rsidRPr="00582FEA" w:rsidRDefault="00582FEA" w:rsidP="00582FEA">
            <w:pPr>
              <w:ind w:left="360"/>
              <w:rPr>
                <w:rFonts w:eastAsia="Montserrat" w:cs="Arial"/>
                <w:szCs w:val="22"/>
              </w:rPr>
            </w:pPr>
            <w:r w:rsidRPr="00582FEA">
              <w:rPr>
                <w:rFonts w:eastAsia="Montserrat" w:cs="Arial"/>
                <w:szCs w:val="22"/>
              </w:rPr>
              <w:t>TJ</w:t>
            </w:r>
          </w:p>
        </w:tc>
      </w:tr>
      <w:tr w:rsidR="00582FEA" w:rsidRPr="00B33BB6" w14:paraId="407BF836" w14:textId="77777777" w:rsidTr="00D50D90">
        <w:tc>
          <w:tcPr>
            <w:tcW w:w="1696" w:type="dxa"/>
          </w:tcPr>
          <w:p w14:paraId="61343727" w14:textId="77777777" w:rsidR="00582FEA" w:rsidRPr="00582FEA" w:rsidRDefault="00000000" w:rsidP="00582FEA">
            <w:pPr>
              <w:ind w:left="360"/>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oMath>
            </m:oMathPara>
          </w:p>
        </w:tc>
        <w:tc>
          <w:tcPr>
            <w:tcW w:w="5812" w:type="dxa"/>
          </w:tcPr>
          <w:p w14:paraId="2B34AC7C" w14:textId="77777777" w:rsidR="00582FEA" w:rsidRPr="00582FEA" w:rsidRDefault="00582FEA" w:rsidP="00582FEA">
            <w:pPr>
              <w:ind w:left="360"/>
              <w:rPr>
                <w:rFonts w:eastAsia="Montserrat" w:cs="Arial"/>
                <w:b/>
                <w:szCs w:val="22"/>
              </w:rPr>
            </w:pPr>
            <w:r w:rsidRPr="00582FEA">
              <w:rPr>
                <w:rFonts w:eastAsia="Montserrat" w:cs="Arial"/>
                <w:szCs w:val="22"/>
              </w:rPr>
              <w:t xml:space="preserve">Total tracked energy consumption of project fuel </w:t>
            </w:r>
            <w:r w:rsidRPr="00582FEA">
              <w:rPr>
                <w:rFonts w:eastAsia="Montserrat" w:cs="Arial"/>
                <w:i/>
                <w:szCs w:val="22"/>
              </w:rPr>
              <w:t xml:space="preserve">j </w:t>
            </w:r>
            <w:r w:rsidRPr="00582FEA">
              <w:rPr>
                <w:rFonts w:eastAsia="Montserrat" w:cs="Arial"/>
                <w:szCs w:val="22"/>
              </w:rPr>
              <w:t xml:space="preserve">for CTEC projects in year </w:t>
            </w:r>
            <w:r w:rsidRPr="00582FEA">
              <w:rPr>
                <w:rFonts w:eastAsia="Montserrat" w:cs="Arial"/>
                <w:i/>
                <w:szCs w:val="22"/>
              </w:rPr>
              <w:t>y</w:t>
            </w:r>
            <w:r w:rsidRPr="00582FEA">
              <w:rPr>
                <w:rFonts w:eastAsia="Montserrat" w:cs="Arial"/>
                <w:szCs w:val="22"/>
              </w:rPr>
              <w:t xml:space="preserve"> </w:t>
            </w:r>
          </w:p>
        </w:tc>
        <w:tc>
          <w:tcPr>
            <w:tcW w:w="1698" w:type="dxa"/>
          </w:tcPr>
          <w:p w14:paraId="1EC9D84E" w14:textId="77777777" w:rsidR="00582FEA" w:rsidRPr="00582FEA" w:rsidRDefault="00582FEA" w:rsidP="00582FEA">
            <w:pPr>
              <w:ind w:left="360"/>
              <w:rPr>
                <w:rFonts w:eastAsia="Montserrat" w:cs="Arial"/>
                <w:szCs w:val="22"/>
              </w:rPr>
            </w:pPr>
            <w:r w:rsidRPr="00582FEA">
              <w:rPr>
                <w:rFonts w:eastAsia="Montserrat" w:cs="Arial"/>
                <w:szCs w:val="22"/>
              </w:rPr>
              <w:t>TJ</w:t>
            </w:r>
          </w:p>
        </w:tc>
      </w:tr>
      <w:tr w:rsidR="00582FEA" w:rsidRPr="00B33BB6" w14:paraId="4D024C5C" w14:textId="77777777" w:rsidTr="00D50D90">
        <w:tc>
          <w:tcPr>
            <w:tcW w:w="1696" w:type="dxa"/>
          </w:tcPr>
          <w:p w14:paraId="6EEDFB38" w14:textId="77777777" w:rsidR="00582FEA" w:rsidRPr="00582FEA" w:rsidRDefault="00000000" w:rsidP="00582FEA">
            <w:pPr>
              <w:ind w:left="360"/>
              <w:jc w:val="cente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tPC</m:t>
                    </m:r>
                  </m:e>
                  <m:sub>
                    <m:r>
                      <w:rPr>
                        <w:rFonts w:ascii="Cambria Math" w:eastAsia="Cambria Math" w:hAnsi="Cambria Math" w:cs="Arial"/>
                        <w:szCs w:val="22"/>
                      </w:rPr>
                      <m:t>b,i</m:t>
                    </m:r>
                  </m:sub>
                </m:sSub>
              </m:oMath>
            </m:oMathPara>
          </w:p>
        </w:tc>
        <w:tc>
          <w:tcPr>
            <w:tcW w:w="5812" w:type="dxa"/>
          </w:tcPr>
          <w:p w14:paraId="3ACB77C0" w14:textId="77777777" w:rsidR="00582FEA" w:rsidRPr="00582FEA" w:rsidRDefault="00582FEA" w:rsidP="00582FEA">
            <w:pPr>
              <w:ind w:left="360"/>
              <w:rPr>
                <w:rFonts w:eastAsia="Montserrat" w:cs="Arial"/>
                <w:i/>
                <w:szCs w:val="22"/>
              </w:rPr>
            </w:pPr>
            <w:r w:rsidRPr="00582FEA">
              <w:rPr>
                <w:rFonts w:eastAsia="Montserrat" w:cs="Arial"/>
                <w:szCs w:val="22"/>
              </w:rPr>
              <w:t xml:space="preserve">Proportion of cooking events conducted using baseline fuel-stove combination </w:t>
            </w:r>
            <w:proofErr w:type="spellStart"/>
            <w:r w:rsidRPr="00582FEA">
              <w:rPr>
                <w:rFonts w:eastAsia="Montserrat" w:cs="Arial"/>
                <w:i/>
                <w:szCs w:val="22"/>
              </w:rPr>
              <w:t>i</w:t>
            </w:r>
            <w:proofErr w:type="spellEnd"/>
          </w:p>
        </w:tc>
        <w:tc>
          <w:tcPr>
            <w:tcW w:w="1698" w:type="dxa"/>
          </w:tcPr>
          <w:p w14:paraId="2ABDC383" w14:textId="77777777" w:rsidR="00582FEA" w:rsidRPr="00582FEA" w:rsidRDefault="00582FEA" w:rsidP="00582FEA">
            <w:pPr>
              <w:ind w:left="360"/>
              <w:rPr>
                <w:rFonts w:eastAsia="Montserrat" w:cs="Arial"/>
                <w:szCs w:val="22"/>
              </w:rPr>
            </w:pPr>
            <w:r w:rsidRPr="00582FEA">
              <w:rPr>
                <w:rFonts w:eastAsia="Montserrat" w:cs="Arial"/>
                <w:szCs w:val="22"/>
              </w:rPr>
              <w:t>%</w:t>
            </w:r>
          </w:p>
        </w:tc>
      </w:tr>
      <w:tr w:rsidR="00582FEA" w:rsidRPr="00B33BB6" w14:paraId="2A3FB79E" w14:textId="77777777" w:rsidTr="00D50D90">
        <w:tc>
          <w:tcPr>
            <w:tcW w:w="1696" w:type="dxa"/>
          </w:tcPr>
          <w:p w14:paraId="6C38421B" w14:textId="77777777" w:rsidR="00582FEA" w:rsidRPr="00582FEA" w:rsidRDefault="00000000" w:rsidP="00582FEA">
            <w:pPr>
              <w:ind w:left="360"/>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SC</m:t>
                    </m:r>
                  </m:e>
                  <m:sub>
                    <m:r>
                      <w:rPr>
                        <w:rFonts w:ascii="Cambria Math" w:eastAsia="Cambria Math" w:hAnsi="Cambria Math" w:cs="Arial"/>
                        <w:szCs w:val="22"/>
                      </w:rPr>
                      <m:t>b,i</m:t>
                    </m:r>
                  </m:sub>
                </m:sSub>
              </m:oMath>
            </m:oMathPara>
          </w:p>
        </w:tc>
        <w:tc>
          <w:tcPr>
            <w:tcW w:w="5812" w:type="dxa"/>
          </w:tcPr>
          <w:p w14:paraId="454CFA19" w14:textId="77777777" w:rsidR="00582FEA" w:rsidRPr="00582FEA" w:rsidRDefault="00582FEA" w:rsidP="00582FEA">
            <w:pPr>
              <w:ind w:left="360"/>
              <w:rPr>
                <w:rFonts w:eastAsia="Montserrat" w:cs="Arial"/>
                <w:b/>
                <w:szCs w:val="22"/>
              </w:rPr>
            </w:pPr>
            <w:r w:rsidRPr="00582FEA">
              <w:rPr>
                <w:rFonts w:eastAsia="Montserrat" w:cs="Arial"/>
                <w:szCs w:val="22"/>
              </w:rPr>
              <w:t xml:space="preserve">Specific energy consumption of a baseline fuel-stove combination </w:t>
            </w:r>
            <w:proofErr w:type="spellStart"/>
            <w:r w:rsidRPr="00582FEA">
              <w:rPr>
                <w:rFonts w:eastAsia="Montserrat" w:cs="Arial"/>
                <w:i/>
                <w:szCs w:val="22"/>
              </w:rPr>
              <w:t>i</w:t>
            </w:r>
            <w:proofErr w:type="spellEnd"/>
            <w:r w:rsidRPr="00582FEA">
              <w:rPr>
                <w:rFonts w:eastAsia="Montserrat" w:cs="Arial"/>
                <w:szCs w:val="22"/>
              </w:rPr>
              <w:t xml:space="preserve"> to cook a given amount of food </w:t>
            </w:r>
          </w:p>
        </w:tc>
        <w:tc>
          <w:tcPr>
            <w:tcW w:w="1698" w:type="dxa"/>
          </w:tcPr>
          <w:p w14:paraId="35236753" w14:textId="77777777" w:rsidR="00582FEA" w:rsidRPr="00582FEA" w:rsidRDefault="00582FEA" w:rsidP="00582FEA">
            <w:pPr>
              <w:ind w:left="360"/>
              <w:rPr>
                <w:rFonts w:eastAsia="Montserrat" w:cs="Arial"/>
                <w:b/>
                <w:szCs w:val="22"/>
              </w:rPr>
            </w:pPr>
            <w:r w:rsidRPr="00582FEA">
              <w:rPr>
                <w:rFonts w:eastAsia="Montserrat" w:cs="Arial"/>
                <w:szCs w:val="22"/>
              </w:rPr>
              <w:t>MJ/kg food</w:t>
            </w:r>
          </w:p>
        </w:tc>
      </w:tr>
      <w:tr w:rsidR="00582FEA" w:rsidRPr="00B33BB6" w14:paraId="16E6B5FC" w14:textId="77777777" w:rsidTr="00D50D90">
        <w:tc>
          <w:tcPr>
            <w:tcW w:w="1696" w:type="dxa"/>
          </w:tcPr>
          <w:p w14:paraId="6973E16B" w14:textId="77777777" w:rsidR="00582FEA" w:rsidRPr="00582FEA" w:rsidRDefault="00000000" w:rsidP="00582FEA">
            <w:pPr>
              <w:ind w:left="360"/>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SC</m:t>
                    </m:r>
                  </m:e>
                  <m:sub>
                    <m:r>
                      <w:rPr>
                        <w:rFonts w:ascii="Cambria Math" w:eastAsia="Cambria Math" w:hAnsi="Cambria Math" w:cs="Arial"/>
                        <w:szCs w:val="22"/>
                      </w:rPr>
                      <m:t>p,j</m:t>
                    </m:r>
                  </m:sub>
                </m:sSub>
              </m:oMath>
            </m:oMathPara>
          </w:p>
        </w:tc>
        <w:tc>
          <w:tcPr>
            <w:tcW w:w="5812" w:type="dxa"/>
          </w:tcPr>
          <w:p w14:paraId="1D9BA87B" w14:textId="77777777" w:rsidR="00582FEA" w:rsidRPr="00582FEA" w:rsidRDefault="00582FEA" w:rsidP="00582FEA">
            <w:pPr>
              <w:ind w:left="360"/>
              <w:rPr>
                <w:rFonts w:eastAsia="Montserrat" w:cs="Arial"/>
                <w:b/>
                <w:szCs w:val="22"/>
              </w:rPr>
            </w:pPr>
            <w:r w:rsidRPr="00582FEA">
              <w:rPr>
                <w:rFonts w:eastAsia="Montserrat" w:cs="Arial"/>
                <w:szCs w:val="22"/>
              </w:rPr>
              <w:t xml:space="preserve">Specific energy consumption of a project fuel-stove combination </w:t>
            </w:r>
            <w:r w:rsidRPr="00582FEA">
              <w:rPr>
                <w:rFonts w:eastAsia="Montserrat" w:cs="Arial"/>
                <w:i/>
                <w:szCs w:val="22"/>
              </w:rPr>
              <w:t>j</w:t>
            </w:r>
            <w:r w:rsidRPr="00582FEA">
              <w:rPr>
                <w:rFonts w:eastAsia="Montserrat" w:cs="Arial"/>
                <w:szCs w:val="22"/>
              </w:rPr>
              <w:t xml:space="preserve"> to cook a given amount of food</w:t>
            </w:r>
            <w:r w:rsidRPr="00582FEA">
              <w:rPr>
                <w:rFonts w:eastAsia="Montserrat" w:cs="Arial"/>
                <w:i/>
                <w:szCs w:val="22"/>
              </w:rPr>
              <w:t xml:space="preserve"> </w:t>
            </w:r>
          </w:p>
        </w:tc>
        <w:tc>
          <w:tcPr>
            <w:tcW w:w="1698" w:type="dxa"/>
          </w:tcPr>
          <w:p w14:paraId="779B2BA8" w14:textId="77777777" w:rsidR="00582FEA" w:rsidRPr="00582FEA" w:rsidRDefault="00582FEA" w:rsidP="00582FEA">
            <w:pPr>
              <w:ind w:left="360"/>
              <w:rPr>
                <w:rFonts w:eastAsia="Montserrat" w:cs="Arial"/>
                <w:b/>
                <w:szCs w:val="22"/>
              </w:rPr>
            </w:pPr>
            <w:r w:rsidRPr="00582FEA">
              <w:rPr>
                <w:rFonts w:eastAsia="Montserrat" w:cs="Arial"/>
                <w:szCs w:val="22"/>
              </w:rPr>
              <w:t>MJ/kg food</w:t>
            </w:r>
          </w:p>
        </w:tc>
      </w:tr>
    </w:tbl>
    <w:p w14:paraId="2BE031E1" w14:textId="77777777" w:rsidR="00582FEA" w:rsidRPr="00582FEA" w:rsidRDefault="00582FEA" w:rsidP="00582FEA">
      <w:pPr>
        <w:ind w:left="360"/>
        <w:rPr>
          <w:rFonts w:eastAsia="Montserrat" w:cs="Arial"/>
          <w:b/>
          <w:szCs w:val="22"/>
        </w:rPr>
      </w:pPr>
    </w:p>
    <w:p w14:paraId="52E65A75" w14:textId="77777777" w:rsidR="00582FEA" w:rsidRPr="00582FEA" w:rsidRDefault="00582FEA" w:rsidP="00D50D90">
      <w:pPr>
        <w:keepNext/>
        <w:spacing w:after="200"/>
        <w:ind w:left="709"/>
        <w:rPr>
          <w:rFonts w:cs="Arial"/>
          <w:i/>
          <w:color w:val="44546A"/>
          <w:szCs w:val="22"/>
        </w:rPr>
      </w:pPr>
      <w:r w:rsidRPr="00582FEA">
        <w:rPr>
          <w:rFonts w:eastAsia="Montserrat" w:cs="Arial"/>
          <w:szCs w:val="22"/>
        </w:rPr>
        <w:t>Baseline fuel consumption caps and flags described above apply.</w:t>
      </w:r>
    </w:p>
    <w:p w14:paraId="185C27BC" w14:textId="34091026" w:rsidR="00D50D90" w:rsidRPr="00D50D90" w:rsidRDefault="00512211" w:rsidP="002A6124">
      <w:pPr>
        <w:pStyle w:val="SDMPara"/>
        <w:pBdr>
          <w:top w:val="nil"/>
          <w:left w:val="nil"/>
          <w:bottom w:val="nil"/>
          <w:right w:val="nil"/>
          <w:between w:val="nil"/>
        </w:pBdr>
        <w:rPr>
          <w:rFonts w:eastAsia="Montserrat"/>
        </w:rPr>
      </w:pPr>
      <w:bookmarkStart w:id="49" w:name="_Toc193924629"/>
      <w:r w:rsidRPr="002A6124">
        <w:rPr>
          <w:rFonts w:eastAsia="Montserrat"/>
          <w:b/>
          <w:color w:val="000000"/>
        </w:rPr>
        <w:t>CTEC projects using tracked energy consumption and KPTs</w:t>
      </w:r>
      <w:bookmarkEnd w:id="49"/>
      <w:r w:rsidRPr="002A6124">
        <w:rPr>
          <w:rFonts w:eastAsia="Montserrat"/>
          <w:color w:val="000000"/>
        </w:rPr>
        <w:t xml:space="preserve"> </w:t>
      </w:r>
    </w:p>
    <w:p w14:paraId="329755E7" w14:textId="0DA3B8A3" w:rsidR="00512211" w:rsidRPr="000B76EE" w:rsidRDefault="000B76EE" w:rsidP="000B76EE">
      <w:pPr>
        <w:pStyle w:val="SDMSubPara1"/>
        <w:pBdr>
          <w:top w:val="nil"/>
          <w:left w:val="nil"/>
          <w:bottom w:val="nil"/>
          <w:right w:val="nil"/>
          <w:between w:val="nil"/>
        </w:pBdr>
        <w:rPr>
          <w:rFonts w:eastAsia="Montserrat"/>
        </w:rPr>
      </w:pPr>
      <w:r w:rsidRPr="000B76EE">
        <w:rPr>
          <w:rFonts w:eastAsia="Montserrat"/>
          <w:color w:val="000000"/>
        </w:rPr>
        <w:t>B</w:t>
      </w:r>
      <w:r w:rsidR="00512211" w:rsidRPr="000B76EE">
        <w:rPr>
          <w:rFonts w:eastAsia="Montserrat"/>
        </w:rPr>
        <w:t xml:space="preserve">aseline emissions </w:t>
      </w:r>
      <w:r w:rsidRPr="000B76EE">
        <w:rPr>
          <w:rFonts w:eastAsia="Montserrat"/>
        </w:rPr>
        <w:t xml:space="preserve">of </w:t>
      </w:r>
      <w:r w:rsidRPr="000B76EE">
        <w:rPr>
          <w:rFonts w:eastAsia="Montserrat"/>
          <w:bCs/>
          <w:color w:val="000000"/>
        </w:rPr>
        <w:t>CTEC projects using tracked energy consumption and KPTs</w:t>
      </w:r>
      <w:r w:rsidRPr="000B76EE">
        <w:rPr>
          <w:rFonts w:eastAsia="Montserrat"/>
          <w:color w:val="000000"/>
        </w:rPr>
        <w:t xml:space="preserve"> </w:t>
      </w:r>
      <w:r w:rsidR="00512211" w:rsidRPr="000B76EE">
        <w:rPr>
          <w:rFonts w:eastAsia="Montserrat"/>
        </w:rPr>
        <w:t xml:space="preserve">are calculated using Equation (12). </w:t>
      </w:r>
    </w:p>
    <w:p w14:paraId="72C748A5" w14:textId="77777777" w:rsidR="00512211" w:rsidRPr="00B33BB6" w:rsidRDefault="00512211" w:rsidP="00512211">
      <w:pPr>
        <w:rPr>
          <w:rFonts w:eastAsia="Montserrat" w:cs="Arial"/>
          <w:szCs w:val="22"/>
        </w:rPr>
      </w:pPr>
    </w:p>
    <w:tbl>
      <w:tblPr>
        <w:tblW w:w="9547" w:type="dxa"/>
        <w:tblBorders>
          <w:top w:val="nil"/>
          <w:left w:val="nil"/>
          <w:bottom w:val="nil"/>
          <w:right w:val="nil"/>
          <w:insideH w:val="nil"/>
          <w:insideV w:val="nil"/>
        </w:tblBorders>
        <w:tblLayout w:type="fixed"/>
        <w:tblLook w:val="0400" w:firstRow="0" w:lastRow="0" w:firstColumn="0" w:lastColumn="0" w:noHBand="0" w:noVBand="1"/>
      </w:tblPr>
      <w:tblGrid>
        <w:gridCol w:w="8406"/>
        <w:gridCol w:w="1141"/>
      </w:tblGrid>
      <w:tr w:rsidR="00512211" w:rsidRPr="00B33BB6" w14:paraId="4C3B0BAA" w14:textId="77777777">
        <w:tc>
          <w:tcPr>
            <w:tcW w:w="8406" w:type="dxa"/>
            <w:vAlign w:val="center"/>
          </w:tcPr>
          <w:p w14:paraId="623AD7F4" w14:textId="77777777" w:rsidR="00512211" w:rsidRPr="00B33BB6" w:rsidRDefault="00000000">
            <w:pPr>
              <w:jc w:val="center"/>
              <w:rPr>
                <w:rFonts w:eastAsia="Cambria Math"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y</m:t>
                    </m:r>
                  </m:sub>
                </m:sSub>
                <m:r>
                  <w:rPr>
                    <w:rFonts w:ascii="Cambria Math" w:eastAsia="Cambria Math" w:hAnsi="Cambria Math" w:cs="Arial"/>
                    <w:szCs w:val="22"/>
                  </w:rPr>
                  <m:t xml:space="preserve"> =</m:t>
                </m:r>
                <m:sSub>
                  <m:sSubPr>
                    <m:ctrlPr>
                      <w:rPr>
                        <w:rFonts w:ascii="Cambria Math" w:eastAsia="Cambria Math" w:hAnsi="Cambria Math" w:cs="Arial"/>
                        <w:i/>
                        <w:szCs w:val="22"/>
                      </w:rPr>
                    </m:ctrlPr>
                  </m:sSubPr>
                  <m:e>
                    <m:r>
                      <w:rPr>
                        <w:rFonts w:ascii="Cambria Math" w:eastAsia="Cambria Math" w:hAnsi="Cambria Math" w:cs="Arial"/>
                        <w:szCs w:val="22"/>
                      </w:rPr>
                      <m:t>EQ</m:t>
                    </m:r>
                  </m:e>
                  <m:sub>
                    <m:r>
                      <w:rPr>
                        <w:rFonts w:ascii="Cambria Math" w:eastAsia="Cambria Math" w:hAnsi="Cambria Math" w:cs="Arial"/>
                        <w:szCs w:val="22"/>
                      </w:rPr>
                      <m:t>base</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r>
                  <w:rPr>
                    <w:rFonts w:ascii="Cambria Math" w:eastAsia="Cambria Math" w:hAnsi="Cambria Math" w:cs="Arial"/>
                    <w:szCs w:val="22"/>
                  </w:rPr>
                  <m:t>+</m:t>
                </m:r>
                <m:nary>
                  <m:naryPr>
                    <m:chr m:val="∑"/>
                    <m:supHide m:val="1"/>
                    <m:ctrlPr>
                      <w:rPr>
                        <w:rFonts w:ascii="Cambria Math" w:eastAsia="Cambria Math" w:hAnsi="Cambria Math" w:cs="Arial"/>
                        <w:i/>
                        <w:szCs w:val="22"/>
                      </w:rPr>
                    </m:ctrlPr>
                  </m:naryPr>
                  <m:sub>
                    <m:r>
                      <w:rPr>
                        <w:rFonts w:ascii="Cambria Math" w:eastAsia="Cambria Math" w:hAnsi="Cambria Math" w:cs="Arial"/>
                        <w:szCs w:val="22"/>
                      </w:rPr>
                      <m:t>i</m:t>
                    </m:r>
                  </m:sub>
                  <m:sup/>
                  <m:e>
                    <m:r>
                      <w:rPr>
                        <w:rFonts w:ascii="Cambria Math" w:eastAsia="Cambria Math" w:hAnsi="Cambria Math" w:cs="Arial"/>
                        <w:szCs w:val="22"/>
                      </w:rPr>
                      <m:t xml:space="preserve"> </m:t>
                    </m:r>
                  </m:e>
                </m:nary>
                <m:sSub>
                  <m:sSubPr>
                    <m:ctrlPr>
                      <w:rPr>
                        <w:rFonts w:ascii="Cambria Math" w:eastAsia="Cambria Math" w:hAnsi="Cambria Math" w:cs="Arial"/>
                        <w:i/>
                        <w:szCs w:val="22"/>
                      </w:rPr>
                    </m:ctrlPr>
                  </m:sSubPr>
                  <m:e>
                    <m:r>
                      <w:rPr>
                        <w:rFonts w:ascii="Cambria Math" w:eastAsia="Cambria Math" w:hAnsi="Cambria Math" w:cs="Arial"/>
                        <w:szCs w:val="22"/>
                      </w:rPr>
                      <m:t>UE</m:t>
                    </m:r>
                  </m:e>
                  <m:sub>
                    <m:r>
                      <w:rPr>
                        <w:rFonts w:ascii="Cambria Math" w:eastAsia="Cambria Math" w:hAnsi="Cambria Math" w:cs="Arial"/>
                        <w:szCs w:val="22"/>
                      </w:rPr>
                      <m:t>base,i,y</m:t>
                    </m:r>
                  </m:sub>
                </m:sSub>
              </m:oMath>
            </m:oMathPara>
          </w:p>
        </w:tc>
        <w:tc>
          <w:tcPr>
            <w:tcW w:w="1141" w:type="dxa"/>
            <w:vAlign w:val="center"/>
          </w:tcPr>
          <w:p w14:paraId="067B88C8" w14:textId="77777777" w:rsidR="00512211" w:rsidRPr="00B33BB6" w:rsidRDefault="00512211">
            <w:pPr>
              <w:ind w:right="234"/>
              <w:jc w:val="right"/>
              <w:rPr>
                <w:rFonts w:cs="Arial"/>
                <w:szCs w:val="22"/>
              </w:rPr>
            </w:pPr>
            <w:bookmarkStart w:id="50" w:name="e12"/>
            <w:r w:rsidRPr="00B33BB6">
              <w:rPr>
                <w:rFonts w:cs="Arial"/>
                <w:szCs w:val="22"/>
              </w:rPr>
              <w:t>(12)</w:t>
            </w:r>
            <w:bookmarkEnd w:id="50"/>
          </w:p>
        </w:tc>
      </w:tr>
    </w:tbl>
    <w:p w14:paraId="103B5CA4" w14:textId="77777777" w:rsidR="00512211" w:rsidRPr="00B33BB6" w:rsidRDefault="00512211" w:rsidP="00D50D90">
      <w:pPr>
        <w:ind w:left="709"/>
        <w:rPr>
          <w:rFonts w:eastAsia="Montserrat" w:cs="Arial"/>
          <w:szCs w:val="22"/>
        </w:rPr>
      </w:pPr>
      <w:r w:rsidRPr="00B33BB6">
        <w:rPr>
          <w:rFonts w:eastAsia="Montserrat" w:cs="Arial"/>
          <w:szCs w:val="22"/>
        </w:rPr>
        <w:t>Where:</w:t>
      </w:r>
    </w:p>
    <w:p w14:paraId="505DB7EC" w14:textId="77777777" w:rsidR="00512211" w:rsidRPr="00B33BB6" w:rsidRDefault="00512211" w:rsidP="00512211">
      <w:pPr>
        <w:rPr>
          <w:rFonts w:eastAsia="Montserrat" w:cs="Arial"/>
          <w:szCs w:val="22"/>
        </w:rPr>
      </w:pPr>
    </w:p>
    <w:tbl>
      <w:tblPr>
        <w:tblStyle w:val="TableGrid"/>
        <w:tblW w:w="9209" w:type="dxa"/>
        <w:tblInd w:w="596" w:type="dxa"/>
        <w:tblLook w:val="04A0" w:firstRow="1" w:lastRow="0" w:firstColumn="1" w:lastColumn="0" w:noHBand="0" w:noVBand="1"/>
      </w:tblPr>
      <w:tblGrid>
        <w:gridCol w:w="1696"/>
        <w:gridCol w:w="5947"/>
        <w:gridCol w:w="1566"/>
      </w:tblGrid>
      <w:tr w:rsidR="00512211" w:rsidRPr="00B33BB6" w14:paraId="5774CE30" w14:textId="77777777" w:rsidTr="00D50D90">
        <w:tc>
          <w:tcPr>
            <w:tcW w:w="1696" w:type="dxa"/>
          </w:tcPr>
          <w:p w14:paraId="3665C95A" w14:textId="77777777" w:rsidR="00512211" w:rsidRPr="00B33BB6" w:rsidRDefault="00512211">
            <w:pPr>
              <w:rPr>
                <w:rFonts w:eastAsia="Montserrat" w:cs="Arial"/>
                <w:b/>
                <w:szCs w:val="22"/>
              </w:rPr>
            </w:pPr>
            <w:r w:rsidRPr="00B33BB6">
              <w:rPr>
                <w:rFonts w:eastAsia="Montserrat" w:cs="Arial"/>
                <w:b/>
                <w:szCs w:val="22"/>
              </w:rPr>
              <w:t>Parameter</w:t>
            </w:r>
          </w:p>
        </w:tc>
        <w:tc>
          <w:tcPr>
            <w:tcW w:w="5947" w:type="dxa"/>
          </w:tcPr>
          <w:p w14:paraId="79EA5BC2" w14:textId="77777777" w:rsidR="00512211" w:rsidRPr="00B33BB6" w:rsidRDefault="00512211">
            <w:pPr>
              <w:rPr>
                <w:rFonts w:eastAsia="Montserrat" w:cs="Arial"/>
                <w:b/>
                <w:szCs w:val="22"/>
              </w:rPr>
            </w:pPr>
            <w:r w:rsidRPr="00B33BB6">
              <w:rPr>
                <w:rFonts w:eastAsia="Montserrat" w:cs="Arial"/>
                <w:b/>
                <w:szCs w:val="22"/>
              </w:rPr>
              <w:t>Description</w:t>
            </w:r>
          </w:p>
        </w:tc>
        <w:tc>
          <w:tcPr>
            <w:tcW w:w="1566" w:type="dxa"/>
          </w:tcPr>
          <w:p w14:paraId="2ECF080E" w14:textId="77777777" w:rsidR="00512211" w:rsidRPr="00B33BB6" w:rsidRDefault="00512211">
            <w:pPr>
              <w:rPr>
                <w:rFonts w:eastAsia="Montserrat" w:cs="Arial"/>
                <w:b/>
                <w:szCs w:val="22"/>
              </w:rPr>
            </w:pPr>
            <w:r w:rsidRPr="00B33BB6">
              <w:rPr>
                <w:rFonts w:eastAsia="Montserrat" w:cs="Arial"/>
                <w:b/>
                <w:szCs w:val="22"/>
              </w:rPr>
              <w:t>Unit</w:t>
            </w:r>
          </w:p>
        </w:tc>
      </w:tr>
      <w:tr w:rsidR="00512211" w:rsidRPr="00B33BB6" w14:paraId="30216076" w14:textId="77777777" w:rsidTr="00D50D90">
        <w:tc>
          <w:tcPr>
            <w:tcW w:w="1696" w:type="dxa"/>
          </w:tcPr>
          <w:p w14:paraId="3716DDC1" w14:textId="77777777" w:rsidR="00512211"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BE</m:t>
                    </m:r>
                  </m:e>
                  <m:sub>
                    <m:r>
                      <w:rPr>
                        <w:rFonts w:ascii="Cambria Math" w:eastAsia="Cambria Math" w:hAnsi="Cambria Math" w:cs="Arial"/>
                        <w:szCs w:val="22"/>
                      </w:rPr>
                      <m:t>y</m:t>
                    </m:r>
                  </m:sub>
                </m:sSub>
              </m:oMath>
            </m:oMathPara>
          </w:p>
        </w:tc>
        <w:tc>
          <w:tcPr>
            <w:tcW w:w="5947" w:type="dxa"/>
          </w:tcPr>
          <w:p w14:paraId="0346188C" w14:textId="77777777" w:rsidR="00512211" w:rsidRPr="00B33BB6" w:rsidRDefault="00512211">
            <w:pPr>
              <w:rPr>
                <w:rFonts w:eastAsia="Montserrat" w:cs="Arial"/>
                <w:b/>
                <w:szCs w:val="22"/>
              </w:rPr>
            </w:pPr>
            <w:r w:rsidRPr="00B33BB6">
              <w:rPr>
                <w:rFonts w:eastAsia="Montserrat" w:cs="Arial"/>
                <w:szCs w:val="22"/>
              </w:rPr>
              <w:t xml:space="preserve">Baseline emissions during year </w:t>
            </w:r>
            <w:r w:rsidRPr="00B33BB6">
              <w:rPr>
                <w:rFonts w:eastAsia="Montserrat" w:cs="Arial"/>
                <w:i/>
                <w:szCs w:val="22"/>
              </w:rPr>
              <w:t>y</w:t>
            </w:r>
          </w:p>
        </w:tc>
        <w:tc>
          <w:tcPr>
            <w:tcW w:w="1566" w:type="dxa"/>
          </w:tcPr>
          <w:p w14:paraId="332867C3" w14:textId="77777777" w:rsidR="00512211" w:rsidRPr="00B33BB6" w:rsidRDefault="00512211">
            <w:pPr>
              <w:rPr>
                <w:rFonts w:eastAsia="Montserrat" w:cs="Arial"/>
                <w:b/>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512211" w:rsidRPr="00DF570E" w14:paraId="46056FDC" w14:textId="77777777" w:rsidTr="00D50D90">
        <w:tc>
          <w:tcPr>
            <w:tcW w:w="1696" w:type="dxa"/>
          </w:tcPr>
          <w:p w14:paraId="0B7E5754" w14:textId="77777777" w:rsidR="00512211"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EQ</m:t>
                    </m:r>
                  </m:e>
                  <m:sub>
                    <m:r>
                      <w:rPr>
                        <w:rFonts w:ascii="Cambria Math" w:eastAsia="Cambria Math" w:hAnsi="Cambria Math" w:cs="Arial"/>
                        <w:szCs w:val="22"/>
                      </w:rPr>
                      <m:t>base</m:t>
                    </m:r>
                  </m:sub>
                </m:sSub>
              </m:oMath>
            </m:oMathPara>
          </w:p>
        </w:tc>
        <w:tc>
          <w:tcPr>
            <w:tcW w:w="5947" w:type="dxa"/>
          </w:tcPr>
          <w:p w14:paraId="08E8D76F" w14:textId="77777777" w:rsidR="00512211" w:rsidRPr="00B33BB6" w:rsidRDefault="00000000">
            <w:pPr>
              <w:rPr>
                <w:rFonts w:eastAsia="Montserrat" w:cs="Arial"/>
                <w:szCs w:val="22"/>
              </w:rPr>
            </w:pPr>
            <w:sdt>
              <w:sdtPr>
                <w:rPr>
                  <w:rFonts w:cs="Arial"/>
                  <w:szCs w:val="22"/>
                </w:rPr>
                <w:tag w:val="goog_rdk_31"/>
                <w:id w:val="1934616492"/>
              </w:sdtPr>
              <w:sdtContent/>
            </w:sdt>
            <w:sdt>
              <w:sdtPr>
                <w:rPr>
                  <w:rFonts w:cs="Arial"/>
                  <w:szCs w:val="22"/>
                </w:rPr>
                <w:tag w:val="goog_rdk_32"/>
                <w:id w:val="786475219"/>
              </w:sdtPr>
              <w:sdtContent/>
            </w:sdt>
            <w:r w:rsidR="00512211" w:rsidRPr="00B33BB6">
              <w:rPr>
                <w:rFonts w:eastAsia="Montserrat" w:cs="Arial"/>
                <w:szCs w:val="22"/>
              </w:rPr>
              <w:t>Emissions quotient for the consumption of energy for cooking in baseline scenario</w:t>
            </w:r>
          </w:p>
        </w:tc>
        <w:tc>
          <w:tcPr>
            <w:tcW w:w="1566" w:type="dxa"/>
          </w:tcPr>
          <w:p w14:paraId="679D6D5A" w14:textId="77777777" w:rsidR="00512211" w:rsidRPr="00B33BB6" w:rsidRDefault="00512211">
            <w:pPr>
              <w:rPr>
                <w:rFonts w:eastAsia="Montserrat" w:cs="Arial"/>
                <w:szCs w:val="22"/>
                <w:lang w:val="es-GT"/>
              </w:rPr>
            </w:pPr>
            <w:r w:rsidRPr="00B33BB6">
              <w:rPr>
                <w:rFonts w:eastAsia="Montserrat" w:cs="Arial"/>
                <w:szCs w:val="22"/>
                <w:lang w:val="es-GT"/>
              </w:rPr>
              <w:t>tCO</w:t>
            </w:r>
            <w:r w:rsidRPr="00B33BB6">
              <w:rPr>
                <w:rFonts w:eastAsia="Montserrat" w:cs="Arial"/>
                <w:szCs w:val="22"/>
                <w:vertAlign w:val="subscript"/>
                <w:lang w:val="es-GT"/>
              </w:rPr>
              <w:t>2</w:t>
            </w:r>
            <w:r w:rsidRPr="00B33BB6">
              <w:rPr>
                <w:rFonts w:eastAsia="Montserrat" w:cs="Arial"/>
                <w:szCs w:val="22"/>
                <w:lang w:val="es-GT"/>
              </w:rPr>
              <w:t xml:space="preserve">e/TJ </w:t>
            </w:r>
          </w:p>
          <w:p w14:paraId="1D790019" w14:textId="77777777" w:rsidR="00512211" w:rsidRPr="00B33BB6" w:rsidRDefault="00512211">
            <w:pPr>
              <w:rPr>
                <w:rFonts w:eastAsia="Montserrat" w:cs="Arial"/>
                <w:szCs w:val="22"/>
                <w:lang w:val="es-GT"/>
              </w:rPr>
            </w:pPr>
            <w:proofErr w:type="spellStart"/>
            <w:r w:rsidRPr="00B33BB6">
              <w:rPr>
                <w:rFonts w:eastAsia="Montserrat" w:cs="Arial"/>
                <w:szCs w:val="22"/>
                <w:lang w:val="es-GT"/>
              </w:rPr>
              <w:t>or</w:t>
            </w:r>
            <w:proofErr w:type="spellEnd"/>
            <w:r w:rsidRPr="00B33BB6">
              <w:rPr>
                <w:rFonts w:eastAsia="Montserrat" w:cs="Arial"/>
                <w:szCs w:val="22"/>
                <w:lang w:val="es-GT"/>
              </w:rPr>
              <w:t xml:space="preserve"> tCO</w:t>
            </w:r>
            <w:r w:rsidRPr="00B33BB6">
              <w:rPr>
                <w:rFonts w:eastAsia="Montserrat" w:cs="Arial"/>
                <w:szCs w:val="22"/>
                <w:vertAlign w:val="subscript"/>
                <w:lang w:val="es-GT"/>
              </w:rPr>
              <w:t>2</w:t>
            </w:r>
            <w:r w:rsidRPr="00B33BB6">
              <w:rPr>
                <w:rFonts w:eastAsia="Montserrat" w:cs="Arial"/>
                <w:szCs w:val="22"/>
                <w:lang w:val="es-GT"/>
              </w:rPr>
              <w:t>e/kWh</w:t>
            </w:r>
          </w:p>
        </w:tc>
      </w:tr>
      <w:tr w:rsidR="00512211" w:rsidRPr="00B33BB6" w14:paraId="0EA0152A" w14:textId="77777777" w:rsidTr="00D50D90">
        <w:tc>
          <w:tcPr>
            <w:tcW w:w="1696" w:type="dxa"/>
          </w:tcPr>
          <w:p w14:paraId="59A12E47" w14:textId="77777777" w:rsidR="00512211"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oMath>
            </m:oMathPara>
          </w:p>
        </w:tc>
        <w:tc>
          <w:tcPr>
            <w:tcW w:w="5947" w:type="dxa"/>
          </w:tcPr>
          <w:p w14:paraId="17792E17" w14:textId="205C9D25" w:rsidR="00512211" w:rsidRPr="00B33BB6" w:rsidRDefault="00512211">
            <w:pPr>
              <w:rPr>
                <w:rFonts w:cs="Arial"/>
                <w:szCs w:val="22"/>
              </w:rPr>
            </w:pPr>
            <w:r w:rsidRPr="00B33BB6">
              <w:rPr>
                <w:rFonts w:eastAsia="Montserrat" w:cs="Arial"/>
                <w:szCs w:val="22"/>
              </w:rPr>
              <w:t xml:space="preserve">Total tracked energy consumption of project fuel </w:t>
            </w:r>
            <w:r w:rsidRPr="00B33BB6">
              <w:rPr>
                <w:rFonts w:eastAsia="Montserrat" w:cs="Arial"/>
                <w:i/>
                <w:szCs w:val="22"/>
              </w:rPr>
              <w:t xml:space="preserve">j </w:t>
            </w:r>
            <w:r w:rsidRPr="00B33BB6">
              <w:rPr>
                <w:rFonts w:eastAsia="Montserrat" w:cs="Arial"/>
                <w:szCs w:val="22"/>
              </w:rPr>
              <w:t xml:space="preserve">for CTEC projects in year </w:t>
            </w:r>
            <w:r w:rsidRPr="00B33BB6">
              <w:rPr>
                <w:rFonts w:eastAsia="Montserrat" w:cs="Arial"/>
                <w:i/>
                <w:szCs w:val="22"/>
              </w:rPr>
              <w:t>y</w:t>
            </w:r>
            <w:r w:rsidRPr="00B33BB6">
              <w:rPr>
                <w:rFonts w:eastAsia="Montserrat" w:cs="Arial"/>
                <w:szCs w:val="22"/>
              </w:rPr>
              <w:t xml:space="preserve"> (</w:t>
            </w:r>
            <w:r w:rsidRPr="00B32448">
              <w:rPr>
                <w:rFonts w:eastAsia="Montserrat" w:cs="Arial"/>
                <w:szCs w:val="22"/>
              </w:rPr>
              <w:t xml:space="preserve">see </w:t>
            </w:r>
            <w:hyperlink w:anchor="e7" w:history="1">
              <w:proofErr w:type="spellStart"/>
              <w:r w:rsidRPr="00B32448">
                <w:rPr>
                  <w:rStyle w:val="Hyperlink"/>
                  <w:rFonts w:eastAsia="Montserrat" w:cs="Arial"/>
                  <w:szCs w:val="22"/>
                  <w:lang w:val="en-GB"/>
                </w:rPr>
                <w:t>Eq</w:t>
              </w:r>
              <w:r w:rsidRPr="00B32448">
                <w:rPr>
                  <w:rStyle w:val="Hyperlink"/>
                  <w:rFonts w:eastAsia="Montserrat" w:cs="Arial"/>
                  <w:szCs w:val="22"/>
                </w:rPr>
                <w:t>uation</w:t>
              </w:r>
              <w:proofErr w:type="spellEnd"/>
              <w:r w:rsidRPr="00B32448">
                <w:rPr>
                  <w:rStyle w:val="Hyperlink"/>
                  <w:rFonts w:eastAsia="Montserrat" w:cs="Arial"/>
                  <w:szCs w:val="22"/>
                </w:rPr>
                <w:t xml:space="preserve"> (7)</w:t>
              </w:r>
            </w:hyperlink>
            <w:r w:rsidRPr="00B32448">
              <w:rPr>
                <w:rFonts w:eastAsia="Montserrat" w:cs="Arial"/>
                <w:szCs w:val="22"/>
              </w:rPr>
              <w:t>)</w:t>
            </w:r>
          </w:p>
        </w:tc>
        <w:tc>
          <w:tcPr>
            <w:tcW w:w="1566" w:type="dxa"/>
          </w:tcPr>
          <w:p w14:paraId="1EE9E919" w14:textId="77777777" w:rsidR="00512211" w:rsidRPr="00B33BB6" w:rsidRDefault="00512211">
            <w:pPr>
              <w:rPr>
                <w:rFonts w:eastAsia="Montserrat" w:cs="Arial"/>
                <w:szCs w:val="22"/>
              </w:rPr>
            </w:pPr>
            <w:r w:rsidRPr="00B33BB6">
              <w:rPr>
                <w:rFonts w:eastAsia="Montserrat" w:cs="Arial"/>
                <w:szCs w:val="22"/>
              </w:rPr>
              <w:t>TJ or kWh</w:t>
            </w:r>
          </w:p>
        </w:tc>
      </w:tr>
      <w:tr w:rsidR="00512211" w:rsidRPr="00B33BB6" w14:paraId="47C727A3" w14:textId="77777777" w:rsidTr="00D50D90">
        <w:tc>
          <w:tcPr>
            <w:tcW w:w="1696" w:type="dxa"/>
          </w:tcPr>
          <w:p w14:paraId="2E589EC3" w14:textId="77777777" w:rsidR="00512211"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base,i,y</m:t>
                    </m:r>
                  </m:sub>
                </m:sSub>
              </m:oMath>
            </m:oMathPara>
          </w:p>
        </w:tc>
        <w:tc>
          <w:tcPr>
            <w:tcW w:w="5947" w:type="dxa"/>
          </w:tcPr>
          <w:p w14:paraId="18CF62A7" w14:textId="05D4BEAC" w:rsidR="00512211" w:rsidRPr="00B33BB6" w:rsidRDefault="00512211">
            <w:pPr>
              <w:rPr>
                <w:rFonts w:eastAsia="Montserrat" w:cs="Arial"/>
                <w:szCs w:val="22"/>
              </w:rPr>
            </w:pPr>
            <w:r w:rsidRPr="00B33BB6">
              <w:rPr>
                <w:rFonts w:eastAsia="Montserrat" w:cs="Arial"/>
                <w:szCs w:val="22"/>
              </w:rPr>
              <w:t>Upstream emissions for baseline fuel</w:t>
            </w:r>
            <w:r w:rsidRPr="00B33BB6">
              <w:rPr>
                <w:rFonts w:eastAsia="Montserrat" w:cs="Arial"/>
                <w:i/>
                <w:szCs w:val="22"/>
              </w:rPr>
              <w:t xml:space="preserve"> </w:t>
            </w:r>
            <w:proofErr w:type="spellStart"/>
            <w:r w:rsidRPr="00B33BB6">
              <w:rPr>
                <w:rFonts w:eastAsia="Montserrat" w:cs="Arial"/>
                <w:i/>
                <w:szCs w:val="22"/>
              </w:rPr>
              <w:t>i</w:t>
            </w:r>
            <w:proofErr w:type="spellEnd"/>
            <w:r w:rsidRPr="00B33BB6">
              <w:rPr>
                <w:rFonts w:eastAsia="Montserrat" w:cs="Arial"/>
                <w:i/>
                <w:szCs w:val="22"/>
              </w:rPr>
              <w:t xml:space="preserve"> </w:t>
            </w:r>
            <w:r w:rsidRPr="00B33BB6">
              <w:rPr>
                <w:rFonts w:eastAsia="Montserrat" w:cs="Arial"/>
                <w:szCs w:val="22"/>
              </w:rPr>
              <w:t xml:space="preserve">in year </w:t>
            </w:r>
            <w:r w:rsidRPr="00B33BB6">
              <w:rPr>
                <w:rFonts w:eastAsia="Montserrat" w:cs="Arial"/>
                <w:i/>
                <w:szCs w:val="22"/>
              </w:rPr>
              <w:t>y</w:t>
            </w:r>
            <w:r w:rsidRPr="00B33BB6">
              <w:rPr>
                <w:rFonts w:eastAsia="Montserrat" w:cs="Arial"/>
                <w:szCs w:val="22"/>
              </w:rPr>
              <w:t xml:space="preserve">, determined following </w:t>
            </w:r>
            <w:r w:rsidR="00D53DF2">
              <w:rPr>
                <w:rFonts w:eastAsia="Montserrat" w:cs="Arial"/>
                <w:szCs w:val="22"/>
              </w:rPr>
              <w:t xml:space="preserve">the </w:t>
            </w:r>
            <w:r w:rsidR="00D53DF2" w:rsidRPr="004A5BB5">
              <w:rPr>
                <w:rFonts w:eastAsia="Montserrat" w:cs="Arial"/>
                <w:szCs w:val="22"/>
              </w:rPr>
              <w:t>“</w:t>
            </w:r>
            <w:r w:rsidR="00D53DF2" w:rsidRPr="004A5BB5">
              <w:rPr>
                <w:rFonts w:eastAsia="Montserrat" w:cs="Arial"/>
                <w:i/>
                <w:szCs w:val="22"/>
                <w:shd w:val="clear" w:color="auto" w:fill="FFFFFF"/>
              </w:rPr>
              <w:t xml:space="preserve">Upstream Emissions </w:t>
            </w:r>
            <w:r w:rsidR="00D53DF2" w:rsidRPr="004A5BB5">
              <w:rPr>
                <w:rFonts w:cs="Arial"/>
                <w:i/>
                <w:iCs/>
                <w:szCs w:val="22"/>
                <w:shd w:val="clear" w:color="auto" w:fill="FFFFFF"/>
              </w:rPr>
              <w:t>for the Baseline Scenario”</w:t>
            </w:r>
            <w:r w:rsidR="00D53DF2">
              <w:rPr>
                <w:rFonts w:cs="Arial"/>
                <w:i/>
                <w:iCs/>
                <w:szCs w:val="22"/>
                <w:shd w:val="clear" w:color="auto" w:fill="FFFFFF"/>
              </w:rPr>
              <w:t xml:space="preserve"> requirements</w:t>
            </w:r>
            <w:r w:rsidR="00D53DF2" w:rsidRPr="00582FEA">
              <w:rPr>
                <w:rFonts w:eastAsia="Montserrat" w:cs="Arial"/>
                <w:szCs w:val="22"/>
              </w:rPr>
              <w:t xml:space="preserve"> </w:t>
            </w:r>
            <w:r w:rsidR="00D53DF2">
              <w:rPr>
                <w:rFonts w:eastAsia="Montserrat" w:cs="Arial"/>
                <w:szCs w:val="22"/>
              </w:rPr>
              <w:t xml:space="preserve">presented </w:t>
            </w:r>
            <w:r w:rsidR="00D53DF2" w:rsidRPr="00A53357">
              <w:rPr>
                <w:rFonts w:eastAsia="Montserrat" w:cs="Arial"/>
                <w:szCs w:val="22"/>
              </w:rPr>
              <w:t xml:space="preserve">in </w:t>
            </w:r>
            <w:hyperlink w:anchor="S1022" w:history="1">
              <w:r w:rsidR="00D53DF2" w:rsidRPr="00A53357">
                <w:rPr>
                  <w:rStyle w:val="Hyperlink"/>
                  <w:rFonts w:eastAsia="Montserrat" w:cs="Arial"/>
                  <w:szCs w:val="22"/>
                  <w:lang w:val="en-GB"/>
                </w:rPr>
                <w:t>s</w:t>
              </w:r>
              <w:proofErr w:type="spellStart"/>
              <w:r w:rsidR="00D53DF2" w:rsidRPr="00A53357">
                <w:rPr>
                  <w:rStyle w:val="Hyperlink"/>
                  <w:rFonts w:eastAsia="Montserrat" w:cs="Arial"/>
                  <w:szCs w:val="22"/>
                  <w:shd w:val="clear" w:color="auto" w:fill="FFFFFF"/>
                </w:rPr>
                <w:t>ection</w:t>
              </w:r>
              <w:proofErr w:type="spellEnd"/>
              <w:r w:rsidR="00D53DF2" w:rsidRPr="00A53357">
                <w:rPr>
                  <w:rStyle w:val="Hyperlink"/>
                  <w:rFonts w:eastAsia="Montserrat" w:cs="Arial"/>
                  <w:szCs w:val="22"/>
                  <w:shd w:val="clear" w:color="auto" w:fill="FFFFFF"/>
                </w:rPr>
                <w:t xml:space="preserve"> </w:t>
              </w:r>
              <w:r w:rsidR="00D53DF2" w:rsidRPr="00A53357">
                <w:rPr>
                  <w:rStyle w:val="Hyperlink"/>
                  <w:rFonts w:cs="Arial"/>
                  <w:szCs w:val="22"/>
                  <w:shd w:val="clear" w:color="auto" w:fill="FFFFFF"/>
                </w:rPr>
                <w:t>10.2.2.</w:t>
              </w:r>
            </w:hyperlink>
          </w:p>
        </w:tc>
        <w:tc>
          <w:tcPr>
            <w:tcW w:w="1566" w:type="dxa"/>
          </w:tcPr>
          <w:p w14:paraId="670862E7" w14:textId="77777777" w:rsidR="00512211" w:rsidRPr="00B33BB6" w:rsidRDefault="00512211">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bl>
    <w:p w14:paraId="3E486B63" w14:textId="77777777" w:rsidR="00512211" w:rsidRPr="00B33BB6" w:rsidRDefault="00512211" w:rsidP="00512211">
      <w:pPr>
        <w:rPr>
          <w:rFonts w:eastAsia="Montserrat" w:cs="Arial"/>
          <w:szCs w:val="22"/>
        </w:rPr>
      </w:pPr>
    </w:p>
    <w:p w14:paraId="7B4C8044" w14:textId="77777777" w:rsidR="00512211" w:rsidRPr="00B33BB6" w:rsidRDefault="00512211" w:rsidP="00D50D90">
      <w:pPr>
        <w:ind w:left="709"/>
        <w:rPr>
          <w:rFonts w:eastAsia="Montserrat" w:cs="Arial"/>
          <w:szCs w:val="22"/>
        </w:rPr>
      </w:pPr>
      <w:r w:rsidRPr="00B33BB6">
        <w:rPr>
          <w:rFonts w:eastAsia="Montserrat" w:cs="Arial"/>
          <w:szCs w:val="22"/>
        </w:rPr>
        <w:t xml:space="preserve">This approach involves determining a baseline emission quotient per unit project fuel by using the energy consumption through its measurement by an ex-ante KPT of the baseline scenario and an ex-post KPT of the project scenario, using Equation (13). </w:t>
      </w:r>
    </w:p>
    <w:p w14:paraId="40E19F99" w14:textId="77777777" w:rsidR="00512211" w:rsidRPr="00B33BB6" w:rsidRDefault="00512211" w:rsidP="00512211">
      <w:pPr>
        <w:keepNext/>
        <w:spacing w:after="200"/>
        <w:rPr>
          <w:rFonts w:cs="Arial"/>
          <w:i/>
          <w:color w:val="44546A"/>
          <w:szCs w:val="22"/>
        </w:rPr>
      </w:pPr>
    </w:p>
    <w:tbl>
      <w:tblPr>
        <w:tblW w:w="9547" w:type="dxa"/>
        <w:tblBorders>
          <w:top w:val="nil"/>
          <w:left w:val="nil"/>
          <w:bottom w:val="nil"/>
          <w:right w:val="nil"/>
          <w:insideH w:val="nil"/>
          <w:insideV w:val="nil"/>
        </w:tblBorders>
        <w:tblLayout w:type="fixed"/>
        <w:tblLook w:val="0400" w:firstRow="0" w:lastRow="0" w:firstColumn="0" w:lastColumn="0" w:noHBand="0" w:noVBand="1"/>
      </w:tblPr>
      <w:tblGrid>
        <w:gridCol w:w="8406"/>
        <w:gridCol w:w="1141"/>
      </w:tblGrid>
      <w:tr w:rsidR="00512211" w:rsidRPr="00B33BB6" w14:paraId="2226914B" w14:textId="77777777">
        <w:tc>
          <w:tcPr>
            <w:tcW w:w="8406" w:type="dxa"/>
            <w:vAlign w:val="center"/>
          </w:tcPr>
          <w:p w14:paraId="2AB483D4" w14:textId="77777777" w:rsidR="00512211" w:rsidRPr="00B33BB6" w:rsidRDefault="00000000">
            <w:pPr>
              <w:jc w:val="center"/>
              <w:rPr>
                <w:rFonts w:eastAsia="Cambria Math"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EQ</m:t>
                    </m:r>
                  </m:e>
                  <m:sub>
                    <m:r>
                      <w:rPr>
                        <w:rFonts w:ascii="Cambria Math" w:eastAsia="Cambria Math" w:hAnsi="Cambria Math" w:cs="Arial"/>
                        <w:szCs w:val="22"/>
                      </w:rPr>
                      <m:t>base</m:t>
                    </m:r>
                  </m:sub>
                </m:sSub>
                <m:r>
                  <w:rPr>
                    <w:rFonts w:ascii="Cambria Math" w:eastAsia="Cambria Math" w:hAnsi="Cambria Math" w:cs="Arial"/>
                    <w:szCs w:val="22"/>
                  </w:rPr>
                  <m:t xml:space="preserve">= </m:t>
                </m:r>
                <m:f>
                  <m:fPr>
                    <m:ctrlPr>
                      <w:rPr>
                        <w:rFonts w:ascii="Cambria Math" w:eastAsia="Cambria Math" w:hAnsi="Cambria Math" w:cs="Arial"/>
                        <w:i/>
                        <w:szCs w:val="22"/>
                      </w:rPr>
                    </m:ctrlPr>
                  </m:fPr>
                  <m:num>
                    <m:nary>
                      <m:naryPr>
                        <m:chr m:val="∑"/>
                        <m:limLoc m:val="undOvr"/>
                        <m:supHide m:val="1"/>
                        <m:ctrlPr>
                          <w:rPr>
                            <w:rFonts w:ascii="Cambria Math" w:eastAsia="Cambria Math" w:hAnsi="Cambria Math" w:cs="Arial"/>
                            <w:i/>
                            <w:szCs w:val="22"/>
                          </w:rPr>
                        </m:ctrlPr>
                      </m:naryPr>
                      <m:sub>
                        <m:r>
                          <w:rPr>
                            <w:rFonts w:ascii="Cambria Math" w:eastAsia="Cambria Math" w:hAnsi="Cambria Math" w:cs="Arial"/>
                            <w:szCs w:val="22"/>
                          </w:rPr>
                          <m:t>i</m:t>
                        </m:r>
                      </m:sub>
                      <m:sup/>
                      <m:e>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base,KPT,i</m:t>
                            </m:r>
                          </m:sub>
                        </m:sSub>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fNRB</m:t>
                            </m:r>
                          </m:e>
                          <m:sub>
                            <m:r>
                              <w:rPr>
                                <w:rFonts w:ascii="Cambria Math" w:eastAsia="Cambria Math" w:hAnsi="Cambria Math" w:cs="Arial"/>
                                <w:szCs w:val="22"/>
                              </w:rPr>
                              <m:t>i</m:t>
                            </m:r>
                          </m:sub>
                        </m:sSub>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base,i,CO2</m:t>
                            </m:r>
                          </m:sub>
                        </m:sSub>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base,i,nonCO2</m:t>
                            </m:r>
                          </m:sub>
                        </m:sSub>
                        <m:r>
                          <w:rPr>
                            <w:rFonts w:ascii="Cambria Math" w:eastAsia="Cambria Math" w:hAnsi="Cambria Math" w:cs="Arial"/>
                            <w:szCs w:val="22"/>
                          </w:rPr>
                          <m:t>)]</m:t>
                        </m:r>
                      </m:e>
                    </m:nary>
                  </m:num>
                  <m:den>
                    <m:r>
                      <w:rPr>
                        <w:rFonts w:ascii="Cambria Math" w:eastAsia="Cambria Math" w:hAnsi="Cambria Math" w:cs="Arial"/>
                        <w:szCs w:val="22"/>
                      </w:rPr>
                      <m:t>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proj,KPT,j-project</m:t>
                        </m:r>
                      </m:sub>
                    </m:sSub>
                  </m:den>
                </m:f>
              </m:oMath>
            </m:oMathPara>
          </w:p>
        </w:tc>
        <w:tc>
          <w:tcPr>
            <w:tcW w:w="1141" w:type="dxa"/>
            <w:vAlign w:val="center"/>
          </w:tcPr>
          <w:p w14:paraId="6A322E49" w14:textId="77777777" w:rsidR="00512211" w:rsidRPr="00B33BB6" w:rsidRDefault="00512211">
            <w:pPr>
              <w:ind w:right="234"/>
              <w:jc w:val="right"/>
              <w:rPr>
                <w:rFonts w:cs="Arial"/>
                <w:szCs w:val="22"/>
              </w:rPr>
            </w:pPr>
            <w:bookmarkStart w:id="51" w:name="e13"/>
            <w:r w:rsidRPr="00B33BB6">
              <w:rPr>
                <w:rFonts w:cs="Arial"/>
                <w:szCs w:val="22"/>
              </w:rPr>
              <w:t>(13)</w:t>
            </w:r>
            <w:bookmarkEnd w:id="51"/>
          </w:p>
        </w:tc>
      </w:tr>
    </w:tbl>
    <w:p w14:paraId="3CA0BDDE" w14:textId="77777777" w:rsidR="00512211" w:rsidRPr="00B33BB6" w:rsidRDefault="00512211" w:rsidP="00512211">
      <w:pPr>
        <w:rPr>
          <w:rFonts w:eastAsia="Montserrat" w:cs="Arial"/>
          <w:szCs w:val="22"/>
        </w:rPr>
      </w:pPr>
    </w:p>
    <w:p w14:paraId="7DA0BC65" w14:textId="77777777" w:rsidR="00512211" w:rsidRPr="00B33BB6" w:rsidRDefault="00512211" w:rsidP="00D50D90">
      <w:pPr>
        <w:ind w:left="709"/>
        <w:rPr>
          <w:rFonts w:eastAsia="Montserrat" w:cs="Arial"/>
          <w:szCs w:val="22"/>
        </w:rPr>
      </w:pPr>
      <w:r w:rsidRPr="00B33BB6">
        <w:rPr>
          <w:rFonts w:eastAsia="Montserrat" w:cs="Arial"/>
          <w:szCs w:val="22"/>
        </w:rPr>
        <w:t>Where:</w:t>
      </w:r>
    </w:p>
    <w:p w14:paraId="1A686B3A" w14:textId="77777777" w:rsidR="00512211" w:rsidRPr="00B33BB6" w:rsidRDefault="00512211" w:rsidP="00512211">
      <w:pPr>
        <w:rPr>
          <w:rFonts w:eastAsia="Montserrat" w:cs="Arial"/>
          <w:szCs w:val="22"/>
        </w:rPr>
      </w:pPr>
    </w:p>
    <w:tbl>
      <w:tblPr>
        <w:tblStyle w:val="TableGrid"/>
        <w:tblW w:w="9209" w:type="dxa"/>
        <w:tblInd w:w="596" w:type="dxa"/>
        <w:tblLook w:val="04A0" w:firstRow="1" w:lastRow="0" w:firstColumn="1" w:lastColumn="0" w:noHBand="0" w:noVBand="1"/>
      </w:tblPr>
      <w:tblGrid>
        <w:gridCol w:w="2263"/>
        <w:gridCol w:w="4715"/>
        <w:gridCol w:w="2231"/>
      </w:tblGrid>
      <w:tr w:rsidR="00512211" w:rsidRPr="00B33BB6" w14:paraId="368BC193" w14:textId="77777777" w:rsidTr="00D50D90">
        <w:tc>
          <w:tcPr>
            <w:tcW w:w="2263" w:type="dxa"/>
          </w:tcPr>
          <w:p w14:paraId="32E63F34" w14:textId="77777777" w:rsidR="00512211" w:rsidRPr="00B33BB6" w:rsidRDefault="00512211">
            <w:pPr>
              <w:rPr>
                <w:rFonts w:eastAsia="Montserrat" w:cs="Arial"/>
                <w:b/>
                <w:szCs w:val="22"/>
              </w:rPr>
            </w:pPr>
            <w:r w:rsidRPr="00B33BB6">
              <w:rPr>
                <w:rFonts w:eastAsia="Montserrat" w:cs="Arial"/>
                <w:b/>
                <w:szCs w:val="22"/>
              </w:rPr>
              <w:t>Parameter</w:t>
            </w:r>
          </w:p>
        </w:tc>
        <w:tc>
          <w:tcPr>
            <w:tcW w:w="4715" w:type="dxa"/>
          </w:tcPr>
          <w:p w14:paraId="46136B08" w14:textId="77777777" w:rsidR="00512211" w:rsidRPr="00B33BB6" w:rsidRDefault="00512211">
            <w:pPr>
              <w:rPr>
                <w:rFonts w:eastAsia="Montserrat" w:cs="Arial"/>
                <w:b/>
                <w:szCs w:val="22"/>
              </w:rPr>
            </w:pPr>
            <w:r w:rsidRPr="00B33BB6">
              <w:rPr>
                <w:rFonts w:eastAsia="Montserrat" w:cs="Arial"/>
                <w:b/>
                <w:szCs w:val="22"/>
              </w:rPr>
              <w:t>Description</w:t>
            </w:r>
          </w:p>
        </w:tc>
        <w:tc>
          <w:tcPr>
            <w:tcW w:w="2231" w:type="dxa"/>
          </w:tcPr>
          <w:p w14:paraId="71FDF422" w14:textId="77777777" w:rsidR="00512211" w:rsidRPr="00B33BB6" w:rsidRDefault="00512211">
            <w:pPr>
              <w:rPr>
                <w:rFonts w:eastAsia="Montserrat" w:cs="Arial"/>
                <w:b/>
                <w:szCs w:val="22"/>
              </w:rPr>
            </w:pPr>
            <w:r w:rsidRPr="00B33BB6">
              <w:rPr>
                <w:rFonts w:eastAsia="Montserrat" w:cs="Arial"/>
                <w:b/>
                <w:szCs w:val="22"/>
              </w:rPr>
              <w:t>Unit</w:t>
            </w:r>
          </w:p>
        </w:tc>
      </w:tr>
      <w:tr w:rsidR="00512211" w:rsidRPr="00DF570E" w14:paraId="24794F33" w14:textId="77777777" w:rsidTr="00D50D90">
        <w:tc>
          <w:tcPr>
            <w:tcW w:w="2263" w:type="dxa"/>
          </w:tcPr>
          <w:p w14:paraId="2A8DFC98" w14:textId="77777777" w:rsidR="00512211"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EQ</m:t>
                    </m:r>
                  </m:e>
                  <m:sub>
                    <m:r>
                      <w:rPr>
                        <w:rFonts w:ascii="Cambria Math" w:eastAsia="Cambria Math" w:hAnsi="Cambria Math" w:cs="Arial"/>
                        <w:szCs w:val="22"/>
                      </w:rPr>
                      <m:t>base</m:t>
                    </m:r>
                  </m:sub>
                </m:sSub>
              </m:oMath>
            </m:oMathPara>
          </w:p>
        </w:tc>
        <w:tc>
          <w:tcPr>
            <w:tcW w:w="4715" w:type="dxa"/>
          </w:tcPr>
          <w:p w14:paraId="2420250B" w14:textId="77777777" w:rsidR="00512211" w:rsidRPr="00B33BB6" w:rsidRDefault="00000000">
            <w:pPr>
              <w:rPr>
                <w:rFonts w:eastAsia="Montserrat" w:cs="Arial"/>
                <w:b/>
                <w:szCs w:val="22"/>
              </w:rPr>
            </w:pPr>
            <w:sdt>
              <w:sdtPr>
                <w:rPr>
                  <w:rFonts w:cs="Arial"/>
                  <w:szCs w:val="22"/>
                </w:rPr>
                <w:tag w:val="goog_rdk_31"/>
                <w:id w:val="1987816935"/>
              </w:sdtPr>
              <w:sdtContent/>
            </w:sdt>
            <w:sdt>
              <w:sdtPr>
                <w:rPr>
                  <w:rFonts w:cs="Arial"/>
                  <w:szCs w:val="22"/>
                </w:rPr>
                <w:tag w:val="goog_rdk_32"/>
                <w:id w:val="-817950804"/>
              </w:sdtPr>
              <w:sdtContent/>
            </w:sdt>
            <w:r w:rsidR="00512211" w:rsidRPr="00B33BB6">
              <w:rPr>
                <w:rFonts w:eastAsia="Montserrat" w:cs="Arial"/>
                <w:szCs w:val="22"/>
              </w:rPr>
              <w:t>Emissions quotient for the consumption of energy for cooking in baseline scenario</w:t>
            </w:r>
          </w:p>
        </w:tc>
        <w:tc>
          <w:tcPr>
            <w:tcW w:w="2231" w:type="dxa"/>
          </w:tcPr>
          <w:p w14:paraId="0039D7F7" w14:textId="77777777" w:rsidR="00512211" w:rsidRPr="00B33BB6" w:rsidRDefault="00512211">
            <w:pPr>
              <w:rPr>
                <w:rFonts w:eastAsia="Montserrat" w:cs="Arial"/>
                <w:szCs w:val="22"/>
                <w:lang w:val="es-GT"/>
              </w:rPr>
            </w:pPr>
            <w:r w:rsidRPr="00B33BB6">
              <w:rPr>
                <w:rFonts w:eastAsia="Montserrat" w:cs="Arial"/>
                <w:szCs w:val="22"/>
                <w:lang w:val="es-GT"/>
              </w:rPr>
              <w:t>tCO</w:t>
            </w:r>
            <w:r w:rsidRPr="00B33BB6">
              <w:rPr>
                <w:rFonts w:eastAsia="Montserrat" w:cs="Arial"/>
                <w:szCs w:val="22"/>
                <w:vertAlign w:val="subscript"/>
                <w:lang w:val="es-GT"/>
              </w:rPr>
              <w:t>2</w:t>
            </w:r>
            <w:r w:rsidRPr="00B33BB6">
              <w:rPr>
                <w:rFonts w:eastAsia="Montserrat" w:cs="Arial"/>
                <w:szCs w:val="22"/>
                <w:lang w:val="es-GT"/>
              </w:rPr>
              <w:t xml:space="preserve">e/TJ </w:t>
            </w:r>
          </w:p>
          <w:p w14:paraId="461EBE5A" w14:textId="77777777" w:rsidR="00512211" w:rsidRPr="00B33BB6" w:rsidRDefault="00512211">
            <w:pPr>
              <w:rPr>
                <w:rFonts w:eastAsia="Montserrat" w:cs="Arial"/>
                <w:b/>
                <w:szCs w:val="22"/>
                <w:lang w:val="es-GT"/>
              </w:rPr>
            </w:pPr>
            <w:proofErr w:type="spellStart"/>
            <w:r w:rsidRPr="00B33BB6">
              <w:rPr>
                <w:rFonts w:eastAsia="Montserrat" w:cs="Arial"/>
                <w:szCs w:val="22"/>
                <w:lang w:val="es-GT"/>
              </w:rPr>
              <w:t>or</w:t>
            </w:r>
            <w:proofErr w:type="spellEnd"/>
            <w:r w:rsidRPr="00B33BB6">
              <w:rPr>
                <w:rFonts w:eastAsia="Montserrat" w:cs="Arial"/>
                <w:szCs w:val="22"/>
                <w:lang w:val="es-GT"/>
              </w:rPr>
              <w:t xml:space="preserve"> tCO</w:t>
            </w:r>
            <w:r w:rsidRPr="00B33BB6">
              <w:rPr>
                <w:rFonts w:eastAsia="Montserrat" w:cs="Arial"/>
                <w:szCs w:val="22"/>
                <w:vertAlign w:val="subscript"/>
                <w:lang w:val="es-GT"/>
              </w:rPr>
              <w:t>2</w:t>
            </w:r>
            <w:r w:rsidRPr="00B33BB6">
              <w:rPr>
                <w:rFonts w:eastAsia="Montserrat" w:cs="Arial"/>
                <w:szCs w:val="22"/>
                <w:lang w:val="es-GT"/>
              </w:rPr>
              <w:t>e/kWh</w:t>
            </w:r>
          </w:p>
        </w:tc>
      </w:tr>
      <w:tr w:rsidR="00512211" w:rsidRPr="00B33BB6" w14:paraId="46AA60CC" w14:textId="77777777" w:rsidTr="00D50D90">
        <w:tc>
          <w:tcPr>
            <w:tcW w:w="2263" w:type="dxa"/>
          </w:tcPr>
          <w:p w14:paraId="5CE02AD9" w14:textId="77777777" w:rsidR="00512211"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base,KPT,i</m:t>
                    </m:r>
                  </m:sub>
                </m:sSub>
              </m:oMath>
            </m:oMathPara>
          </w:p>
        </w:tc>
        <w:tc>
          <w:tcPr>
            <w:tcW w:w="4715" w:type="dxa"/>
          </w:tcPr>
          <w:p w14:paraId="1ED8A013" w14:textId="4F7CE68F" w:rsidR="00512211" w:rsidRPr="00B33BB6" w:rsidRDefault="00512211">
            <w:pPr>
              <w:rPr>
                <w:rFonts w:eastAsia="Montserrat" w:cs="Arial"/>
                <w:szCs w:val="22"/>
              </w:rPr>
            </w:pPr>
            <w:r w:rsidRPr="00B33BB6">
              <w:rPr>
                <w:rFonts w:eastAsia="Montserrat" w:cs="Arial"/>
                <w:szCs w:val="22"/>
              </w:rPr>
              <w:t xml:space="preserve">Energy consumption of each baseline fuel </w:t>
            </w:r>
            <w:proofErr w:type="spellStart"/>
            <w:r w:rsidRPr="00B33BB6">
              <w:rPr>
                <w:rFonts w:eastAsia="Montserrat" w:cs="Arial"/>
                <w:i/>
                <w:szCs w:val="22"/>
              </w:rPr>
              <w:t>i</w:t>
            </w:r>
            <w:proofErr w:type="spellEnd"/>
            <w:r w:rsidRPr="00B33BB6">
              <w:rPr>
                <w:rFonts w:eastAsia="Montserrat" w:cs="Arial"/>
                <w:szCs w:val="22"/>
              </w:rPr>
              <w:t xml:space="preserve"> for CTEC projects based on baseline KPT. Where fuels such as pellets and briquettes are made from a mix of renewable and non-renewable sources (e.g., renewable agricultural waste and non-renewable wood), each source should </w:t>
            </w:r>
            <w:r w:rsidRPr="00C3324D">
              <w:rPr>
                <w:rFonts w:eastAsia="Montserrat" w:cs="Arial"/>
                <w:szCs w:val="22"/>
              </w:rPr>
              <w:t xml:space="preserve">be considered its own fuel. (See example in </w:t>
            </w:r>
            <w:hyperlink w:anchor="footnote11" w:history="1">
              <w:r w:rsidRPr="00C3324D">
                <w:rPr>
                  <w:rStyle w:val="Hyperlink"/>
                  <w:rFonts w:eastAsia="Montserrat" w:cs="Arial"/>
                  <w:szCs w:val="22"/>
                  <w:lang w:val="en-GB"/>
                </w:rPr>
                <w:t>footnote 1</w:t>
              </w:r>
              <w:r w:rsidR="009D68C3" w:rsidRPr="00C3324D">
                <w:rPr>
                  <w:rStyle w:val="Hyperlink"/>
                  <w:rFonts w:eastAsia="Montserrat" w:cs="Arial"/>
                  <w:szCs w:val="22"/>
                </w:rPr>
                <w:t>1</w:t>
              </w:r>
            </w:hyperlink>
            <w:r w:rsidRPr="00C3324D">
              <w:rPr>
                <w:rFonts w:eastAsia="Montserrat" w:cs="Arial"/>
                <w:szCs w:val="22"/>
              </w:rPr>
              <w:t>)</w:t>
            </w:r>
            <w:r w:rsidRPr="00B33BB6">
              <w:rPr>
                <w:rFonts w:eastAsia="Montserrat" w:cs="Arial"/>
                <w:szCs w:val="22"/>
              </w:rPr>
              <w:t xml:space="preserve"> </w:t>
            </w:r>
          </w:p>
        </w:tc>
        <w:tc>
          <w:tcPr>
            <w:tcW w:w="2231" w:type="dxa"/>
          </w:tcPr>
          <w:p w14:paraId="7781B930" w14:textId="77777777" w:rsidR="00512211" w:rsidRPr="00B33BB6" w:rsidRDefault="00512211">
            <w:pPr>
              <w:rPr>
                <w:rFonts w:eastAsia="Montserrat" w:cs="Arial"/>
                <w:szCs w:val="22"/>
              </w:rPr>
            </w:pPr>
            <w:r w:rsidRPr="00B33BB6">
              <w:rPr>
                <w:rFonts w:eastAsia="Montserrat" w:cs="Arial"/>
                <w:szCs w:val="22"/>
              </w:rPr>
              <w:t>TJ/(person*year)</w:t>
            </w:r>
          </w:p>
        </w:tc>
      </w:tr>
      <w:tr w:rsidR="00512211" w:rsidRPr="00B33BB6" w14:paraId="6588C802" w14:textId="77777777" w:rsidTr="00D50D90">
        <w:tc>
          <w:tcPr>
            <w:tcW w:w="2263" w:type="dxa"/>
          </w:tcPr>
          <w:p w14:paraId="11503D6A" w14:textId="77777777" w:rsidR="00512211"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fNRB</m:t>
                    </m:r>
                  </m:e>
                  <m:sub>
                    <m:r>
                      <w:rPr>
                        <w:rFonts w:ascii="Cambria Math" w:eastAsia="Cambria Math" w:hAnsi="Cambria Math" w:cs="Arial"/>
                        <w:szCs w:val="22"/>
                      </w:rPr>
                      <m:t>i</m:t>
                    </m:r>
                  </m:sub>
                </m:sSub>
              </m:oMath>
            </m:oMathPara>
          </w:p>
        </w:tc>
        <w:tc>
          <w:tcPr>
            <w:tcW w:w="4715" w:type="dxa"/>
          </w:tcPr>
          <w:p w14:paraId="4E50D40A" w14:textId="77777777" w:rsidR="00512211" w:rsidRPr="00B33BB6" w:rsidRDefault="00512211">
            <w:pPr>
              <w:rPr>
                <w:rFonts w:eastAsia="Montserrat" w:cs="Arial"/>
                <w:szCs w:val="22"/>
              </w:rPr>
            </w:pPr>
            <w:r w:rsidRPr="00B33BB6">
              <w:rPr>
                <w:rFonts w:eastAsia="Montserrat" w:cs="Arial"/>
                <w:szCs w:val="22"/>
              </w:rPr>
              <w:t xml:space="preserve">Fraction of non-renewable woody biomass fuel </w:t>
            </w:r>
            <w:proofErr w:type="spellStart"/>
            <w:r w:rsidRPr="00B33BB6">
              <w:rPr>
                <w:rFonts w:eastAsia="Montserrat" w:cs="Arial"/>
                <w:i/>
                <w:szCs w:val="22"/>
              </w:rPr>
              <w:t>i</w:t>
            </w:r>
            <w:proofErr w:type="spellEnd"/>
            <w:r w:rsidRPr="00B33BB6">
              <w:rPr>
                <w:rFonts w:eastAsia="Montserrat" w:cs="Arial"/>
                <w:szCs w:val="22"/>
              </w:rPr>
              <w:t xml:space="preserve"> consumed. This parameter varies between zero and 100% for fuelwood, charcoal, and other solid biomass fuels that are not fully renewable. When renewable biomass fuels are used (defined above), this parameter is equal to zero. When fossil fuels are used, it is equal to 100%.</w:t>
            </w:r>
          </w:p>
        </w:tc>
        <w:tc>
          <w:tcPr>
            <w:tcW w:w="2231" w:type="dxa"/>
          </w:tcPr>
          <w:p w14:paraId="0DE356E2" w14:textId="77777777" w:rsidR="00512211" w:rsidRPr="00B33BB6" w:rsidRDefault="00512211">
            <w:pPr>
              <w:rPr>
                <w:rFonts w:eastAsia="Montserrat" w:cs="Arial"/>
                <w:szCs w:val="22"/>
              </w:rPr>
            </w:pPr>
            <w:r w:rsidRPr="00B33BB6">
              <w:rPr>
                <w:rFonts w:eastAsia="Montserrat" w:cs="Arial"/>
                <w:szCs w:val="22"/>
              </w:rPr>
              <w:t>%</w:t>
            </w:r>
          </w:p>
        </w:tc>
      </w:tr>
      <w:tr w:rsidR="00512211" w:rsidRPr="00B33BB6" w14:paraId="0F955A43" w14:textId="77777777" w:rsidTr="00D50D90">
        <w:tc>
          <w:tcPr>
            <w:tcW w:w="2263" w:type="dxa"/>
          </w:tcPr>
          <w:p w14:paraId="4B6DDF80" w14:textId="77777777" w:rsidR="00512211"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base,i,CO2</m:t>
                    </m:r>
                  </m:sub>
                </m:sSub>
              </m:oMath>
            </m:oMathPara>
          </w:p>
        </w:tc>
        <w:tc>
          <w:tcPr>
            <w:tcW w:w="4715" w:type="dxa"/>
          </w:tcPr>
          <w:p w14:paraId="5124051F" w14:textId="77777777" w:rsidR="00512211" w:rsidRPr="00B33BB6" w:rsidRDefault="00512211">
            <w:pPr>
              <w:rPr>
                <w:rFonts w:eastAsia="Montserrat" w:cs="Arial"/>
                <w:szCs w:val="22"/>
              </w:rPr>
            </w:pPr>
            <w:r w:rsidRPr="00B33BB6">
              <w:rPr>
                <w:rFonts w:eastAsia="Montserrat" w:cs="Arial"/>
                <w:szCs w:val="22"/>
              </w:rPr>
              <w:t>CO</w:t>
            </w:r>
            <w:r w:rsidRPr="00B33BB6">
              <w:rPr>
                <w:rFonts w:eastAsia="Montserrat" w:cs="Arial"/>
                <w:szCs w:val="22"/>
                <w:vertAlign w:val="subscript"/>
              </w:rPr>
              <w:t>2</w:t>
            </w:r>
            <w:r w:rsidRPr="00B33BB6">
              <w:rPr>
                <w:rFonts w:eastAsia="Montserrat" w:cs="Arial"/>
                <w:szCs w:val="22"/>
              </w:rPr>
              <w:t xml:space="preserve"> emission factor for baseline fuel</w:t>
            </w:r>
            <w:r w:rsidRPr="00B33BB6">
              <w:rPr>
                <w:rFonts w:eastAsia="Montserrat" w:cs="Arial"/>
                <w:i/>
                <w:szCs w:val="22"/>
              </w:rPr>
              <w:t xml:space="preserve"> </w:t>
            </w:r>
            <w:proofErr w:type="spellStart"/>
            <w:r w:rsidRPr="00B33BB6">
              <w:rPr>
                <w:rFonts w:eastAsia="Montserrat" w:cs="Arial"/>
                <w:i/>
                <w:szCs w:val="22"/>
              </w:rPr>
              <w:t>i</w:t>
            </w:r>
            <w:proofErr w:type="spellEnd"/>
            <w:r w:rsidRPr="00B33BB6">
              <w:rPr>
                <w:rFonts w:eastAsia="Montserrat" w:cs="Arial"/>
                <w:szCs w:val="22"/>
              </w:rPr>
              <w:t xml:space="preserve"> </w:t>
            </w:r>
          </w:p>
        </w:tc>
        <w:tc>
          <w:tcPr>
            <w:tcW w:w="2231" w:type="dxa"/>
          </w:tcPr>
          <w:p w14:paraId="6DE54502" w14:textId="77777777" w:rsidR="00512211" w:rsidRPr="00B33BB6" w:rsidRDefault="00512211">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e/TJ</w:t>
            </w:r>
          </w:p>
        </w:tc>
      </w:tr>
      <w:tr w:rsidR="00512211" w:rsidRPr="00B33BB6" w14:paraId="320786FF" w14:textId="77777777" w:rsidTr="00D50D90">
        <w:tc>
          <w:tcPr>
            <w:tcW w:w="2263" w:type="dxa"/>
          </w:tcPr>
          <w:p w14:paraId="6FB46B78" w14:textId="77777777" w:rsidR="00512211"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base,i,nonCO2</m:t>
                    </m:r>
                  </m:sub>
                </m:sSub>
              </m:oMath>
            </m:oMathPara>
          </w:p>
        </w:tc>
        <w:tc>
          <w:tcPr>
            <w:tcW w:w="4715" w:type="dxa"/>
          </w:tcPr>
          <w:p w14:paraId="778BBE18" w14:textId="77777777" w:rsidR="00512211" w:rsidRPr="00B33BB6" w:rsidRDefault="00512211">
            <w:pPr>
              <w:rPr>
                <w:rFonts w:eastAsia="Montserrat" w:cs="Arial"/>
                <w:szCs w:val="22"/>
              </w:rPr>
            </w:pPr>
            <w:r w:rsidRPr="00B33BB6">
              <w:rPr>
                <w:rFonts w:eastAsia="Montserrat" w:cs="Arial"/>
                <w:szCs w:val="22"/>
              </w:rPr>
              <w:t>Non-CO</w:t>
            </w:r>
            <w:r w:rsidRPr="00B33BB6">
              <w:rPr>
                <w:rFonts w:eastAsia="Montserrat" w:cs="Arial"/>
                <w:szCs w:val="22"/>
                <w:vertAlign w:val="subscript"/>
              </w:rPr>
              <w:t>2</w:t>
            </w:r>
            <w:r w:rsidRPr="00B33BB6">
              <w:rPr>
                <w:rFonts w:eastAsia="Montserrat" w:cs="Arial"/>
                <w:szCs w:val="22"/>
              </w:rPr>
              <w:t xml:space="preserve"> emission factor for baseline fuel </w:t>
            </w:r>
            <w:proofErr w:type="spellStart"/>
            <w:r w:rsidRPr="00B33BB6">
              <w:rPr>
                <w:rFonts w:eastAsia="Montserrat" w:cs="Arial"/>
                <w:i/>
                <w:szCs w:val="22"/>
              </w:rPr>
              <w:t>i</w:t>
            </w:r>
            <w:proofErr w:type="spellEnd"/>
            <w:r w:rsidRPr="00B33BB6">
              <w:rPr>
                <w:rFonts w:eastAsia="Montserrat" w:cs="Arial"/>
                <w:szCs w:val="22"/>
              </w:rPr>
              <w:t xml:space="preserve"> </w:t>
            </w:r>
          </w:p>
        </w:tc>
        <w:tc>
          <w:tcPr>
            <w:tcW w:w="2231" w:type="dxa"/>
          </w:tcPr>
          <w:p w14:paraId="4708A750" w14:textId="77777777" w:rsidR="00512211" w:rsidRPr="00B33BB6" w:rsidRDefault="00512211">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e/TJ</w:t>
            </w:r>
          </w:p>
        </w:tc>
      </w:tr>
      <w:tr w:rsidR="00512211" w:rsidRPr="00B33BB6" w14:paraId="18D28262" w14:textId="77777777" w:rsidTr="00D50D90">
        <w:tc>
          <w:tcPr>
            <w:tcW w:w="2263" w:type="dxa"/>
          </w:tcPr>
          <w:p w14:paraId="65D2C3CB" w14:textId="77777777" w:rsidR="00512211" w:rsidRPr="00B33BB6" w:rsidRDefault="0001396C">
            <w:pPr>
              <w:rPr>
                <w:rFonts w:eastAsia="Montserrat" w:cs="Arial"/>
                <w:szCs w:val="22"/>
              </w:rPr>
            </w:pPr>
            <m:oMathPara>
              <m:oMath>
                <m:r>
                  <w:rPr>
                    <w:rFonts w:ascii="Cambria Math" w:eastAsia="Cambria Math" w:hAnsi="Cambria Math" w:cs="Arial"/>
                    <w:szCs w:val="22"/>
                  </w:rPr>
                  <m:t>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proj,KPT,j-project</m:t>
                    </m:r>
                  </m:sub>
                </m:sSub>
              </m:oMath>
            </m:oMathPara>
          </w:p>
        </w:tc>
        <w:tc>
          <w:tcPr>
            <w:tcW w:w="4715" w:type="dxa"/>
          </w:tcPr>
          <w:p w14:paraId="61AE36CF" w14:textId="77777777" w:rsidR="00512211" w:rsidRPr="00B33BB6" w:rsidRDefault="00512211">
            <w:pPr>
              <w:rPr>
                <w:rFonts w:eastAsia="Montserrat" w:cs="Arial"/>
                <w:szCs w:val="22"/>
              </w:rPr>
            </w:pPr>
            <w:r w:rsidRPr="00B33BB6">
              <w:rPr>
                <w:rFonts w:eastAsia="Montserrat" w:cs="Arial"/>
                <w:szCs w:val="22"/>
              </w:rPr>
              <w:t xml:space="preserve">Tracked energy consumption of project fuel </w:t>
            </w:r>
            <w:r w:rsidRPr="00B33BB6">
              <w:rPr>
                <w:rFonts w:eastAsia="Montserrat" w:cs="Arial"/>
                <w:i/>
                <w:szCs w:val="22"/>
              </w:rPr>
              <w:t>j</w:t>
            </w:r>
            <w:r w:rsidRPr="00B33BB6">
              <w:rPr>
                <w:rFonts w:eastAsia="Montserrat" w:cs="Arial"/>
                <w:szCs w:val="22"/>
              </w:rPr>
              <w:t xml:space="preserve"> for project cookstove(s) only from project KPT </w:t>
            </w:r>
          </w:p>
        </w:tc>
        <w:tc>
          <w:tcPr>
            <w:tcW w:w="2231" w:type="dxa"/>
          </w:tcPr>
          <w:p w14:paraId="73798AE6" w14:textId="77777777" w:rsidR="00512211" w:rsidRPr="00B33BB6" w:rsidRDefault="00512211">
            <w:pPr>
              <w:rPr>
                <w:rFonts w:eastAsia="Montserrat" w:cs="Arial"/>
                <w:szCs w:val="22"/>
              </w:rPr>
            </w:pPr>
            <w:r w:rsidRPr="00B33BB6">
              <w:rPr>
                <w:rFonts w:eastAsia="Montserrat" w:cs="Arial"/>
                <w:szCs w:val="22"/>
              </w:rPr>
              <w:t>TJ/(person*year) or kWh/(person* year)</w:t>
            </w:r>
          </w:p>
        </w:tc>
      </w:tr>
    </w:tbl>
    <w:p w14:paraId="5EE0A192" w14:textId="77777777" w:rsidR="00512211" w:rsidRPr="00B33BB6" w:rsidRDefault="00512211" w:rsidP="00512211">
      <w:pPr>
        <w:rPr>
          <w:rFonts w:eastAsia="Montserrat" w:cs="Arial"/>
          <w:szCs w:val="22"/>
        </w:rPr>
      </w:pPr>
    </w:p>
    <w:p w14:paraId="6AA3522D" w14:textId="761A848F" w:rsidR="000B76EE" w:rsidRPr="00B33BB6" w:rsidRDefault="00512211" w:rsidP="000B76EE">
      <w:pPr>
        <w:pStyle w:val="SDMSubPara1"/>
        <w:rPr>
          <w:rFonts w:eastAsia="Montserrat"/>
        </w:rPr>
      </w:pPr>
      <w:r w:rsidRPr="000B76EE">
        <w:rPr>
          <w:rFonts w:eastAsia="Montserrat"/>
        </w:rPr>
        <w:t xml:space="preserve">For baseline energy sources </w:t>
      </w:r>
      <m:oMath>
        <m:sSub>
          <m:sSubPr>
            <m:ctrlPr>
              <w:rPr>
                <w:rFonts w:ascii="Cambria Math" w:eastAsia="Cambria Math" w:hAnsi="Cambria Math"/>
              </w:rPr>
            </m:ctrlPr>
          </m:sSubPr>
          <m:e>
            <m:r>
              <w:rPr>
                <w:rFonts w:ascii="Cambria Math" w:eastAsia="Cambria Math" w:hAnsi="Cambria Math"/>
              </w:rPr>
              <m:t>EC</m:t>
            </m:r>
          </m:e>
          <m:sub>
            <m:r>
              <w:rPr>
                <w:rFonts w:ascii="Cambria Math" w:eastAsia="Cambria Math" w:hAnsi="Cambria Math"/>
              </w:rPr>
              <m:t>base</m:t>
            </m:r>
            <m:r>
              <m:rPr>
                <m:sty m:val="p"/>
              </m:rPr>
              <w:rPr>
                <w:rFonts w:ascii="Cambria Math" w:eastAsia="Cambria Math" w:hAnsi="Cambria Math"/>
              </w:rPr>
              <m:t>,</m:t>
            </m:r>
            <m:r>
              <w:rPr>
                <w:rFonts w:ascii="Cambria Math" w:eastAsia="Cambria Math" w:hAnsi="Cambria Math"/>
              </w:rPr>
              <m:t>KPT</m:t>
            </m:r>
            <m:r>
              <m:rPr>
                <m:sty m:val="p"/>
              </m:rPr>
              <w:rPr>
                <w:rFonts w:ascii="Cambria Math" w:eastAsia="Cambria Math" w:hAnsi="Cambria Math"/>
              </w:rPr>
              <m:t>,</m:t>
            </m:r>
            <m:r>
              <w:rPr>
                <w:rFonts w:ascii="Cambria Math" w:eastAsia="Cambria Math" w:hAnsi="Cambria Math"/>
              </w:rPr>
              <m:t>i</m:t>
            </m:r>
          </m:sub>
        </m:sSub>
        <m:r>
          <m:rPr>
            <m:sty m:val="p"/>
          </m:rPr>
          <w:rPr>
            <w:rFonts w:ascii="Cambria Math" w:eastAsia="Cambria Math" w:hAnsi="Cambria Math"/>
          </w:rPr>
          <m:t xml:space="preserve"> </m:t>
        </m:r>
      </m:oMath>
      <w:r w:rsidRPr="000B76EE">
        <w:rPr>
          <w:rFonts w:eastAsia="Montserrat"/>
        </w:rPr>
        <w:t xml:space="preserve">other than electricity, use </w:t>
      </w:r>
      <w:hyperlink w:anchor="e1" w:history="1">
        <w:r w:rsidRPr="000B76EE">
          <w:rPr>
            <w:rStyle w:val="Hyperlink"/>
            <w:rFonts w:eastAsia="Montserrat"/>
          </w:rPr>
          <w:t>Equation (1)</w:t>
        </w:r>
      </w:hyperlink>
      <w:r w:rsidRPr="000B76EE">
        <w:rPr>
          <w:rFonts w:eastAsia="Montserrat"/>
        </w:rPr>
        <w:t xml:space="preserve"> to convert fuel masses to fuel energy.</w:t>
      </w:r>
    </w:p>
    <w:p w14:paraId="58A6B928" w14:textId="77777777" w:rsidR="000B76EE" w:rsidRPr="00B33BB6" w:rsidRDefault="00512211" w:rsidP="000B76EE">
      <w:pPr>
        <w:pStyle w:val="SDMSubPara1"/>
        <w:rPr>
          <w:rFonts w:eastAsia="Montserrat"/>
        </w:rPr>
      </w:pPr>
      <w:r w:rsidRPr="000B76EE">
        <w:rPr>
          <w:rFonts w:eastAsia="Montserrat"/>
        </w:rPr>
        <w:t>If project cookstove energy use is in the form of electricity, then the equation will result in a quotient in terms of tCO</w:t>
      </w:r>
      <w:r w:rsidRPr="000B76EE">
        <w:rPr>
          <w:rFonts w:eastAsia="Montserrat"/>
          <w:vertAlign w:val="subscript"/>
        </w:rPr>
        <w:t>2</w:t>
      </w:r>
      <w:r w:rsidRPr="000B76EE">
        <w:rPr>
          <w:rFonts w:eastAsia="Montserrat"/>
        </w:rPr>
        <w:t>e/kWh.</w:t>
      </w:r>
    </w:p>
    <w:p w14:paraId="43825F66" w14:textId="3DB3BD21" w:rsidR="00EF1575" w:rsidRPr="000B76EE" w:rsidRDefault="00512211" w:rsidP="000B76EE">
      <w:pPr>
        <w:pStyle w:val="SDMSubPara1"/>
        <w:rPr>
          <w:rFonts w:eastAsia="Montserrat"/>
        </w:rPr>
      </w:pPr>
      <w:r w:rsidRPr="000B76EE">
        <w:rPr>
          <w:rFonts w:eastAsia="Montserrat"/>
        </w:rPr>
        <w:t>Baseline fuel consumption caps and flags described above apply.</w:t>
      </w:r>
    </w:p>
    <w:p w14:paraId="44A54BD8" w14:textId="77777777" w:rsidR="00EF1575" w:rsidRDefault="00EF1575" w:rsidP="00EF1575">
      <w:pPr>
        <w:pBdr>
          <w:top w:val="nil"/>
          <w:left w:val="nil"/>
          <w:bottom w:val="nil"/>
          <w:right w:val="nil"/>
          <w:between w:val="nil"/>
        </w:pBdr>
        <w:rPr>
          <w:rFonts w:eastAsia="Montserrat" w:cs="Arial"/>
          <w:b/>
          <w:szCs w:val="22"/>
        </w:rPr>
      </w:pPr>
    </w:p>
    <w:p w14:paraId="1D3215AC" w14:textId="77777777" w:rsidR="000B76EE" w:rsidRPr="000B76EE" w:rsidRDefault="00EF1575" w:rsidP="000D4A80">
      <w:pPr>
        <w:pStyle w:val="SDMPara"/>
        <w:pBdr>
          <w:top w:val="nil"/>
          <w:left w:val="nil"/>
          <w:bottom w:val="nil"/>
          <w:right w:val="nil"/>
          <w:between w:val="nil"/>
        </w:pBdr>
        <w:rPr>
          <w:rFonts w:eastAsia="Montserrat"/>
        </w:rPr>
      </w:pPr>
      <w:r w:rsidRPr="000D4A80">
        <w:rPr>
          <w:rFonts w:eastAsia="Montserrat"/>
          <w:b/>
        </w:rPr>
        <w:t xml:space="preserve">Baseline emissions for non-CTEC projects </w:t>
      </w:r>
    </w:p>
    <w:p w14:paraId="7BBA67B9" w14:textId="7B92AA89" w:rsidR="00EF1575" w:rsidRPr="000B76EE" w:rsidRDefault="000B76EE" w:rsidP="000B76EE">
      <w:pPr>
        <w:pStyle w:val="SDMSubPara1"/>
        <w:pBdr>
          <w:top w:val="nil"/>
          <w:left w:val="nil"/>
          <w:bottom w:val="nil"/>
          <w:right w:val="nil"/>
          <w:between w:val="nil"/>
        </w:pBdr>
        <w:rPr>
          <w:rFonts w:eastAsia="Montserrat"/>
        </w:rPr>
      </w:pPr>
      <w:r>
        <w:rPr>
          <w:rFonts w:eastAsia="Montserrat"/>
        </w:rPr>
        <w:t xml:space="preserve">Baseline emissions for non-CTEC projects </w:t>
      </w:r>
      <w:r w:rsidR="00EF1575" w:rsidRPr="000B76EE">
        <w:rPr>
          <w:rFonts w:eastAsia="Montserrat"/>
        </w:rPr>
        <w:t>are calculated using Equation (17).</w:t>
      </w:r>
    </w:p>
    <w:p w14:paraId="392A1AD2" w14:textId="77777777" w:rsidR="00EF1575" w:rsidRPr="00B33BB6" w:rsidRDefault="00EF1575" w:rsidP="00EF1575">
      <w:pPr>
        <w:pBdr>
          <w:top w:val="nil"/>
          <w:left w:val="nil"/>
          <w:bottom w:val="nil"/>
          <w:right w:val="nil"/>
          <w:between w:val="nil"/>
        </w:pBdr>
        <w:rPr>
          <w:rFonts w:eastAsia="Montserrat" w:cs="Arial"/>
          <w:szCs w:val="22"/>
        </w:rPr>
      </w:pPr>
    </w:p>
    <w:tbl>
      <w:tblPr>
        <w:tblW w:w="9420" w:type="dxa"/>
        <w:tblInd w:w="601" w:type="dxa"/>
        <w:tblBorders>
          <w:top w:val="nil"/>
          <w:left w:val="nil"/>
          <w:bottom w:val="nil"/>
          <w:right w:val="nil"/>
          <w:insideH w:val="nil"/>
          <w:insideV w:val="nil"/>
        </w:tblBorders>
        <w:tblLayout w:type="fixed"/>
        <w:tblLook w:val="0400" w:firstRow="0" w:lastRow="0" w:firstColumn="0" w:lastColumn="0" w:noHBand="0" w:noVBand="1"/>
      </w:tblPr>
      <w:tblGrid>
        <w:gridCol w:w="8715"/>
        <w:gridCol w:w="705"/>
      </w:tblGrid>
      <w:tr w:rsidR="00EF1575" w:rsidRPr="00B33BB6" w14:paraId="171B4997" w14:textId="77777777" w:rsidTr="00D50D90">
        <w:tc>
          <w:tcPr>
            <w:tcW w:w="8715" w:type="dxa"/>
            <w:vAlign w:val="center"/>
          </w:tcPr>
          <w:p w14:paraId="1F53B273" w14:textId="77777777" w:rsidR="00EF1575" w:rsidRPr="00B33BB6" w:rsidRDefault="00000000">
            <w:pPr>
              <w:jc w:val="center"/>
              <w:rPr>
                <w:rFonts w:eastAsia="Cambria Math"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y</m:t>
                    </m:r>
                  </m:sub>
                </m:sSub>
                <m:r>
                  <w:rPr>
                    <w:rFonts w:ascii="Cambria Math" w:eastAsia="Cambria Math" w:hAnsi="Cambria Math" w:cs="Arial"/>
                    <w:szCs w:val="22"/>
                  </w:rPr>
                  <m:t xml:space="preserve"> =  </m:t>
                </m:r>
                <m:nary>
                  <m:naryPr>
                    <m:chr m:val="∑"/>
                    <m:supHide m:val="1"/>
                    <m:ctrlPr>
                      <w:rPr>
                        <w:rFonts w:ascii="Cambria Math" w:eastAsia="Cambria Math" w:hAnsi="Cambria Math" w:cs="Arial"/>
                        <w:i/>
                        <w:szCs w:val="22"/>
                      </w:rPr>
                    </m:ctrlPr>
                  </m:naryPr>
                  <m:sub>
                    <m:r>
                      <w:rPr>
                        <w:rFonts w:ascii="Cambria Math" w:eastAsia="Cambria Math" w:hAnsi="Cambria Math" w:cs="Arial"/>
                        <w:szCs w:val="22"/>
                      </w:rPr>
                      <m:t>i</m:t>
                    </m:r>
                  </m:sub>
                  <m:sup/>
                  <m:e>
                    <m:r>
                      <w:rPr>
                        <w:rFonts w:ascii="Cambria Math" w:eastAsia="Cambria Math" w:hAnsi="Cambria Math" w:cs="Arial"/>
                        <w:szCs w:val="22"/>
                      </w:rPr>
                      <m:t xml:space="preserve"> </m:t>
                    </m:r>
                  </m:e>
                </m:nary>
                <m:d>
                  <m:dPr>
                    <m:ctrlPr>
                      <w:rPr>
                        <w:rFonts w:ascii="Cambria Math" w:eastAsia="Cambria Math" w:hAnsi="Cambria Math" w:cs="Arial"/>
                        <w:i/>
                        <w:szCs w:val="22"/>
                      </w:rPr>
                    </m:ctrlPr>
                  </m:dPr>
                  <m:e>
                    <m:sSub>
                      <m:sSubPr>
                        <m:ctrlPr>
                          <w:rPr>
                            <w:rFonts w:ascii="Cambria Math" w:eastAsia="Cambria Math" w:hAnsi="Cambria Math" w:cs="Arial"/>
                            <w:i/>
                            <w:szCs w:val="22"/>
                          </w:rPr>
                        </m:ctrlPr>
                      </m:sSubPr>
                      <m:e>
                        <m:r>
                          <w:rPr>
                            <w:rFonts w:ascii="Cambria Math" w:eastAsia="Cambria Math" w:hAnsi="Cambria Math" w:cs="Arial"/>
                            <w:szCs w:val="22"/>
                          </w:rPr>
                          <m:t>EC</m:t>
                        </m:r>
                      </m:e>
                      <m:sub>
                        <m:r>
                          <w:rPr>
                            <w:rFonts w:ascii="Cambria Math" w:eastAsia="Cambria Math" w:hAnsi="Cambria Math" w:cs="Arial"/>
                            <w:szCs w:val="22"/>
                          </w:rPr>
                          <m:t>base,i,y</m:t>
                        </m:r>
                      </m:sub>
                    </m:sSub>
                    <m:r>
                      <w:rPr>
                        <w:rFonts w:ascii="Cambria Math" w:eastAsia="Cambria Math" w:hAnsi="Cambria Math" w:cs="Arial"/>
                        <w:szCs w:val="22"/>
                      </w:rPr>
                      <m:t>×</m:t>
                    </m:r>
                    <m:d>
                      <m:dPr>
                        <m:ctrlPr>
                          <w:rPr>
                            <w:rFonts w:ascii="Cambria Math" w:eastAsia="Cambria Math" w:hAnsi="Cambria Math" w:cs="Arial"/>
                            <w:i/>
                            <w:szCs w:val="22"/>
                          </w:rPr>
                        </m:ctrlPr>
                      </m:dPr>
                      <m:e>
                        <m:sSub>
                          <m:sSubPr>
                            <m:ctrlPr>
                              <w:rPr>
                                <w:rFonts w:ascii="Cambria Math" w:eastAsia="Cambria Math" w:hAnsi="Cambria Math" w:cs="Arial"/>
                                <w:i/>
                                <w:szCs w:val="22"/>
                              </w:rPr>
                            </m:ctrlPr>
                          </m:sSubPr>
                          <m:e>
                            <m:r>
                              <w:rPr>
                                <w:rFonts w:ascii="Cambria Math" w:eastAsia="Cambria Math" w:hAnsi="Cambria Math" w:cs="Arial"/>
                                <w:szCs w:val="22"/>
                              </w:rPr>
                              <m:t>fNRB</m:t>
                            </m:r>
                          </m:e>
                          <m:sub>
                            <m:r>
                              <w:rPr>
                                <w:rFonts w:ascii="Cambria Math" w:eastAsia="Cambria Math" w:hAnsi="Cambria Math" w:cs="Arial"/>
                                <w:szCs w:val="22"/>
                              </w:rPr>
                              <m:t>i</m:t>
                            </m:r>
                          </m:sub>
                        </m:sSub>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base,i,CO2</m:t>
                            </m:r>
                          </m:sub>
                        </m:sSub>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base,i,nonCO2</m:t>
                            </m:r>
                          </m:sub>
                        </m:sSub>
                      </m:e>
                    </m:d>
                  </m:e>
                </m:d>
                <m:r>
                  <w:rPr>
                    <w:rFonts w:ascii="Cambria Math" w:eastAsia="Cambria Math" w:hAnsi="Cambria Math" w:cs="Arial"/>
                    <w:szCs w:val="22"/>
                  </w:rPr>
                  <m:t>+</m:t>
                </m:r>
                <m:nary>
                  <m:naryPr>
                    <m:chr m:val="∑"/>
                    <m:supHide m:val="1"/>
                    <m:ctrlPr>
                      <w:rPr>
                        <w:rFonts w:ascii="Cambria Math" w:eastAsia="Cambria Math" w:hAnsi="Cambria Math" w:cs="Arial"/>
                        <w:i/>
                        <w:szCs w:val="22"/>
                      </w:rPr>
                    </m:ctrlPr>
                  </m:naryPr>
                  <m:sub>
                    <m:r>
                      <w:rPr>
                        <w:rFonts w:ascii="Cambria Math" w:eastAsia="Cambria Math" w:hAnsi="Cambria Math" w:cs="Arial"/>
                        <w:szCs w:val="22"/>
                      </w:rPr>
                      <m:t>i</m:t>
                    </m:r>
                  </m:sub>
                  <m:sup/>
                  <m:e>
                    <m:r>
                      <w:rPr>
                        <w:rFonts w:ascii="Cambria Math" w:eastAsia="Cambria Math" w:hAnsi="Cambria Math" w:cs="Arial"/>
                        <w:szCs w:val="22"/>
                      </w:rPr>
                      <m:t xml:space="preserve"> </m:t>
                    </m:r>
                  </m:e>
                </m:nary>
                <m:sSub>
                  <m:sSubPr>
                    <m:ctrlPr>
                      <w:rPr>
                        <w:rFonts w:ascii="Cambria Math" w:eastAsia="Cambria Math" w:hAnsi="Cambria Math" w:cs="Arial"/>
                        <w:i/>
                        <w:szCs w:val="22"/>
                      </w:rPr>
                    </m:ctrlPr>
                  </m:sSubPr>
                  <m:e>
                    <m:r>
                      <w:rPr>
                        <w:rFonts w:ascii="Cambria Math" w:eastAsia="Cambria Math" w:hAnsi="Cambria Math" w:cs="Arial"/>
                        <w:szCs w:val="22"/>
                      </w:rPr>
                      <m:t>UE</m:t>
                    </m:r>
                  </m:e>
                  <m:sub>
                    <m:r>
                      <w:rPr>
                        <w:rFonts w:ascii="Cambria Math" w:eastAsia="Cambria Math" w:hAnsi="Cambria Math" w:cs="Arial"/>
                        <w:szCs w:val="22"/>
                      </w:rPr>
                      <m:t>base,i,y</m:t>
                    </m:r>
                  </m:sub>
                </m:sSub>
              </m:oMath>
            </m:oMathPara>
          </w:p>
        </w:tc>
        <w:tc>
          <w:tcPr>
            <w:tcW w:w="705" w:type="dxa"/>
            <w:vAlign w:val="center"/>
          </w:tcPr>
          <w:p w14:paraId="68F1962E" w14:textId="77777777" w:rsidR="00EF1575" w:rsidRPr="00B33BB6" w:rsidRDefault="00EF1575">
            <w:pPr>
              <w:spacing w:before="240"/>
              <w:rPr>
                <w:rFonts w:cs="Arial"/>
                <w:szCs w:val="22"/>
              </w:rPr>
            </w:pPr>
            <w:bookmarkStart w:id="52" w:name="e17"/>
            <w:r w:rsidRPr="00B33BB6">
              <w:rPr>
                <w:rFonts w:cs="Arial"/>
                <w:szCs w:val="22"/>
              </w:rPr>
              <w:t>(17)</w:t>
            </w:r>
            <w:bookmarkEnd w:id="52"/>
          </w:p>
        </w:tc>
      </w:tr>
    </w:tbl>
    <w:p w14:paraId="0CE2E865" w14:textId="77777777" w:rsidR="00EF1575" w:rsidRPr="00B33BB6" w:rsidRDefault="00EF1575" w:rsidP="00EF1575">
      <w:pPr>
        <w:pBdr>
          <w:top w:val="nil"/>
          <w:left w:val="nil"/>
          <w:bottom w:val="nil"/>
          <w:right w:val="nil"/>
          <w:between w:val="nil"/>
        </w:pBdr>
        <w:rPr>
          <w:rFonts w:eastAsia="Montserrat" w:cs="Arial"/>
          <w:szCs w:val="22"/>
        </w:rPr>
      </w:pPr>
    </w:p>
    <w:p w14:paraId="4E2AE56A" w14:textId="77777777" w:rsidR="00DF570E" w:rsidRDefault="00DF570E">
      <w:pPr>
        <w:jc w:val="left"/>
        <w:rPr>
          <w:rFonts w:eastAsia="Montserrat" w:cs="Arial"/>
          <w:szCs w:val="22"/>
        </w:rPr>
      </w:pPr>
      <w:r>
        <w:rPr>
          <w:rFonts w:eastAsia="Montserrat" w:cs="Arial"/>
          <w:szCs w:val="22"/>
        </w:rPr>
        <w:br w:type="page"/>
      </w:r>
    </w:p>
    <w:p w14:paraId="77FA298E" w14:textId="5DDEFA08" w:rsidR="00EF1575" w:rsidRPr="00B33BB6" w:rsidRDefault="00EF1575" w:rsidP="00D50D90">
      <w:pPr>
        <w:pBdr>
          <w:top w:val="nil"/>
          <w:left w:val="nil"/>
          <w:bottom w:val="nil"/>
          <w:right w:val="nil"/>
          <w:between w:val="nil"/>
        </w:pBdr>
        <w:ind w:left="709"/>
        <w:rPr>
          <w:rFonts w:eastAsia="Montserrat" w:cs="Arial"/>
          <w:szCs w:val="22"/>
        </w:rPr>
      </w:pPr>
      <w:r w:rsidRPr="00B33BB6">
        <w:rPr>
          <w:rFonts w:eastAsia="Montserrat" w:cs="Arial"/>
          <w:szCs w:val="22"/>
        </w:rPr>
        <w:lastRenderedPageBreak/>
        <w:t>Where:</w:t>
      </w:r>
    </w:p>
    <w:p w14:paraId="531915A2" w14:textId="77777777" w:rsidR="00EF1575" w:rsidRPr="00B33BB6" w:rsidRDefault="00EF1575" w:rsidP="00EF1575">
      <w:pPr>
        <w:pBdr>
          <w:top w:val="nil"/>
          <w:left w:val="nil"/>
          <w:bottom w:val="nil"/>
          <w:right w:val="nil"/>
          <w:between w:val="nil"/>
        </w:pBdr>
        <w:rPr>
          <w:rFonts w:eastAsia="Montserrat" w:cs="Arial"/>
          <w:szCs w:val="22"/>
        </w:rPr>
      </w:pPr>
    </w:p>
    <w:tbl>
      <w:tblPr>
        <w:tblStyle w:val="TableGrid"/>
        <w:tblW w:w="9209" w:type="dxa"/>
        <w:tblInd w:w="596" w:type="dxa"/>
        <w:tblLook w:val="04A0" w:firstRow="1" w:lastRow="0" w:firstColumn="1" w:lastColumn="0" w:noHBand="0" w:noVBand="1"/>
      </w:tblPr>
      <w:tblGrid>
        <w:gridCol w:w="1660"/>
        <w:gridCol w:w="6182"/>
        <w:gridCol w:w="1367"/>
      </w:tblGrid>
      <w:tr w:rsidR="00EF1575" w:rsidRPr="00B33BB6" w14:paraId="070330AC" w14:textId="77777777" w:rsidTr="00D50D90">
        <w:tc>
          <w:tcPr>
            <w:tcW w:w="1660" w:type="dxa"/>
          </w:tcPr>
          <w:p w14:paraId="045FDB05" w14:textId="77777777" w:rsidR="00EF1575" w:rsidRPr="00B33BB6" w:rsidRDefault="00EF1575">
            <w:pPr>
              <w:rPr>
                <w:rFonts w:eastAsia="Montserrat" w:cs="Arial"/>
                <w:b/>
                <w:szCs w:val="22"/>
              </w:rPr>
            </w:pPr>
            <w:r w:rsidRPr="00B33BB6">
              <w:rPr>
                <w:rFonts w:eastAsia="Montserrat" w:cs="Arial"/>
                <w:b/>
                <w:szCs w:val="22"/>
              </w:rPr>
              <w:t>Parameter</w:t>
            </w:r>
          </w:p>
        </w:tc>
        <w:tc>
          <w:tcPr>
            <w:tcW w:w="6182" w:type="dxa"/>
          </w:tcPr>
          <w:p w14:paraId="6C620942" w14:textId="77777777" w:rsidR="00EF1575" w:rsidRPr="00B33BB6" w:rsidRDefault="00EF1575">
            <w:pPr>
              <w:rPr>
                <w:rFonts w:eastAsia="Montserrat" w:cs="Arial"/>
                <w:b/>
                <w:szCs w:val="22"/>
              </w:rPr>
            </w:pPr>
            <w:r w:rsidRPr="00B33BB6">
              <w:rPr>
                <w:rFonts w:eastAsia="Montserrat" w:cs="Arial"/>
                <w:b/>
                <w:szCs w:val="22"/>
              </w:rPr>
              <w:t>Description</w:t>
            </w:r>
          </w:p>
        </w:tc>
        <w:tc>
          <w:tcPr>
            <w:tcW w:w="1367" w:type="dxa"/>
          </w:tcPr>
          <w:p w14:paraId="080A1CE5" w14:textId="77777777" w:rsidR="00EF1575" w:rsidRPr="00B33BB6" w:rsidRDefault="00EF1575">
            <w:pPr>
              <w:rPr>
                <w:rFonts w:eastAsia="Montserrat" w:cs="Arial"/>
                <w:b/>
                <w:szCs w:val="22"/>
              </w:rPr>
            </w:pPr>
            <w:r w:rsidRPr="00B33BB6">
              <w:rPr>
                <w:rFonts w:eastAsia="Montserrat" w:cs="Arial"/>
                <w:b/>
                <w:szCs w:val="22"/>
              </w:rPr>
              <w:t>Unit</w:t>
            </w:r>
          </w:p>
        </w:tc>
      </w:tr>
      <w:tr w:rsidR="00EF1575" w:rsidRPr="00B33BB6" w14:paraId="1563D74E" w14:textId="77777777" w:rsidTr="00D50D90">
        <w:tc>
          <w:tcPr>
            <w:tcW w:w="1660" w:type="dxa"/>
          </w:tcPr>
          <w:p w14:paraId="206EE1CC" w14:textId="77777777" w:rsidR="00EF1575"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BE</m:t>
                    </m:r>
                  </m:e>
                  <m:sub>
                    <m:r>
                      <w:rPr>
                        <w:rFonts w:ascii="Cambria Math" w:eastAsia="Cambria Math" w:hAnsi="Cambria Math" w:cs="Arial"/>
                        <w:szCs w:val="22"/>
                      </w:rPr>
                      <m:t>y</m:t>
                    </m:r>
                  </m:sub>
                </m:sSub>
              </m:oMath>
            </m:oMathPara>
          </w:p>
        </w:tc>
        <w:tc>
          <w:tcPr>
            <w:tcW w:w="6182" w:type="dxa"/>
          </w:tcPr>
          <w:p w14:paraId="58D90222" w14:textId="77777777" w:rsidR="00EF1575" w:rsidRPr="00B33BB6" w:rsidRDefault="00EF1575">
            <w:pPr>
              <w:rPr>
                <w:rFonts w:eastAsia="Montserrat" w:cs="Arial"/>
                <w:b/>
                <w:szCs w:val="22"/>
              </w:rPr>
            </w:pPr>
            <w:r w:rsidRPr="00B33BB6">
              <w:rPr>
                <w:rFonts w:eastAsia="Montserrat" w:cs="Arial"/>
                <w:szCs w:val="22"/>
              </w:rPr>
              <w:t xml:space="preserve">Baseline emissions during year </w:t>
            </w:r>
            <w:r w:rsidRPr="00B33BB6">
              <w:rPr>
                <w:rFonts w:eastAsia="Montserrat" w:cs="Arial"/>
                <w:i/>
                <w:szCs w:val="22"/>
              </w:rPr>
              <w:t>y</w:t>
            </w:r>
          </w:p>
        </w:tc>
        <w:tc>
          <w:tcPr>
            <w:tcW w:w="1367" w:type="dxa"/>
          </w:tcPr>
          <w:p w14:paraId="1833C6F1" w14:textId="77777777" w:rsidR="00EF1575" w:rsidRPr="00B33BB6" w:rsidRDefault="00EF1575">
            <w:pPr>
              <w:rPr>
                <w:rFonts w:eastAsia="Montserrat" w:cs="Arial"/>
                <w:b/>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EF1575" w:rsidRPr="00B33BB6" w14:paraId="288FA7F8" w14:textId="77777777" w:rsidTr="00D50D90">
        <w:tc>
          <w:tcPr>
            <w:tcW w:w="1660" w:type="dxa"/>
          </w:tcPr>
          <w:p w14:paraId="32479750" w14:textId="77777777" w:rsidR="00EF1575"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base,i,y</m:t>
                    </m:r>
                  </m:sub>
                </m:sSub>
              </m:oMath>
            </m:oMathPara>
          </w:p>
        </w:tc>
        <w:tc>
          <w:tcPr>
            <w:tcW w:w="6182" w:type="dxa"/>
          </w:tcPr>
          <w:p w14:paraId="7F84B8F1" w14:textId="006E5EC4" w:rsidR="00EF1575" w:rsidRPr="00B33BB6" w:rsidRDefault="00EF1575">
            <w:pPr>
              <w:rPr>
                <w:rFonts w:eastAsia="Montserrat" w:cs="Arial"/>
                <w:szCs w:val="22"/>
              </w:rPr>
            </w:pPr>
            <w:r w:rsidRPr="00B33BB6">
              <w:rPr>
                <w:rFonts w:eastAsia="Montserrat" w:cs="Arial"/>
                <w:szCs w:val="22"/>
              </w:rPr>
              <w:t xml:space="preserve">Consumption of fuel </w:t>
            </w:r>
            <w:proofErr w:type="spellStart"/>
            <w:r w:rsidRPr="00B33BB6">
              <w:rPr>
                <w:rFonts w:eastAsia="Montserrat" w:cs="Arial"/>
                <w:i/>
                <w:szCs w:val="22"/>
              </w:rPr>
              <w:t>i</w:t>
            </w:r>
            <w:proofErr w:type="spellEnd"/>
            <w:r w:rsidRPr="00B33BB6">
              <w:rPr>
                <w:rFonts w:eastAsia="Montserrat" w:cs="Arial"/>
                <w:szCs w:val="22"/>
              </w:rPr>
              <w:t xml:space="preserve"> in baseline scenario in year </w:t>
            </w:r>
            <w:r w:rsidRPr="00B33BB6">
              <w:rPr>
                <w:rFonts w:eastAsia="Montserrat" w:cs="Arial"/>
                <w:i/>
                <w:szCs w:val="22"/>
              </w:rPr>
              <w:t xml:space="preserve">y. </w:t>
            </w:r>
            <w:r w:rsidRPr="00B33BB6">
              <w:rPr>
                <w:rFonts w:eastAsia="Montserrat" w:cs="Arial"/>
                <w:szCs w:val="22"/>
              </w:rPr>
              <w:t xml:space="preserve">Where fuels such as pellets and briquettes are made from a mix of renewable and non-renewable sources (e.g., renewable agricultural waste and non-renewable wood), each source </w:t>
            </w:r>
            <w:r w:rsidRPr="00D830E1">
              <w:rPr>
                <w:rFonts w:eastAsia="Montserrat" w:cs="Arial"/>
                <w:szCs w:val="22"/>
              </w:rPr>
              <w:t xml:space="preserve">should be considered its own fuel. (See example in </w:t>
            </w:r>
            <w:hyperlink w:anchor="footnote11" w:history="1">
              <w:r w:rsidRPr="00D830E1">
                <w:rPr>
                  <w:rStyle w:val="Hyperlink"/>
                  <w:rFonts w:eastAsia="Montserrat" w:cs="Arial"/>
                  <w:szCs w:val="22"/>
                  <w:lang w:val="en-GB"/>
                </w:rPr>
                <w:t>footnote 1</w:t>
              </w:r>
              <w:r w:rsidR="009D68C3" w:rsidRPr="00D830E1">
                <w:rPr>
                  <w:rStyle w:val="Hyperlink"/>
                  <w:rFonts w:eastAsia="Montserrat" w:cs="Arial"/>
                  <w:szCs w:val="22"/>
                </w:rPr>
                <w:t>1</w:t>
              </w:r>
            </w:hyperlink>
            <w:r w:rsidRPr="00D830E1">
              <w:rPr>
                <w:rFonts w:eastAsia="Montserrat" w:cs="Arial"/>
                <w:szCs w:val="22"/>
              </w:rPr>
              <w:t>)</w:t>
            </w:r>
          </w:p>
        </w:tc>
        <w:tc>
          <w:tcPr>
            <w:tcW w:w="1367" w:type="dxa"/>
          </w:tcPr>
          <w:p w14:paraId="21B7F06F" w14:textId="77777777" w:rsidR="00EF1575" w:rsidRPr="00B33BB6" w:rsidRDefault="00EF1575">
            <w:pPr>
              <w:rPr>
                <w:rFonts w:eastAsia="Montserrat" w:cs="Arial"/>
                <w:szCs w:val="22"/>
              </w:rPr>
            </w:pPr>
            <w:r w:rsidRPr="00B33BB6">
              <w:rPr>
                <w:rFonts w:eastAsia="Montserrat" w:cs="Arial"/>
                <w:szCs w:val="22"/>
              </w:rPr>
              <w:t>TJ</w:t>
            </w:r>
          </w:p>
        </w:tc>
      </w:tr>
      <w:tr w:rsidR="00EF1575" w:rsidRPr="00B33BB6" w14:paraId="22F5A653" w14:textId="77777777" w:rsidTr="00D50D90">
        <w:tc>
          <w:tcPr>
            <w:tcW w:w="1660" w:type="dxa"/>
          </w:tcPr>
          <w:p w14:paraId="2A2BA02C" w14:textId="77777777" w:rsidR="00EF1575"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fNRB</m:t>
                    </m:r>
                  </m:e>
                  <m:sub>
                    <m:r>
                      <w:rPr>
                        <w:rFonts w:ascii="Cambria Math" w:eastAsia="Cambria Math" w:hAnsi="Cambria Math" w:cs="Arial"/>
                        <w:szCs w:val="22"/>
                      </w:rPr>
                      <m:t>i</m:t>
                    </m:r>
                  </m:sub>
                </m:sSub>
              </m:oMath>
            </m:oMathPara>
          </w:p>
        </w:tc>
        <w:tc>
          <w:tcPr>
            <w:tcW w:w="6182" w:type="dxa"/>
          </w:tcPr>
          <w:p w14:paraId="66AC91F9" w14:textId="77777777" w:rsidR="00EF1575" w:rsidRPr="00B33BB6" w:rsidRDefault="00EF1575">
            <w:pPr>
              <w:rPr>
                <w:rFonts w:eastAsia="Montserrat" w:cs="Arial"/>
                <w:szCs w:val="22"/>
              </w:rPr>
            </w:pPr>
            <w:r w:rsidRPr="00B33BB6">
              <w:rPr>
                <w:rFonts w:eastAsia="Montserrat" w:cs="Arial"/>
                <w:szCs w:val="22"/>
              </w:rPr>
              <w:t xml:space="preserve">Fraction of non-renewable woody biomass fuel </w:t>
            </w:r>
            <w:proofErr w:type="spellStart"/>
            <w:r w:rsidRPr="00B33BB6">
              <w:rPr>
                <w:rFonts w:eastAsia="Montserrat" w:cs="Arial"/>
                <w:i/>
                <w:szCs w:val="22"/>
              </w:rPr>
              <w:t>i</w:t>
            </w:r>
            <w:proofErr w:type="spellEnd"/>
            <w:r w:rsidRPr="00B33BB6">
              <w:rPr>
                <w:rFonts w:eastAsia="Montserrat" w:cs="Arial"/>
                <w:szCs w:val="22"/>
              </w:rPr>
              <w:t xml:space="preserve"> consumed. This parameter varies between zero and 100% for fuelwood, charcoal, and other solid biomass fuels that are not fully renewable. When renewable biomass fuels are used (defined above), this parameter is equal to zero. When fossil fuels are used, it is equal to 100%.</w:t>
            </w:r>
          </w:p>
        </w:tc>
        <w:tc>
          <w:tcPr>
            <w:tcW w:w="1367" w:type="dxa"/>
          </w:tcPr>
          <w:p w14:paraId="0568DD12" w14:textId="77777777" w:rsidR="00EF1575" w:rsidRPr="00B33BB6" w:rsidRDefault="00EF1575">
            <w:pPr>
              <w:rPr>
                <w:rFonts w:eastAsia="Montserrat" w:cs="Arial"/>
                <w:szCs w:val="22"/>
              </w:rPr>
            </w:pPr>
            <w:r w:rsidRPr="00B33BB6">
              <w:rPr>
                <w:rFonts w:eastAsia="Montserrat" w:cs="Arial"/>
                <w:szCs w:val="22"/>
              </w:rPr>
              <w:t>%</w:t>
            </w:r>
          </w:p>
        </w:tc>
      </w:tr>
      <w:tr w:rsidR="00EF1575" w:rsidRPr="00B33BB6" w14:paraId="45F13629" w14:textId="77777777" w:rsidTr="00D50D90">
        <w:tc>
          <w:tcPr>
            <w:tcW w:w="1660" w:type="dxa"/>
          </w:tcPr>
          <w:p w14:paraId="44FA8D20" w14:textId="77777777" w:rsidR="00EF1575"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base,i,CO2</m:t>
                    </m:r>
                  </m:sub>
                </m:sSub>
              </m:oMath>
            </m:oMathPara>
          </w:p>
        </w:tc>
        <w:tc>
          <w:tcPr>
            <w:tcW w:w="6182" w:type="dxa"/>
          </w:tcPr>
          <w:p w14:paraId="5B04EFB2" w14:textId="77777777" w:rsidR="00EF1575" w:rsidRPr="00B33BB6" w:rsidRDefault="00EF1575">
            <w:pPr>
              <w:rPr>
                <w:rFonts w:eastAsia="Montserrat" w:cs="Arial"/>
                <w:szCs w:val="22"/>
              </w:rPr>
            </w:pPr>
            <w:r w:rsidRPr="00B33BB6">
              <w:rPr>
                <w:rFonts w:eastAsia="Montserrat" w:cs="Arial"/>
                <w:szCs w:val="22"/>
              </w:rPr>
              <w:t>CO</w:t>
            </w:r>
            <w:r w:rsidRPr="00B33BB6">
              <w:rPr>
                <w:rFonts w:eastAsia="Montserrat" w:cs="Arial"/>
                <w:szCs w:val="22"/>
                <w:vertAlign w:val="subscript"/>
              </w:rPr>
              <w:t>2</w:t>
            </w:r>
            <w:r w:rsidRPr="00B33BB6">
              <w:rPr>
                <w:rFonts w:eastAsia="Montserrat" w:cs="Arial"/>
                <w:szCs w:val="22"/>
              </w:rPr>
              <w:t xml:space="preserve"> emission factor for baseline fuel</w:t>
            </w:r>
            <w:r w:rsidRPr="00B33BB6">
              <w:rPr>
                <w:rFonts w:eastAsia="Montserrat" w:cs="Arial"/>
                <w:i/>
                <w:szCs w:val="22"/>
              </w:rPr>
              <w:t xml:space="preserve"> </w:t>
            </w:r>
            <w:proofErr w:type="spellStart"/>
            <w:r w:rsidRPr="00B33BB6">
              <w:rPr>
                <w:rFonts w:eastAsia="Montserrat" w:cs="Arial"/>
                <w:i/>
                <w:szCs w:val="22"/>
              </w:rPr>
              <w:t>i</w:t>
            </w:r>
            <w:proofErr w:type="spellEnd"/>
            <w:r w:rsidRPr="00B33BB6">
              <w:rPr>
                <w:rFonts w:eastAsia="Montserrat" w:cs="Arial"/>
                <w:szCs w:val="22"/>
              </w:rPr>
              <w:t xml:space="preserve"> </w:t>
            </w:r>
          </w:p>
        </w:tc>
        <w:tc>
          <w:tcPr>
            <w:tcW w:w="1367" w:type="dxa"/>
          </w:tcPr>
          <w:p w14:paraId="676C6F28" w14:textId="77777777" w:rsidR="00EF1575" w:rsidRPr="00B33BB6" w:rsidRDefault="00EF1575">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e/TJ</w:t>
            </w:r>
          </w:p>
        </w:tc>
      </w:tr>
      <w:tr w:rsidR="00EF1575" w:rsidRPr="00B33BB6" w14:paraId="00851565" w14:textId="77777777" w:rsidTr="00D50D90">
        <w:tc>
          <w:tcPr>
            <w:tcW w:w="1660" w:type="dxa"/>
          </w:tcPr>
          <w:p w14:paraId="51B79A8F" w14:textId="77777777" w:rsidR="00EF1575"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base,i,nonCO2</m:t>
                    </m:r>
                  </m:sub>
                </m:sSub>
              </m:oMath>
            </m:oMathPara>
          </w:p>
        </w:tc>
        <w:tc>
          <w:tcPr>
            <w:tcW w:w="6182" w:type="dxa"/>
          </w:tcPr>
          <w:p w14:paraId="0BB14DB9" w14:textId="77777777" w:rsidR="00EF1575" w:rsidRPr="00B33BB6" w:rsidRDefault="00EF1575">
            <w:pPr>
              <w:rPr>
                <w:rFonts w:eastAsia="Montserrat" w:cs="Arial"/>
                <w:szCs w:val="22"/>
              </w:rPr>
            </w:pPr>
            <w:r w:rsidRPr="00B33BB6">
              <w:rPr>
                <w:rFonts w:eastAsia="Montserrat" w:cs="Arial"/>
                <w:szCs w:val="22"/>
              </w:rPr>
              <w:t>Non-CO</w:t>
            </w:r>
            <w:r w:rsidRPr="00B33BB6">
              <w:rPr>
                <w:rFonts w:eastAsia="Montserrat" w:cs="Arial"/>
                <w:szCs w:val="22"/>
                <w:vertAlign w:val="subscript"/>
              </w:rPr>
              <w:t>2</w:t>
            </w:r>
            <w:r w:rsidRPr="00B33BB6">
              <w:rPr>
                <w:rFonts w:eastAsia="Montserrat" w:cs="Arial"/>
                <w:szCs w:val="22"/>
              </w:rPr>
              <w:t xml:space="preserve"> emission factor for baseline fuel </w:t>
            </w:r>
            <w:proofErr w:type="spellStart"/>
            <w:r w:rsidRPr="00B33BB6">
              <w:rPr>
                <w:rFonts w:eastAsia="Montserrat" w:cs="Arial"/>
                <w:i/>
                <w:szCs w:val="22"/>
              </w:rPr>
              <w:t>i</w:t>
            </w:r>
            <w:proofErr w:type="spellEnd"/>
            <w:r w:rsidRPr="00B33BB6">
              <w:rPr>
                <w:rFonts w:eastAsia="Montserrat" w:cs="Arial"/>
                <w:szCs w:val="22"/>
              </w:rPr>
              <w:t xml:space="preserve"> </w:t>
            </w:r>
          </w:p>
        </w:tc>
        <w:tc>
          <w:tcPr>
            <w:tcW w:w="1367" w:type="dxa"/>
          </w:tcPr>
          <w:p w14:paraId="2BFF69A8" w14:textId="77777777" w:rsidR="00EF1575" w:rsidRPr="00B33BB6" w:rsidRDefault="00EF1575">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e/TJ</w:t>
            </w:r>
          </w:p>
        </w:tc>
      </w:tr>
      <w:tr w:rsidR="00EF1575" w:rsidRPr="00B33BB6" w14:paraId="3250B23F" w14:textId="77777777" w:rsidTr="00D50D90">
        <w:tc>
          <w:tcPr>
            <w:tcW w:w="1660" w:type="dxa"/>
          </w:tcPr>
          <w:p w14:paraId="0C92827C" w14:textId="77777777" w:rsidR="00EF1575"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base,i,y</m:t>
                    </m:r>
                  </m:sub>
                </m:sSub>
              </m:oMath>
            </m:oMathPara>
          </w:p>
        </w:tc>
        <w:tc>
          <w:tcPr>
            <w:tcW w:w="6182" w:type="dxa"/>
          </w:tcPr>
          <w:p w14:paraId="6BA48AC3" w14:textId="0C424B74" w:rsidR="00EF1575" w:rsidRPr="00B33BB6" w:rsidRDefault="00EF1575">
            <w:pPr>
              <w:rPr>
                <w:rFonts w:eastAsia="Montserrat" w:cs="Arial"/>
                <w:szCs w:val="22"/>
              </w:rPr>
            </w:pPr>
            <w:r w:rsidRPr="00B33BB6">
              <w:rPr>
                <w:rFonts w:eastAsia="Montserrat" w:cs="Arial"/>
                <w:szCs w:val="22"/>
              </w:rPr>
              <w:t>Upstream emissions for baseline fuel</w:t>
            </w:r>
            <w:r w:rsidRPr="00B33BB6">
              <w:rPr>
                <w:rFonts w:eastAsia="Montserrat" w:cs="Arial"/>
                <w:i/>
                <w:szCs w:val="22"/>
              </w:rPr>
              <w:t xml:space="preserve"> </w:t>
            </w:r>
            <w:proofErr w:type="spellStart"/>
            <w:r w:rsidRPr="00B33BB6">
              <w:rPr>
                <w:rFonts w:eastAsia="Montserrat" w:cs="Arial"/>
                <w:i/>
                <w:szCs w:val="22"/>
              </w:rPr>
              <w:t>i</w:t>
            </w:r>
            <w:proofErr w:type="spellEnd"/>
            <w:r w:rsidRPr="00B33BB6">
              <w:rPr>
                <w:rFonts w:eastAsia="Montserrat" w:cs="Arial"/>
                <w:i/>
                <w:szCs w:val="22"/>
              </w:rPr>
              <w:t xml:space="preserve"> </w:t>
            </w:r>
            <w:r w:rsidRPr="00B33BB6">
              <w:rPr>
                <w:rFonts w:eastAsia="Montserrat" w:cs="Arial"/>
                <w:szCs w:val="22"/>
              </w:rPr>
              <w:t xml:space="preserve">in year </w:t>
            </w:r>
            <w:r w:rsidRPr="00B33BB6">
              <w:rPr>
                <w:rFonts w:eastAsia="Montserrat" w:cs="Arial"/>
                <w:i/>
                <w:szCs w:val="22"/>
              </w:rPr>
              <w:t>y</w:t>
            </w:r>
            <w:r w:rsidRPr="00B33BB6">
              <w:rPr>
                <w:rFonts w:eastAsia="Montserrat" w:cs="Arial"/>
                <w:szCs w:val="22"/>
              </w:rPr>
              <w:t xml:space="preserve">, determined following </w:t>
            </w:r>
            <w:r w:rsidR="00D53DF2">
              <w:rPr>
                <w:rFonts w:eastAsia="Montserrat" w:cs="Arial"/>
                <w:szCs w:val="22"/>
              </w:rPr>
              <w:t xml:space="preserve">the </w:t>
            </w:r>
            <w:r w:rsidR="00D53DF2" w:rsidRPr="004A5BB5">
              <w:rPr>
                <w:rFonts w:eastAsia="Montserrat" w:cs="Arial"/>
                <w:szCs w:val="22"/>
              </w:rPr>
              <w:t>“</w:t>
            </w:r>
            <w:r w:rsidR="00D53DF2" w:rsidRPr="004A5BB5">
              <w:rPr>
                <w:rFonts w:eastAsia="Montserrat" w:cs="Arial"/>
                <w:i/>
                <w:szCs w:val="22"/>
                <w:shd w:val="clear" w:color="auto" w:fill="FFFFFF"/>
              </w:rPr>
              <w:t xml:space="preserve">Upstream Emissions </w:t>
            </w:r>
            <w:r w:rsidR="00D53DF2" w:rsidRPr="004A5BB5">
              <w:rPr>
                <w:rFonts w:cs="Arial"/>
                <w:i/>
                <w:iCs/>
                <w:szCs w:val="22"/>
                <w:shd w:val="clear" w:color="auto" w:fill="FFFFFF"/>
              </w:rPr>
              <w:t>for the Baseline Scenario”</w:t>
            </w:r>
            <w:r w:rsidR="00D53DF2">
              <w:rPr>
                <w:rFonts w:cs="Arial"/>
                <w:i/>
                <w:iCs/>
                <w:szCs w:val="22"/>
                <w:shd w:val="clear" w:color="auto" w:fill="FFFFFF"/>
              </w:rPr>
              <w:t xml:space="preserve"> requirements</w:t>
            </w:r>
            <w:r w:rsidR="00D53DF2" w:rsidRPr="00582FEA">
              <w:rPr>
                <w:rFonts w:eastAsia="Montserrat" w:cs="Arial"/>
                <w:szCs w:val="22"/>
              </w:rPr>
              <w:t xml:space="preserve"> </w:t>
            </w:r>
            <w:r w:rsidR="00D53DF2">
              <w:rPr>
                <w:rFonts w:eastAsia="Montserrat" w:cs="Arial"/>
                <w:szCs w:val="22"/>
              </w:rPr>
              <w:t xml:space="preserve">presented in </w:t>
            </w:r>
            <w:hyperlink w:anchor="S1022" w:history="1">
              <w:r w:rsidR="00D53DF2" w:rsidRPr="00A53357">
                <w:rPr>
                  <w:rStyle w:val="Hyperlink"/>
                  <w:rFonts w:eastAsia="Montserrat" w:cs="Arial"/>
                  <w:szCs w:val="22"/>
                  <w:lang w:val="en-GB"/>
                </w:rPr>
                <w:t>s</w:t>
              </w:r>
              <w:proofErr w:type="spellStart"/>
              <w:r w:rsidR="00D53DF2" w:rsidRPr="00A53357">
                <w:rPr>
                  <w:rStyle w:val="Hyperlink"/>
                  <w:rFonts w:eastAsia="Montserrat" w:cs="Arial"/>
                  <w:szCs w:val="22"/>
                  <w:shd w:val="clear" w:color="auto" w:fill="FFFFFF"/>
                </w:rPr>
                <w:t>ection</w:t>
              </w:r>
              <w:proofErr w:type="spellEnd"/>
              <w:r w:rsidR="00D53DF2" w:rsidRPr="00A53357">
                <w:rPr>
                  <w:rStyle w:val="Hyperlink"/>
                  <w:rFonts w:eastAsia="Montserrat" w:cs="Arial"/>
                  <w:szCs w:val="22"/>
                  <w:shd w:val="clear" w:color="auto" w:fill="FFFFFF"/>
                </w:rPr>
                <w:t xml:space="preserve"> </w:t>
              </w:r>
              <w:r w:rsidR="00D53DF2" w:rsidRPr="00A53357">
                <w:rPr>
                  <w:rStyle w:val="Hyperlink"/>
                  <w:rFonts w:cs="Arial"/>
                  <w:szCs w:val="22"/>
                  <w:shd w:val="clear" w:color="auto" w:fill="FFFFFF"/>
                </w:rPr>
                <w:t>10.2.2.</w:t>
              </w:r>
            </w:hyperlink>
          </w:p>
        </w:tc>
        <w:tc>
          <w:tcPr>
            <w:tcW w:w="1367" w:type="dxa"/>
          </w:tcPr>
          <w:p w14:paraId="226C5DA1" w14:textId="77777777" w:rsidR="00EF1575" w:rsidRPr="00B33BB6" w:rsidRDefault="00EF1575">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bl>
    <w:p w14:paraId="5CD2DCAC" w14:textId="77777777" w:rsidR="00EF1575" w:rsidRPr="00B33BB6" w:rsidRDefault="00EF1575" w:rsidP="00EF1575">
      <w:pPr>
        <w:pBdr>
          <w:top w:val="nil"/>
          <w:left w:val="nil"/>
          <w:bottom w:val="nil"/>
          <w:right w:val="nil"/>
          <w:between w:val="nil"/>
        </w:pBdr>
        <w:rPr>
          <w:rFonts w:eastAsia="Montserrat" w:cs="Arial"/>
          <w:szCs w:val="22"/>
        </w:rPr>
      </w:pPr>
    </w:p>
    <w:p w14:paraId="20689EC2" w14:textId="77777777" w:rsidR="000B76EE" w:rsidRDefault="00EF1575" w:rsidP="00EF1575">
      <w:pPr>
        <w:pStyle w:val="SDMSubPara1"/>
        <w:pBdr>
          <w:top w:val="nil"/>
          <w:left w:val="nil"/>
          <w:bottom w:val="nil"/>
          <w:right w:val="nil"/>
          <w:between w:val="nil"/>
        </w:pBdr>
        <w:rPr>
          <w:rFonts w:eastAsia="Montserrat"/>
        </w:rPr>
      </w:pPr>
      <w:r w:rsidRPr="000B76EE">
        <w:rPr>
          <w:rFonts w:eastAsia="Montserrat"/>
          <w:bCs/>
        </w:rPr>
        <w:t>Non-CTEC projects</w:t>
      </w:r>
      <w:r w:rsidRPr="000B76EE">
        <w:rPr>
          <w:rFonts w:eastAsia="Montserrat"/>
        </w:rPr>
        <w:t xml:space="preserve"> may choose from two different approaches to determine energy consumption in the baseline scenario: measuring fuel consumption using a baseline KPT or using a global default for fuelwood or charcoal consumption.</w:t>
      </w:r>
    </w:p>
    <w:p w14:paraId="2EBA8F43" w14:textId="77777777" w:rsidR="00120567" w:rsidRDefault="00120567">
      <w:pPr>
        <w:pStyle w:val="SDMSubPara2"/>
        <w:numPr>
          <w:ilvl w:val="0"/>
          <w:numId w:val="0"/>
        </w:numPr>
        <w:pBdr>
          <w:top w:val="nil"/>
          <w:left w:val="nil"/>
          <w:bottom w:val="nil"/>
          <w:right w:val="nil"/>
          <w:between w:val="nil"/>
        </w:pBdr>
        <w:ind w:left="709"/>
        <w:rPr>
          <w:rFonts w:eastAsia="Montserrat"/>
        </w:rPr>
      </w:pPr>
      <w:r w:rsidRPr="00120567">
        <w:rPr>
          <w:rFonts w:eastAsia="Montserrat"/>
          <w:b/>
          <w:bCs/>
        </w:rPr>
        <w:t>Global default</w:t>
      </w:r>
      <w:r w:rsidRPr="00120567">
        <w:rPr>
          <w:rFonts w:eastAsia="Montserrat"/>
        </w:rPr>
        <w:t>:</w:t>
      </w:r>
      <w:r>
        <w:rPr>
          <w:rFonts w:eastAsia="Montserrat"/>
        </w:rPr>
        <w:t xml:space="preserve"> </w:t>
      </w:r>
    </w:p>
    <w:p w14:paraId="401AC225" w14:textId="77777777" w:rsidR="000B76EE" w:rsidRPr="00120567" w:rsidRDefault="00EF1575">
      <w:pPr>
        <w:pStyle w:val="SDMSubPara2"/>
        <w:numPr>
          <w:ilvl w:val="0"/>
          <w:numId w:val="0"/>
        </w:numPr>
        <w:pBdr>
          <w:top w:val="nil"/>
          <w:left w:val="nil"/>
          <w:bottom w:val="nil"/>
          <w:right w:val="nil"/>
          <w:between w:val="nil"/>
        </w:pBdr>
        <w:ind w:left="709"/>
        <w:rPr>
          <w:rFonts w:eastAsia="Montserrat"/>
        </w:rPr>
      </w:pPr>
      <w:r w:rsidRPr="000B76EE">
        <w:rPr>
          <w:rFonts w:eastAsia="Montserrat"/>
        </w:rPr>
        <w:t xml:space="preserve">The global default can only be applied for projects where the baseline is predominantly wood or charcoal (more than 75% of cooking events with wood or charcoal, respectively, as determined via surveys). </w:t>
      </w:r>
    </w:p>
    <w:p w14:paraId="0093383D" w14:textId="77777777" w:rsidR="000B76EE" w:rsidRPr="00B33BB6" w:rsidRDefault="00EF1575" w:rsidP="00120567">
      <w:pPr>
        <w:pStyle w:val="SDMSubPara1"/>
        <w:numPr>
          <w:ilvl w:val="0"/>
          <w:numId w:val="0"/>
        </w:numPr>
        <w:pBdr>
          <w:top w:val="nil"/>
          <w:left w:val="nil"/>
          <w:bottom w:val="nil"/>
          <w:right w:val="nil"/>
          <w:between w:val="nil"/>
        </w:pBdr>
        <w:ind w:left="709"/>
        <w:rPr>
          <w:rFonts w:eastAsia="Montserrat"/>
        </w:rPr>
      </w:pPr>
      <w:r w:rsidRPr="000B76EE">
        <w:rPr>
          <w:rFonts w:eastAsia="Montserrat"/>
        </w:rPr>
        <w:t>The global default for baseline fuelwood consumption is 0.0012 TJ useful energy delivered/(person*year)</w:t>
      </w:r>
      <w:r w:rsidRPr="00B33BB6">
        <w:rPr>
          <w:rFonts w:eastAsia="Montserrat"/>
          <w:vertAlign w:val="superscript"/>
        </w:rPr>
        <w:footnoteReference w:id="13"/>
      </w:r>
      <w:r w:rsidRPr="000B76EE">
        <w:rPr>
          <w:rFonts w:eastAsia="Montserrat"/>
        </w:rPr>
        <w:t>, which is assumed to be equivalent to 0.5 tonnes</w:t>
      </w:r>
      <w:proofErr w:type="gramStart"/>
      <w:r w:rsidRPr="000B76EE">
        <w:rPr>
          <w:rFonts w:eastAsia="Montserrat"/>
        </w:rPr>
        <w:t>/(</w:t>
      </w:r>
      <w:proofErr w:type="gramEnd"/>
      <w:r w:rsidRPr="000B76EE">
        <w:rPr>
          <w:rFonts w:eastAsia="Montserrat"/>
        </w:rPr>
        <w:t>person*year of air-dried wood, or 0.0078 TJ/(person*year).</w:t>
      </w:r>
    </w:p>
    <w:p w14:paraId="191BD25A" w14:textId="77777777" w:rsidR="000B76EE" w:rsidRPr="00B33BB6" w:rsidRDefault="00EF1575" w:rsidP="00120567">
      <w:pPr>
        <w:pStyle w:val="SDMSubPara1"/>
        <w:numPr>
          <w:ilvl w:val="0"/>
          <w:numId w:val="0"/>
        </w:numPr>
        <w:pBdr>
          <w:top w:val="nil"/>
          <w:left w:val="nil"/>
          <w:bottom w:val="nil"/>
          <w:right w:val="nil"/>
          <w:between w:val="nil"/>
        </w:pBdr>
        <w:ind w:left="709"/>
        <w:rPr>
          <w:rFonts w:eastAsia="Montserrat"/>
        </w:rPr>
      </w:pPr>
      <w:r w:rsidRPr="000B76EE">
        <w:rPr>
          <w:rFonts w:eastAsia="Montserrat"/>
        </w:rPr>
        <w:t>The global default for baseline charcoal consumption is 0.00074 TJ useful energy delivered/(person*year)</w:t>
      </w:r>
      <w:r w:rsidRPr="00B33BB6">
        <w:rPr>
          <w:rFonts w:eastAsia="Montserrat"/>
          <w:vertAlign w:val="superscript"/>
        </w:rPr>
        <w:footnoteReference w:id="14"/>
      </w:r>
      <w:r w:rsidRPr="000B76EE">
        <w:rPr>
          <w:rFonts w:eastAsia="Montserrat"/>
        </w:rPr>
        <w:t>, which is assumed to be equivalent to 0.1 tonnes</w:t>
      </w:r>
      <w:proofErr w:type="gramStart"/>
      <w:r w:rsidRPr="000B76EE">
        <w:rPr>
          <w:rFonts w:eastAsia="Montserrat"/>
        </w:rPr>
        <w:t>/(</w:t>
      </w:r>
      <w:proofErr w:type="gramEnd"/>
      <w:r w:rsidRPr="000B76EE">
        <w:rPr>
          <w:rFonts w:eastAsia="Montserrat"/>
        </w:rPr>
        <w:t xml:space="preserve">person*year, or 0.00295 TJ/(person*year) for charcoal. </w:t>
      </w:r>
    </w:p>
    <w:p w14:paraId="470A1B0A" w14:textId="77777777" w:rsidR="000B76EE" w:rsidRPr="00B33BB6" w:rsidRDefault="00EF1575" w:rsidP="00120567">
      <w:pPr>
        <w:pStyle w:val="SDMSubPara1"/>
        <w:numPr>
          <w:ilvl w:val="0"/>
          <w:numId w:val="0"/>
        </w:numPr>
        <w:pBdr>
          <w:top w:val="nil"/>
          <w:left w:val="nil"/>
          <w:bottom w:val="nil"/>
          <w:right w:val="nil"/>
          <w:between w:val="nil"/>
        </w:pBdr>
        <w:ind w:left="709"/>
        <w:rPr>
          <w:rFonts w:eastAsia="Montserrat"/>
        </w:rPr>
      </w:pPr>
      <w:r w:rsidRPr="000B76EE" w:rsidDel="006C308F">
        <w:rPr>
          <w:rFonts w:eastAsia="Montserrat"/>
        </w:rPr>
        <w:t>When fuels other than wood or charcoal are in the respective baselines, their energy use must be accounted for in the 0.0012 and 0.0007</w:t>
      </w:r>
      <w:r w:rsidRPr="000B76EE">
        <w:rPr>
          <w:rFonts w:eastAsia="Montserrat"/>
        </w:rPr>
        <w:t>4</w:t>
      </w:r>
      <w:r w:rsidRPr="000B76EE" w:rsidDel="006C308F">
        <w:rPr>
          <w:rFonts w:eastAsia="Montserrat"/>
        </w:rPr>
        <w:t xml:space="preserve"> TJ useful energy delivered/</w:t>
      </w:r>
      <w:r w:rsidRPr="000B76EE">
        <w:rPr>
          <w:rFonts w:eastAsia="Montserrat"/>
        </w:rPr>
        <w:t>(person*</w:t>
      </w:r>
      <w:r w:rsidRPr="000B76EE" w:rsidDel="006C308F">
        <w:rPr>
          <w:rFonts w:eastAsia="Montserrat"/>
        </w:rPr>
        <w:t>year</w:t>
      </w:r>
      <w:r w:rsidRPr="000B76EE">
        <w:rPr>
          <w:rFonts w:eastAsia="Montserrat"/>
        </w:rPr>
        <w:t>)</w:t>
      </w:r>
      <w:r w:rsidRPr="000B76EE" w:rsidDel="006C308F">
        <w:rPr>
          <w:rFonts w:eastAsia="Montserrat"/>
        </w:rPr>
        <w:t>, respectively</w:t>
      </w:r>
      <w:r w:rsidRPr="000B76EE">
        <w:rPr>
          <w:rFonts w:eastAsia="Montserrat"/>
        </w:rPr>
        <w:t>.</w:t>
      </w:r>
      <w:r w:rsidRPr="00B33BB6">
        <w:rPr>
          <w:rFonts w:eastAsia="Montserrat"/>
          <w:vertAlign w:val="superscript"/>
        </w:rPr>
        <w:footnoteReference w:id="15"/>
      </w:r>
      <w:r w:rsidRPr="000B76EE">
        <w:rPr>
          <w:rFonts w:eastAsia="Montserrat"/>
        </w:rPr>
        <w:t xml:space="preserve"> These values reflect the minimum level of energy service required for cooking. </w:t>
      </w:r>
    </w:p>
    <w:p w14:paraId="709AB073" w14:textId="77777777" w:rsidR="00EF1575" w:rsidRPr="000B76EE" w:rsidRDefault="00EF1575" w:rsidP="00120567">
      <w:pPr>
        <w:pStyle w:val="SDMSubPara1"/>
        <w:numPr>
          <w:ilvl w:val="0"/>
          <w:numId w:val="0"/>
        </w:numPr>
        <w:pBdr>
          <w:top w:val="nil"/>
          <w:left w:val="nil"/>
          <w:bottom w:val="nil"/>
          <w:right w:val="nil"/>
          <w:between w:val="nil"/>
        </w:pBdr>
        <w:ind w:left="709"/>
        <w:rPr>
          <w:rFonts w:eastAsia="Montserrat"/>
        </w:rPr>
      </w:pPr>
      <w:r w:rsidRPr="000B76EE">
        <w:rPr>
          <w:color w:val="242424"/>
          <w:shd w:val="clear" w:color="auto" w:fill="FFFFFF"/>
        </w:rPr>
        <w:lastRenderedPageBreak/>
        <w:t>As an alternative to using a static baseline representing the minimum level of energy service required for cooking, project proponents may use the suppressed demand approach outlined in “</w:t>
      </w:r>
      <w:hyperlink r:id="rId47" w:history="1">
        <w:r w:rsidRPr="000B76EE">
          <w:rPr>
            <w:rStyle w:val="Hyperlink"/>
            <w:shd w:val="clear" w:color="auto" w:fill="FFFFFF"/>
          </w:rPr>
          <w:t>Addressing Suppressed Demand in Mechanism Methodologies</w:t>
        </w:r>
      </w:hyperlink>
      <w:r w:rsidRPr="000B76EE">
        <w:rPr>
          <w:color w:val="242424"/>
          <w:shd w:val="clear" w:color="auto" w:fill="FFFFFF"/>
        </w:rPr>
        <w:t>”.</w:t>
      </w:r>
    </w:p>
    <w:p w14:paraId="7970107A" w14:textId="77777777" w:rsidR="00EF1575" w:rsidRPr="00B33BB6" w:rsidRDefault="00EF1575" w:rsidP="00EF1575">
      <w:pPr>
        <w:pBdr>
          <w:top w:val="nil"/>
          <w:left w:val="nil"/>
          <w:bottom w:val="nil"/>
          <w:right w:val="nil"/>
          <w:between w:val="nil"/>
        </w:pBdr>
        <w:rPr>
          <w:rFonts w:eastAsia="Montserrat" w:cs="Arial"/>
          <w:szCs w:val="22"/>
        </w:rPr>
      </w:pPr>
    </w:p>
    <w:p w14:paraId="5E105C55" w14:textId="0178A3B9" w:rsidR="0053289E" w:rsidRDefault="0053289E" w:rsidP="0053289E">
      <w:pPr>
        <w:pBdr>
          <w:top w:val="nil"/>
          <w:left w:val="nil"/>
          <w:bottom w:val="nil"/>
          <w:right w:val="nil"/>
          <w:between w:val="nil"/>
        </w:pBdr>
        <w:ind w:left="709"/>
        <w:rPr>
          <w:rFonts w:eastAsia="Montserrat" w:cs="Arial"/>
          <w:szCs w:val="22"/>
        </w:rPr>
      </w:pPr>
      <w:r w:rsidRPr="0053289E">
        <w:rPr>
          <w:rFonts w:eastAsia="Montserrat" w:cs="Arial"/>
          <w:b/>
          <w:bCs/>
          <w:szCs w:val="22"/>
        </w:rPr>
        <w:t>Baseline KPT</w:t>
      </w:r>
      <w:r>
        <w:rPr>
          <w:rFonts w:eastAsia="Montserrat" w:cs="Arial"/>
          <w:szCs w:val="22"/>
        </w:rPr>
        <w:t>:</w:t>
      </w:r>
    </w:p>
    <w:p w14:paraId="1D8BFAEF" w14:textId="77777777" w:rsidR="0053289E" w:rsidRDefault="0053289E" w:rsidP="00EF1575">
      <w:pPr>
        <w:pBdr>
          <w:top w:val="nil"/>
          <w:left w:val="nil"/>
          <w:bottom w:val="nil"/>
          <w:right w:val="nil"/>
          <w:between w:val="nil"/>
        </w:pBdr>
        <w:rPr>
          <w:rFonts w:eastAsia="Montserrat" w:cs="Arial"/>
          <w:szCs w:val="22"/>
        </w:rPr>
      </w:pPr>
    </w:p>
    <w:p w14:paraId="5B351D51" w14:textId="77777777" w:rsidR="00EF1575" w:rsidRPr="00B33BB6" w:rsidRDefault="00EF1575" w:rsidP="0053289E">
      <w:pPr>
        <w:pBdr>
          <w:top w:val="nil"/>
          <w:left w:val="nil"/>
          <w:bottom w:val="nil"/>
          <w:right w:val="nil"/>
          <w:between w:val="nil"/>
        </w:pBdr>
        <w:ind w:left="709"/>
        <w:rPr>
          <w:rFonts w:eastAsia="Montserrat" w:cs="Arial"/>
          <w:szCs w:val="22"/>
        </w:rPr>
      </w:pPr>
      <w:r w:rsidRPr="00B33BB6">
        <w:rPr>
          <w:rFonts w:eastAsia="Montserrat" w:cs="Arial"/>
          <w:szCs w:val="22"/>
        </w:rPr>
        <w:t xml:space="preserve">Projects conducting an ex-ante KPT of the baseline scenario should follow Equations (18) and (19); the resulting baseline fuel consumption calculations are subject to the caps and flags described </w:t>
      </w:r>
      <w:r w:rsidRPr="00B33BB6">
        <w:rPr>
          <w:rFonts w:eastAsia="Montserrat" w:cs="Arial"/>
          <w:color w:val="000000"/>
          <w:szCs w:val="22"/>
          <w:shd w:val="clear" w:color="auto" w:fill="FFFFFF"/>
        </w:rPr>
        <w:t>above apply</w:t>
      </w:r>
      <w:r w:rsidRPr="00B33BB6">
        <w:rPr>
          <w:rFonts w:eastAsia="Montserrat" w:cs="Arial"/>
          <w:szCs w:val="22"/>
        </w:rPr>
        <w:t xml:space="preserve">. </w:t>
      </w:r>
    </w:p>
    <w:p w14:paraId="1FB29627" w14:textId="77777777" w:rsidR="00EF1575" w:rsidRPr="00B33BB6" w:rsidRDefault="00EF1575" w:rsidP="0053289E">
      <w:pPr>
        <w:ind w:left="709"/>
        <w:rPr>
          <w:rFonts w:eastAsia="Montserrat" w:cs="Arial"/>
          <w:szCs w:val="22"/>
        </w:rPr>
      </w:pPr>
    </w:p>
    <w:tbl>
      <w:tblPr>
        <w:tblW w:w="9420" w:type="dxa"/>
        <w:tblInd w:w="709" w:type="dxa"/>
        <w:tblBorders>
          <w:top w:val="nil"/>
          <w:left w:val="nil"/>
          <w:bottom w:val="nil"/>
          <w:right w:val="nil"/>
          <w:insideH w:val="nil"/>
          <w:insideV w:val="nil"/>
        </w:tblBorders>
        <w:tblLayout w:type="fixed"/>
        <w:tblLook w:val="0400" w:firstRow="0" w:lastRow="0" w:firstColumn="0" w:lastColumn="0" w:noHBand="0" w:noVBand="1"/>
      </w:tblPr>
      <w:tblGrid>
        <w:gridCol w:w="8715"/>
        <w:gridCol w:w="705"/>
      </w:tblGrid>
      <w:tr w:rsidR="00EF1575" w:rsidRPr="00B33BB6" w14:paraId="02CD65EB" w14:textId="77777777" w:rsidTr="0053289E">
        <w:tc>
          <w:tcPr>
            <w:tcW w:w="8715" w:type="dxa"/>
            <w:vAlign w:val="center"/>
          </w:tcPr>
          <w:p w14:paraId="213714F6" w14:textId="77777777" w:rsidR="00EF1575" w:rsidRPr="00B33BB6" w:rsidRDefault="00000000">
            <w:pPr>
              <w:jc w:val="center"/>
              <w:rPr>
                <w:rFonts w:eastAsia="Cambria Math"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base,i,y</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H</m:t>
                    </m:r>
                  </m:e>
                  <m:sub>
                    <m:r>
                      <w:rPr>
                        <w:rFonts w:ascii="Cambria Math" w:eastAsia="Cambria Math" w:hAnsi="Cambria Math" w:cs="Arial"/>
                        <w:szCs w:val="22"/>
                      </w:rPr>
                      <m:t>s</m:t>
                    </m:r>
                  </m:sub>
                </m:sSub>
                <m:r>
                  <w:rPr>
                    <w:rFonts w:ascii="Cambria Math" w:eastAsia="Cambria Math" w:hAnsi="Cambria Math" w:cs="Arial"/>
                    <w:szCs w:val="22"/>
                  </w:rPr>
                  <m:t>×nt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base,i,y</m:t>
                    </m:r>
                  </m:sub>
                </m:sSub>
                <m:r>
                  <w:rPr>
                    <w:rFonts w:ascii="Cambria Math" w:eastAsia="Cambria Math" w:hAnsi="Cambria Math" w:cs="Arial"/>
                    <w:szCs w:val="22"/>
                  </w:rPr>
                  <m:t>×</m:t>
                </m:r>
                <m:f>
                  <m:fPr>
                    <m:ctrlPr>
                      <w:rPr>
                        <w:rFonts w:ascii="Cambria Math" w:eastAsia="Cambria Math" w:hAnsi="Cambria Math" w:cs="Arial"/>
                        <w:i/>
                        <w:szCs w:val="22"/>
                      </w:rPr>
                    </m:ctrlPr>
                  </m:fPr>
                  <m:num>
                    <m:sSub>
                      <m:sSubPr>
                        <m:ctrlPr>
                          <w:rPr>
                            <w:rFonts w:ascii="Cambria Math" w:eastAsia="Cambria Math" w:hAnsi="Cambria Math" w:cs="Arial"/>
                            <w:i/>
                            <w:szCs w:val="22"/>
                          </w:rPr>
                        </m:ctrlPr>
                      </m:sSubPr>
                      <m:e>
                        <m:r>
                          <w:rPr>
                            <w:rFonts w:ascii="Cambria Math" w:eastAsia="Cambria Math" w:hAnsi="Cambria Math" w:cs="Arial"/>
                            <w:szCs w:val="22"/>
                          </w:rPr>
                          <m:t>PTD</m:t>
                        </m:r>
                      </m:e>
                      <m:sub>
                        <m:r>
                          <w:rPr>
                            <w:rFonts w:ascii="Cambria Math" w:eastAsia="Cambria Math" w:hAnsi="Cambria Math" w:cs="Arial"/>
                            <w:szCs w:val="22"/>
                          </w:rPr>
                          <m:t>h,</m:t>
                        </m:r>
                        <m:r>
                          <w:rPr>
                            <w:rFonts w:ascii="Cambria Math" w:eastAsia="Roboto" w:hAnsi="Cambria Math" w:cs="Arial"/>
                            <w:color w:val="040C28"/>
                            <w:szCs w:val="22"/>
                          </w:rPr>
                          <m:t>Ψ,</m:t>
                        </m:r>
                        <m:r>
                          <w:rPr>
                            <w:rFonts w:ascii="Cambria Math" w:eastAsia="Cambria Math" w:hAnsi="Cambria Math" w:cs="Arial"/>
                            <w:szCs w:val="22"/>
                          </w:rPr>
                          <m:t>y</m:t>
                        </m:r>
                      </m:sub>
                    </m:sSub>
                  </m:num>
                  <m:den>
                    <m:r>
                      <w:rPr>
                        <w:rFonts w:ascii="Cambria Math" w:eastAsia="Cambria Math" w:hAnsi="Cambria Math" w:cs="Arial"/>
                        <w:szCs w:val="22"/>
                      </w:rPr>
                      <m:t>CD</m:t>
                    </m:r>
                  </m:den>
                </m:f>
              </m:oMath>
            </m:oMathPara>
          </w:p>
        </w:tc>
        <w:tc>
          <w:tcPr>
            <w:tcW w:w="705" w:type="dxa"/>
            <w:vAlign w:val="center"/>
          </w:tcPr>
          <w:p w14:paraId="592BDD15" w14:textId="77777777" w:rsidR="00EF1575" w:rsidRPr="00B33BB6" w:rsidRDefault="00EF1575">
            <w:pPr>
              <w:spacing w:before="240"/>
              <w:rPr>
                <w:rFonts w:cs="Arial"/>
                <w:szCs w:val="22"/>
              </w:rPr>
            </w:pPr>
            <w:r w:rsidRPr="00B33BB6">
              <w:rPr>
                <w:rFonts w:cs="Arial"/>
                <w:szCs w:val="22"/>
              </w:rPr>
              <w:t>(</w:t>
            </w:r>
            <w:bookmarkStart w:id="53" w:name="e18"/>
            <w:r w:rsidRPr="00B33BB6">
              <w:rPr>
                <w:rFonts w:cs="Arial"/>
                <w:szCs w:val="22"/>
              </w:rPr>
              <w:t>18</w:t>
            </w:r>
            <w:bookmarkEnd w:id="53"/>
            <w:r w:rsidRPr="00B33BB6">
              <w:rPr>
                <w:rFonts w:cs="Arial"/>
                <w:szCs w:val="22"/>
              </w:rPr>
              <w:t>)</w:t>
            </w:r>
          </w:p>
        </w:tc>
      </w:tr>
    </w:tbl>
    <w:p w14:paraId="1CCBA271" w14:textId="77777777" w:rsidR="00EF1575" w:rsidRPr="00B33BB6" w:rsidRDefault="00EF1575" w:rsidP="0053289E">
      <w:pPr>
        <w:ind w:left="709"/>
        <w:rPr>
          <w:rFonts w:eastAsia="Montserrat" w:cs="Arial"/>
          <w:szCs w:val="22"/>
        </w:rPr>
      </w:pPr>
    </w:p>
    <w:tbl>
      <w:tblPr>
        <w:tblW w:w="9420" w:type="dxa"/>
        <w:tblInd w:w="709" w:type="dxa"/>
        <w:tblBorders>
          <w:top w:val="nil"/>
          <w:left w:val="nil"/>
          <w:bottom w:val="nil"/>
          <w:right w:val="nil"/>
          <w:insideH w:val="nil"/>
          <w:insideV w:val="nil"/>
        </w:tblBorders>
        <w:tblLayout w:type="fixed"/>
        <w:tblLook w:val="0400" w:firstRow="0" w:lastRow="0" w:firstColumn="0" w:lastColumn="0" w:noHBand="0" w:noVBand="1"/>
      </w:tblPr>
      <w:tblGrid>
        <w:gridCol w:w="8715"/>
        <w:gridCol w:w="705"/>
      </w:tblGrid>
      <w:tr w:rsidR="00EF1575" w:rsidRPr="00B33BB6" w14:paraId="3D71D8FB" w14:textId="77777777" w:rsidTr="0053289E">
        <w:tc>
          <w:tcPr>
            <w:tcW w:w="8715" w:type="dxa"/>
            <w:vAlign w:val="center"/>
          </w:tcPr>
          <w:p w14:paraId="4B239A20" w14:textId="77777777" w:rsidR="00EF1575" w:rsidRPr="00B33BB6" w:rsidRDefault="00000000">
            <w:pPr>
              <w:rPr>
                <w:rFonts w:eastAsia="Cambria Math"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PTD</m:t>
                    </m:r>
                  </m:e>
                  <m:sub>
                    <m:r>
                      <w:rPr>
                        <w:rFonts w:ascii="Cambria Math" w:eastAsia="Cambria Math" w:hAnsi="Cambria Math" w:cs="Arial"/>
                        <w:szCs w:val="22"/>
                      </w:rPr>
                      <m:t>h,</m:t>
                    </m:r>
                    <m:r>
                      <w:rPr>
                        <w:rFonts w:ascii="Cambria Math" w:eastAsia="Roboto" w:hAnsi="Cambria Math" w:cs="Arial"/>
                        <w:color w:val="040C28"/>
                        <w:szCs w:val="22"/>
                      </w:rPr>
                      <m:t>Ψ,</m:t>
                    </m:r>
                    <m:r>
                      <w:rPr>
                        <w:rFonts w:ascii="Cambria Math" w:eastAsia="Cambria Math" w:hAnsi="Cambria Math" w:cs="Arial"/>
                        <w:szCs w:val="22"/>
                      </w:rPr>
                      <m:t>y</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Roboto" w:hAnsi="Cambria Math" w:cs="Arial"/>
                        <w:color w:val="040C28"/>
                        <w:szCs w:val="22"/>
                      </w:rPr>
                      <m:t>Ψ</m:t>
                    </m:r>
                  </m:e>
                  <m:sub>
                    <m:r>
                      <w:rPr>
                        <w:rFonts w:ascii="Cambria Math" w:eastAsia="Cambria Math" w:hAnsi="Cambria Math" w:cs="Arial"/>
                        <w:szCs w:val="22"/>
                      </w:rPr>
                      <m:t>y</m:t>
                    </m:r>
                  </m:sub>
                </m:sSub>
                <m:r>
                  <w:rPr>
                    <w:rFonts w:ascii="Cambria Math" w:eastAsia="Cambria Math" w:hAnsi="Cambria Math" w:cs="Arial"/>
                    <w:szCs w:val="22"/>
                  </w:rPr>
                  <m:t>×</m:t>
                </m:r>
                <m:nary>
                  <m:naryPr>
                    <m:chr m:val="∑"/>
                    <m:limLoc m:val="subSup"/>
                    <m:supHide m:val="1"/>
                    <m:ctrlPr>
                      <w:rPr>
                        <w:rFonts w:ascii="Cambria Math" w:eastAsia="Cambria Math" w:hAnsi="Cambria Math" w:cs="Arial"/>
                        <w:i/>
                        <w:szCs w:val="22"/>
                      </w:rPr>
                    </m:ctrlPr>
                  </m:naryPr>
                  <m:sub>
                    <m:r>
                      <w:rPr>
                        <w:rFonts w:ascii="Cambria Math" w:eastAsia="Cambria Math" w:hAnsi="Cambria Math" w:cs="Arial"/>
                        <w:szCs w:val="22"/>
                      </w:rPr>
                      <m:t>h</m:t>
                    </m:r>
                  </m:sub>
                  <m:sup/>
                  <m:e>
                    <m:sSub>
                      <m:sSubPr>
                        <m:ctrlPr>
                          <w:rPr>
                            <w:rFonts w:ascii="Cambria Math" w:eastAsia="Cambria Math" w:hAnsi="Cambria Math" w:cs="Arial"/>
                            <w:i/>
                            <w:szCs w:val="22"/>
                          </w:rPr>
                        </m:ctrlPr>
                      </m:sSubPr>
                      <m:e>
                        <m:r>
                          <w:rPr>
                            <w:rFonts w:ascii="Cambria Math" w:eastAsia="Cambria Math" w:hAnsi="Cambria Math" w:cs="Arial"/>
                            <w:szCs w:val="22"/>
                          </w:rPr>
                          <m:t>Days</m:t>
                        </m:r>
                      </m:e>
                      <m:sub>
                        <m:r>
                          <w:rPr>
                            <w:rFonts w:ascii="Cambria Math" w:eastAsia="Cambria Math" w:hAnsi="Cambria Math" w:cs="Arial"/>
                            <w:szCs w:val="22"/>
                          </w:rPr>
                          <m:t>y,h</m:t>
                        </m:r>
                      </m:sub>
                    </m:sSub>
                  </m:e>
                </m:nary>
              </m:oMath>
            </m:oMathPara>
          </w:p>
        </w:tc>
        <w:tc>
          <w:tcPr>
            <w:tcW w:w="705" w:type="dxa"/>
            <w:vAlign w:val="center"/>
          </w:tcPr>
          <w:p w14:paraId="2FDC9CA3" w14:textId="77777777" w:rsidR="00EF1575" w:rsidRPr="00B33BB6" w:rsidRDefault="00EF1575">
            <w:pPr>
              <w:spacing w:before="240"/>
              <w:rPr>
                <w:rFonts w:cs="Arial"/>
                <w:szCs w:val="22"/>
              </w:rPr>
            </w:pPr>
            <w:r w:rsidRPr="00B33BB6">
              <w:rPr>
                <w:rFonts w:cs="Arial"/>
                <w:szCs w:val="22"/>
              </w:rPr>
              <w:t>(</w:t>
            </w:r>
            <w:bookmarkStart w:id="54" w:name="e19"/>
            <w:r w:rsidRPr="00B33BB6">
              <w:rPr>
                <w:rFonts w:cs="Arial"/>
                <w:szCs w:val="22"/>
              </w:rPr>
              <w:t>19</w:t>
            </w:r>
            <w:bookmarkEnd w:id="54"/>
            <w:r w:rsidRPr="00B33BB6">
              <w:rPr>
                <w:rFonts w:cs="Arial"/>
                <w:szCs w:val="22"/>
              </w:rPr>
              <w:t>)</w:t>
            </w:r>
          </w:p>
        </w:tc>
      </w:tr>
    </w:tbl>
    <w:p w14:paraId="539DDEC3" w14:textId="77777777" w:rsidR="00EF1575" w:rsidRPr="00B33BB6" w:rsidRDefault="00EF1575" w:rsidP="0053289E">
      <w:pPr>
        <w:ind w:left="709"/>
        <w:rPr>
          <w:rFonts w:eastAsia="Montserrat" w:cs="Arial"/>
          <w:szCs w:val="22"/>
        </w:rPr>
      </w:pPr>
    </w:p>
    <w:p w14:paraId="6A77C6EA" w14:textId="3DEE153B" w:rsidR="00EF1575" w:rsidRPr="00B33BB6" w:rsidRDefault="00EF1575" w:rsidP="0053289E">
      <w:pPr>
        <w:ind w:left="709"/>
        <w:rPr>
          <w:rFonts w:eastAsia="Montserrat" w:cs="Arial"/>
          <w:szCs w:val="22"/>
        </w:rPr>
      </w:pPr>
      <w:r w:rsidRPr="00B33BB6">
        <w:rPr>
          <w:rFonts w:eastAsia="Montserrat" w:cs="Arial"/>
          <w:szCs w:val="22"/>
        </w:rPr>
        <w:t xml:space="preserve">For baseline energy sources other than electricity, </w:t>
      </w:r>
      <w:r w:rsidRPr="00947A31">
        <w:rPr>
          <w:rFonts w:eastAsia="Montserrat" w:cs="Arial"/>
          <w:szCs w:val="22"/>
        </w:rPr>
        <w:t xml:space="preserve">use </w:t>
      </w:r>
      <w:hyperlink w:anchor="e1" w:history="1">
        <w:r w:rsidRPr="00947A31">
          <w:rPr>
            <w:rStyle w:val="Hyperlink"/>
            <w:rFonts w:eastAsia="Montserrat" w:cs="Arial"/>
            <w:szCs w:val="22"/>
          </w:rPr>
          <w:t>Equation (1)</w:t>
        </w:r>
      </w:hyperlink>
      <w:r w:rsidRPr="00947A31">
        <w:rPr>
          <w:rFonts w:eastAsia="Montserrat" w:cs="Arial"/>
          <w:szCs w:val="22"/>
        </w:rPr>
        <w:t xml:space="preserve"> to</w:t>
      </w:r>
      <w:r w:rsidRPr="00B33BB6">
        <w:rPr>
          <w:rFonts w:eastAsia="Montserrat" w:cs="Arial"/>
          <w:szCs w:val="22"/>
        </w:rPr>
        <w:t xml:space="preserve"> convert fuel masses to fuel energy. </w:t>
      </w:r>
    </w:p>
    <w:p w14:paraId="1016E450" w14:textId="77777777" w:rsidR="00EF1575" w:rsidRPr="00B33BB6" w:rsidRDefault="00EF1575" w:rsidP="0053289E">
      <w:pPr>
        <w:ind w:left="709"/>
        <w:rPr>
          <w:rFonts w:eastAsia="Montserrat" w:cs="Arial"/>
          <w:szCs w:val="22"/>
        </w:rPr>
      </w:pPr>
    </w:p>
    <w:p w14:paraId="59419AB7" w14:textId="77777777" w:rsidR="00EF1575" w:rsidRPr="00B33BB6" w:rsidRDefault="00EF1575" w:rsidP="0053289E">
      <w:pPr>
        <w:ind w:left="709"/>
        <w:rPr>
          <w:rFonts w:eastAsia="Montserrat" w:cs="Arial"/>
          <w:szCs w:val="22"/>
        </w:rPr>
      </w:pPr>
      <w:r w:rsidRPr="00B33BB6">
        <w:rPr>
          <w:rFonts w:eastAsia="Montserrat" w:cs="Arial"/>
          <w:szCs w:val="22"/>
        </w:rPr>
        <w:t>Where:</w:t>
      </w:r>
    </w:p>
    <w:p w14:paraId="44D94D86" w14:textId="77777777" w:rsidR="00EF1575" w:rsidRPr="00B33BB6" w:rsidRDefault="00EF1575" w:rsidP="00EF1575">
      <w:pPr>
        <w:rPr>
          <w:rFonts w:eastAsia="Montserrat" w:cs="Arial"/>
          <w:szCs w:val="22"/>
        </w:rPr>
      </w:pPr>
    </w:p>
    <w:tbl>
      <w:tblPr>
        <w:tblStyle w:val="TableGrid"/>
        <w:tblW w:w="9209" w:type="dxa"/>
        <w:tblInd w:w="596" w:type="dxa"/>
        <w:tblLook w:val="04A0" w:firstRow="1" w:lastRow="0" w:firstColumn="1" w:lastColumn="0" w:noHBand="0" w:noVBand="1"/>
      </w:tblPr>
      <w:tblGrid>
        <w:gridCol w:w="1555"/>
        <w:gridCol w:w="5659"/>
        <w:gridCol w:w="1995"/>
      </w:tblGrid>
      <w:tr w:rsidR="00EF1575" w:rsidRPr="00B33BB6" w14:paraId="72625D11" w14:textId="77777777" w:rsidTr="0053289E">
        <w:tc>
          <w:tcPr>
            <w:tcW w:w="1555" w:type="dxa"/>
          </w:tcPr>
          <w:p w14:paraId="5F7FEEDC" w14:textId="77777777" w:rsidR="00EF1575" w:rsidRPr="00B33BB6" w:rsidRDefault="00EF1575">
            <w:pPr>
              <w:rPr>
                <w:rFonts w:eastAsia="Montserrat" w:cs="Arial"/>
                <w:b/>
                <w:szCs w:val="22"/>
              </w:rPr>
            </w:pPr>
            <w:r w:rsidRPr="00B33BB6">
              <w:rPr>
                <w:rFonts w:eastAsia="Montserrat" w:cs="Arial"/>
                <w:b/>
                <w:szCs w:val="22"/>
              </w:rPr>
              <w:t>Parameter</w:t>
            </w:r>
          </w:p>
        </w:tc>
        <w:tc>
          <w:tcPr>
            <w:tcW w:w="5659" w:type="dxa"/>
          </w:tcPr>
          <w:p w14:paraId="49FB5E50" w14:textId="77777777" w:rsidR="00EF1575" w:rsidRPr="00B33BB6" w:rsidRDefault="00EF1575">
            <w:pPr>
              <w:rPr>
                <w:rFonts w:eastAsia="Montserrat" w:cs="Arial"/>
                <w:b/>
                <w:szCs w:val="22"/>
              </w:rPr>
            </w:pPr>
            <w:r w:rsidRPr="00B33BB6">
              <w:rPr>
                <w:rFonts w:eastAsia="Montserrat" w:cs="Arial"/>
                <w:b/>
                <w:szCs w:val="22"/>
              </w:rPr>
              <w:t>Description</w:t>
            </w:r>
          </w:p>
        </w:tc>
        <w:tc>
          <w:tcPr>
            <w:tcW w:w="1995" w:type="dxa"/>
          </w:tcPr>
          <w:p w14:paraId="4B5E0E96" w14:textId="77777777" w:rsidR="00EF1575" w:rsidRPr="00B33BB6" w:rsidRDefault="00EF1575">
            <w:pPr>
              <w:rPr>
                <w:rFonts w:eastAsia="Montserrat" w:cs="Arial"/>
                <w:b/>
                <w:szCs w:val="22"/>
              </w:rPr>
            </w:pPr>
            <w:r w:rsidRPr="00B33BB6">
              <w:rPr>
                <w:rFonts w:eastAsia="Montserrat" w:cs="Arial"/>
                <w:b/>
                <w:szCs w:val="22"/>
              </w:rPr>
              <w:t>Unit</w:t>
            </w:r>
          </w:p>
        </w:tc>
      </w:tr>
      <w:tr w:rsidR="00EF1575" w:rsidRPr="00B33BB6" w14:paraId="61A6D2AB" w14:textId="77777777" w:rsidTr="0053289E">
        <w:tc>
          <w:tcPr>
            <w:tcW w:w="1555" w:type="dxa"/>
          </w:tcPr>
          <w:p w14:paraId="42994771" w14:textId="77777777" w:rsidR="00EF1575"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base,i,y</m:t>
                    </m:r>
                  </m:sub>
                </m:sSub>
              </m:oMath>
            </m:oMathPara>
          </w:p>
        </w:tc>
        <w:tc>
          <w:tcPr>
            <w:tcW w:w="5659" w:type="dxa"/>
          </w:tcPr>
          <w:p w14:paraId="0D56940B" w14:textId="77777777" w:rsidR="00EF1575" w:rsidRPr="00B33BB6" w:rsidRDefault="00EF1575">
            <w:pPr>
              <w:rPr>
                <w:rFonts w:eastAsia="Montserrat" w:cs="Arial"/>
                <w:b/>
                <w:szCs w:val="22"/>
              </w:rPr>
            </w:pPr>
            <w:r w:rsidRPr="00B33BB6">
              <w:rPr>
                <w:rFonts w:eastAsia="Montserrat" w:cs="Arial"/>
                <w:szCs w:val="22"/>
              </w:rPr>
              <w:t xml:space="preserve">Consumption of fuel </w:t>
            </w:r>
            <w:proofErr w:type="spellStart"/>
            <w:r w:rsidRPr="00B33BB6">
              <w:rPr>
                <w:rFonts w:eastAsia="Montserrat" w:cs="Arial"/>
                <w:i/>
                <w:szCs w:val="22"/>
              </w:rPr>
              <w:t>i</w:t>
            </w:r>
            <w:proofErr w:type="spellEnd"/>
            <w:r w:rsidRPr="00B33BB6">
              <w:rPr>
                <w:rFonts w:eastAsia="Montserrat" w:cs="Arial"/>
                <w:szCs w:val="22"/>
              </w:rPr>
              <w:t xml:space="preserve"> in baseline scenario in year </w:t>
            </w:r>
            <w:r w:rsidRPr="00B33BB6">
              <w:rPr>
                <w:rFonts w:eastAsia="Montserrat" w:cs="Arial"/>
                <w:i/>
                <w:szCs w:val="22"/>
              </w:rPr>
              <w:t>y</w:t>
            </w:r>
            <w:r w:rsidRPr="00B33BB6">
              <w:rPr>
                <w:rFonts w:eastAsia="Montserrat" w:cs="Arial"/>
                <w:szCs w:val="22"/>
              </w:rPr>
              <w:t xml:space="preserve"> </w:t>
            </w:r>
          </w:p>
        </w:tc>
        <w:tc>
          <w:tcPr>
            <w:tcW w:w="1995" w:type="dxa"/>
          </w:tcPr>
          <w:p w14:paraId="4D7A233E" w14:textId="77777777" w:rsidR="00EF1575" w:rsidRPr="00B33BB6" w:rsidRDefault="00EF1575">
            <w:pPr>
              <w:rPr>
                <w:rFonts w:eastAsia="Montserrat" w:cs="Arial"/>
                <w:b/>
                <w:szCs w:val="22"/>
              </w:rPr>
            </w:pPr>
            <w:r w:rsidRPr="00B33BB6">
              <w:rPr>
                <w:rFonts w:eastAsia="Montserrat" w:cs="Arial"/>
                <w:szCs w:val="22"/>
              </w:rPr>
              <w:t>TJ</w:t>
            </w:r>
          </w:p>
        </w:tc>
      </w:tr>
      <w:tr w:rsidR="00EF1575" w:rsidRPr="00B33BB6" w14:paraId="4D0E39D2" w14:textId="77777777" w:rsidTr="0053289E">
        <w:tc>
          <w:tcPr>
            <w:tcW w:w="1555" w:type="dxa"/>
          </w:tcPr>
          <w:p w14:paraId="57ECDF75" w14:textId="77777777" w:rsidR="00EF1575"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H</m:t>
                    </m:r>
                  </m:e>
                  <m:sub>
                    <m:r>
                      <w:rPr>
                        <w:rFonts w:ascii="Cambria Math" w:eastAsia="Cambria Math" w:hAnsi="Cambria Math" w:cs="Arial"/>
                        <w:szCs w:val="22"/>
                      </w:rPr>
                      <m:t>s</m:t>
                    </m:r>
                  </m:sub>
                </m:sSub>
              </m:oMath>
            </m:oMathPara>
          </w:p>
        </w:tc>
        <w:tc>
          <w:tcPr>
            <w:tcW w:w="5659" w:type="dxa"/>
          </w:tcPr>
          <w:p w14:paraId="35457694" w14:textId="77777777" w:rsidR="00EF1575" w:rsidRPr="00B33BB6" w:rsidRDefault="00EF1575">
            <w:pPr>
              <w:rPr>
                <w:rFonts w:eastAsia="Montserrat" w:cs="Arial"/>
                <w:szCs w:val="22"/>
              </w:rPr>
            </w:pPr>
            <w:r w:rsidRPr="00B33BB6">
              <w:rPr>
                <w:rFonts w:eastAsia="Montserrat" w:cs="Arial"/>
                <w:szCs w:val="22"/>
              </w:rPr>
              <w:t>Average household size (</w:t>
            </w:r>
            <w:proofErr w:type="gramStart"/>
            <w:r w:rsidRPr="00B33BB6">
              <w:rPr>
                <w:rFonts w:eastAsia="Montserrat" w:cs="Arial"/>
                <w:szCs w:val="22"/>
              </w:rPr>
              <w:t>persons</w:t>
            </w:r>
            <w:proofErr w:type="gramEnd"/>
            <w:r w:rsidRPr="00B33BB6">
              <w:rPr>
                <w:rFonts w:eastAsia="Montserrat" w:cs="Arial"/>
                <w:szCs w:val="22"/>
              </w:rPr>
              <w:t xml:space="preserve"> per household, regardless of age or gender)</w:t>
            </w:r>
          </w:p>
        </w:tc>
        <w:tc>
          <w:tcPr>
            <w:tcW w:w="1995" w:type="dxa"/>
          </w:tcPr>
          <w:p w14:paraId="44E2D4E5" w14:textId="77777777" w:rsidR="00EF1575" w:rsidRPr="00B33BB6" w:rsidRDefault="00EF1575">
            <w:pPr>
              <w:rPr>
                <w:rFonts w:eastAsia="Montserrat" w:cs="Arial"/>
                <w:szCs w:val="22"/>
              </w:rPr>
            </w:pPr>
            <w:r w:rsidRPr="00B33BB6">
              <w:rPr>
                <w:rFonts w:eastAsia="Montserrat" w:cs="Arial"/>
                <w:szCs w:val="22"/>
              </w:rPr>
              <w:t>Number</w:t>
            </w:r>
          </w:p>
        </w:tc>
      </w:tr>
      <w:tr w:rsidR="00EF1575" w:rsidRPr="00B33BB6" w14:paraId="1D4E115E" w14:textId="77777777" w:rsidTr="0053289E">
        <w:tc>
          <w:tcPr>
            <w:tcW w:w="1555" w:type="dxa"/>
          </w:tcPr>
          <w:p w14:paraId="35CD04F5" w14:textId="77777777" w:rsidR="00EF1575" w:rsidRPr="00B33BB6" w:rsidRDefault="0001396C">
            <w:pPr>
              <w:rPr>
                <w:rFonts w:eastAsia="Montserrat" w:cs="Arial"/>
                <w:szCs w:val="22"/>
              </w:rPr>
            </w:pPr>
            <m:oMathPara>
              <m:oMath>
                <m:r>
                  <w:rPr>
                    <w:rFonts w:ascii="Cambria Math" w:eastAsia="Cambria Math" w:hAnsi="Cambria Math" w:cs="Arial"/>
                    <w:szCs w:val="22"/>
                  </w:rPr>
                  <m:t>nt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base,i,y</m:t>
                    </m:r>
                  </m:sub>
                </m:sSub>
              </m:oMath>
            </m:oMathPara>
          </w:p>
        </w:tc>
        <w:tc>
          <w:tcPr>
            <w:tcW w:w="5659" w:type="dxa"/>
          </w:tcPr>
          <w:p w14:paraId="1543F26A" w14:textId="77777777" w:rsidR="00EF1575" w:rsidRPr="00B33BB6" w:rsidRDefault="00000000">
            <w:pPr>
              <w:rPr>
                <w:rFonts w:eastAsia="Montserrat" w:cs="Arial"/>
                <w:szCs w:val="22"/>
              </w:rPr>
            </w:pPr>
            <w:sdt>
              <w:sdtPr>
                <w:rPr>
                  <w:rFonts w:cs="Arial"/>
                  <w:szCs w:val="22"/>
                </w:rPr>
                <w:tag w:val="goog_rdk_36"/>
                <w:id w:val="-1875293152"/>
              </w:sdtPr>
              <w:sdtContent/>
            </w:sdt>
            <w:sdt>
              <w:sdtPr>
                <w:rPr>
                  <w:rFonts w:cs="Arial"/>
                  <w:szCs w:val="22"/>
                </w:rPr>
                <w:tag w:val="goog_rdk_37"/>
                <w:id w:val="-1415006643"/>
              </w:sdtPr>
              <w:sdtContent/>
            </w:sdt>
            <w:r w:rsidR="00EF1575" w:rsidRPr="00B33BB6">
              <w:rPr>
                <w:rFonts w:eastAsia="Montserrat" w:cs="Arial"/>
                <w:szCs w:val="22"/>
              </w:rPr>
              <w:t xml:space="preserve">Energy consumption of baseline fuel </w:t>
            </w:r>
            <w:proofErr w:type="spellStart"/>
            <w:r w:rsidR="00EF1575" w:rsidRPr="00B33BB6">
              <w:rPr>
                <w:rFonts w:eastAsia="Montserrat" w:cs="Arial"/>
                <w:i/>
                <w:szCs w:val="22"/>
              </w:rPr>
              <w:t>i</w:t>
            </w:r>
            <w:proofErr w:type="spellEnd"/>
            <w:r w:rsidR="00EF1575" w:rsidRPr="00B33BB6">
              <w:rPr>
                <w:rFonts w:eastAsia="Montserrat" w:cs="Arial"/>
                <w:i/>
                <w:szCs w:val="22"/>
              </w:rPr>
              <w:t xml:space="preserve"> </w:t>
            </w:r>
            <w:r w:rsidR="00EF1575" w:rsidRPr="00B33BB6">
              <w:rPr>
                <w:rFonts w:eastAsia="Montserrat" w:cs="Arial"/>
                <w:szCs w:val="22"/>
              </w:rPr>
              <w:t xml:space="preserve">for non-CTEC projects taken from global default baseline energy consumption value, or results from baseline KPT. </w:t>
            </w:r>
          </w:p>
        </w:tc>
        <w:tc>
          <w:tcPr>
            <w:tcW w:w="1995" w:type="dxa"/>
          </w:tcPr>
          <w:p w14:paraId="6AB783F4" w14:textId="77777777" w:rsidR="00EF1575" w:rsidRPr="00B33BB6" w:rsidRDefault="00EF1575">
            <w:pPr>
              <w:rPr>
                <w:rFonts w:eastAsia="Montserrat" w:cs="Arial"/>
                <w:szCs w:val="22"/>
              </w:rPr>
            </w:pPr>
            <w:r w:rsidRPr="00B33BB6">
              <w:rPr>
                <w:rFonts w:eastAsia="Montserrat" w:cs="Arial"/>
                <w:szCs w:val="22"/>
              </w:rPr>
              <w:t>TJ/(person*year)</w:t>
            </w:r>
          </w:p>
        </w:tc>
      </w:tr>
      <w:tr w:rsidR="00EF1575" w:rsidRPr="00B33BB6" w14:paraId="61AE5B57" w14:textId="77777777" w:rsidTr="0053289E">
        <w:tc>
          <w:tcPr>
            <w:tcW w:w="1555" w:type="dxa"/>
          </w:tcPr>
          <w:p w14:paraId="56FD01F0" w14:textId="77777777" w:rsidR="00EF1575" w:rsidRPr="00B33BB6" w:rsidRDefault="00000000">
            <w:pPr>
              <w:rPr>
                <w:rFonts w:eastAsia="Montserrat"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PTD</m:t>
                    </m:r>
                  </m:e>
                  <m:sub>
                    <m:r>
                      <w:rPr>
                        <w:rFonts w:ascii="Cambria Math" w:eastAsia="Cambria Math" w:hAnsi="Cambria Math" w:cs="Arial"/>
                        <w:szCs w:val="22"/>
                      </w:rPr>
                      <m:t>h,</m:t>
                    </m:r>
                    <m:r>
                      <w:rPr>
                        <w:rFonts w:ascii="Cambria Math" w:eastAsia="Roboto" w:hAnsi="Cambria Math" w:cs="Arial"/>
                        <w:color w:val="040C28"/>
                        <w:szCs w:val="22"/>
                      </w:rPr>
                      <m:t>Ψ,</m:t>
                    </m:r>
                    <m:r>
                      <w:rPr>
                        <w:rFonts w:ascii="Cambria Math" w:eastAsia="Cambria Math" w:hAnsi="Cambria Math" w:cs="Arial"/>
                        <w:szCs w:val="22"/>
                      </w:rPr>
                      <m:t>y</m:t>
                    </m:r>
                  </m:sub>
                </m:sSub>
              </m:oMath>
            </m:oMathPara>
          </w:p>
        </w:tc>
        <w:tc>
          <w:tcPr>
            <w:tcW w:w="5659" w:type="dxa"/>
          </w:tcPr>
          <w:p w14:paraId="43403645" w14:textId="77777777" w:rsidR="00EF1575" w:rsidRPr="00B33BB6" w:rsidRDefault="00EF1575">
            <w:pPr>
              <w:rPr>
                <w:rFonts w:eastAsia="Montserrat" w:cs="Arial"/>
                <w:szCs w:val="22"/>
              </w:rPr>
            </w:pPr>
            <w:r w:rsidRPr="00B33BB6">
              <w:rPr>
                <w:rFonts w:eastAsia="Montserrat" w:cs="Arial"/>
                <w:szCs w:val="22"/>
              </w:rPr>
              <w:t xml:space="preserve">PTDs of the monitoring period during year </w:t>
            </w:r>
            <w:r w:rsidRPr="00B33BB6">
              <w:rPr>
                <w:rFonts w:eastAsia="Montserrat" w:cs="Arial"/>
                <w:i/>
                <w:szCs w:val="22"/>
              </w:rPr>
              <w:t>y</w:t>
            </w:r>
            <w:r w:rsidRPr="00B33BB6">
              <w:rPr>
                <w:rFonts w:eastAsia="Montserrat" w:cs="Arial"/>
                <w:szCs w:val="22"/>
              </w:rPr>
              <w:t xml:space="preserve"> </w:t>
            </w:r>
          </w:p>
        </w:tc>
        <w:tc>
          <w:tcPr>
            <w:tcW w:w="1995" w:type="dxa"/>
          </w:tcPr>
          <w:p w14:paraId="116EC5FE" w14:textId="77777777" w:rsidR="00EF1575" w:rsidRPr="00B33BB6" w:rsidRDefault="00EF1575">
            <w:pPr>
              <w:rPr>
                <w:rFonts w:eastAsia="Montserrat" w:cs="Arial"/>
                <w:szCs w:val="22"/>
              </w:rPr>
            </w:pPr>
            <w:r w:rsidRPr="00B33BB6">
              <w:rPr>
                <w:rFonts w:eastAsia="Montserrat" w:cs="Arial"/>
                <w:szCs w:val="22"/>
              </w:rPr>
              <w:t>Number</w:t>
            </w:r>
          </w:p>
        </w:tc>
      </w:tr>
      <w:tr w:rsidR="00EF1575" w:rsidRPr="00B33BB6" w14:paraId="430DA7CA" w14:textId="77777777" w:rsidTr="0053289E">
        <w:tc>
          <w:tcPr>
            <w:tcW w:w="1555" w:type="dxa"/>
          </w:tcPr>
          <w:p w14:paraId="78F3100A" w14:textId="77777777" w:rsidR="00EF1575"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Roboto" w:hAnsi="Cambria Math" w:cs="Arial"/>
                        <w:color w:val="040C28"/>
                        <w:szCs w:val="22"/>
                      </w:rPr>
                      <m:t>Ψ</m:t>
                    </m:r>
                  </m:e>
                  <m:sub>
                    <m:r>
                      <w:rPr>
                        <w:rFonts w:ascii="Cambria Math" w:eastAsia="Cambria Math" w:hAnsi="Cambria Math" w:cs="Arial"/>
                        <w:szCs w:val="22"/>
                      </w:rPr>
                      <m:t>y</m:t>
                    </m:r>
                  </m:sub>
                </m:sSub>
              </m:oMath>
            </m:oMathPara>
          </w:p>
        </w:tc>
        <w:tc>
          <w:tcPr>
            <w:tcW w:w="5659" w:type="dxa"/>
          </w:tcPr>
          <w:p w14:paraId="1FBB3E01" w14:textId="77777777" w:rsidR="00EF1575" w:rsidRPr="00B33BB6" w:rsidRDefault="00EF1575">
            <w:pPr>
              <w:rPr>
                <w:rFonts w:eastAsia="Montserrat" w:cs="Arial"/>
                <w:szCs w:val="22"/>
              </w:rPr>
            </w:pPr>
            <w:r w:rsidRPr="00B33BB6">
              <w:rPr>
                <w:rFonts w:eastAsia="Montserrat" w:cs="Arial"/>
                <w:szCs w:val="22"/>
              </w:rPr>
              <w:t xml:space="preserve">Percent of project households with cookstoves present, where project cookstove is used at least once per week, determined via survey and visual observation, or estimated with SUMs, in year </w:t>
            </w:r>
            <w:r w:rsidRPr="00B33BB6">
              <w:rPr>
                <w:rFonts w:eastAsia="Montserrat" w:cs="Arial"/>
                <w:i/>
                <w:szCs w:val="22"/>
              </w:rPr>
              <w:t>y.</w:t>
            </w:r>
            <w:r w:rsidRPr="00B33BB6">
              <w:rPr>
                <w:rFonts w:eastAsia="Montserrat" w:cs="Arial"/>
                <w:szCs w:val="22"/>
              </w:rPr>
              <w:t xml:space="preserve"> </w:t>
            </w:r>
          </w:p>
        </w:tc>
        <w:tc>
          <w:tcPr>
            <w:tcW w:w="1995" w:type="dxa"/>
          </w:tcPr>
          <w:p w14:paraId="6D467544" w14:textId="77777777" w:rsidR="00EF1575" w:rsidRPr="00B33BB6" w:rsidRDefault="00EF1575">
            <w:pPr>
              <w:rPr>
                <w:rFonts w:eastAsia="Montserrat" w:cs="Arial"/>
                <w:szCs w:val="22"/>
              </w:rPr>
            </w:pPr>
            <w:r w:rsidRPr="00B33BB6">
              <w:rPr>
                <w:rFonts w:eastAsia="Montserrat" w:cs="Arial"/>
                <w:szCs w:val="22"/>
              </w:rPr>
              <w:t>%</w:t>
            </w:r>
          </w:p>
        </w:tc>
      </w:tr>
      <w:tr w:rsidR="00EF1575" w:rsidRPr="00B33BB6" w14:paraId="5345524A" w14:textId="77777777" w:rsidTr="0053289E">
        <w:tc>
          <w:tcPr>
            <w:tcW w:w="1555" w:type="dxa"/>
          </w:tcPr>
          <w:p w14:paraId="7DEAD469" w14:textId="77777777" w:rsidR="00EF1575"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Days</m:t>
                    </m:r>
                  </m:e>
                  <m:sub>
                    <m:r>
                      <w:rPr>
                        <w:rFonts w:ascii="Cambria Math" w:eastAsia="Cambria Math" w:hAnsi="Cambria Math" w:cs="Arial"/>
                        <w:szCs w:val="22"/>
                      </w:rPr>
                      <m:t>y,h</m:t>
                    </m:r>
                  </m:sub>
                </m:sSub>
              </m:oMath>
            </m:oMathPara>
          </w:p>
        </w:tc>
        <w:tc>
          <w:tcPr>
            <w:tcW w:w="5659" w:type="dxa"/>
          </w:tcPr>
          <w:p w14:paraId="34E3ACCB" w14:textId="77777777" w:rsidR="00EF1575" w:rsidRPr="00B33BB6" w:rsidRDefault="00EF1575">
            <w:pPr>
              <w:rPr>
                <w:rFonts w:eastAsia="Montserrat" w:cs="Arial"/>
                <w:szCs w:val="22"/>
              </w:rPr>
            </w:pPr>
            <w:r w:rsidRPr="00B33BB6">
              <w:rPr>
                <w:rFonts w:eastAsia="Montserrat" w:cs="Arial"/>
                <w:szCs w:val="22"/>
              </w:rPr>
              <w:t xml:space="preserve">Number of total possible project-technology days during the year y in household </w:t>
            </w:r>
            <w:r w:rsidRPr="00B33BB6">
              <w:rPr>
                <w:rFonts w:eastAsia="Montserrat" w:cs="Arial"/>
                <w:i/>
                <w:szCs w:val="22"/>
              </w:rPr>
              <w:t>h</w:t>
            </w:r>
            <w:r w:rsidRPr="00B33BB6">
              <w:rPr>
                <w:rFonts w:eastAsia="Montserrat" w:cs="Arial"/>
                <w:szCs w:val="22"/>
              </w:rPr>
              <w:t xml:space="preserve"> </w:t>
            </w:r>
          </w:p>
        </w:tc>
        <w:tc>
          <w:tcPr>
            <w:tcW w:w="1995" w:type="dxa"/>
          </w:tcPr>
          <w:p w14:paraId="1D68A9C3" w14:textId="77777777" w:rsidR="00EF1575" w:rsidRPr="00B33BB6" w:rsidRDefault="00EF1575">
            <w:pPr>
              <w:rPr>
                <w:rFonts w:eastAsia="Montserrat" w:cs="Arial"/>
                <w:szCs w:val="22"/>
              </w:rPr>
            </w:pPr>
            <w:r w:rsidRPr="00B33BB6">
              <w:rPr>
                <w:rFonts w:eastAsia="Montserrat" w:cs="Arial"/>
                <w:szCs w:val="22"/>
              </w:rPr>
              <w:t>Number</w:t>
            </w:r>
          </w:p>
        </w:tc>
      </w:tr>
      <w:tr w:rsidR="00EF1575" w:rsidRPr="00B33BB6" w14:paraId="406E38A0" w14:textId="77777777" w:rsidTr="0053289E">
        <w:tc>
          <w:tcPr>
            <w:tcW w:w="1555" w:type="dxa"/>
          </w:tcPr>
          <w:p w14:paraId="2572C06B" w14:textId="77777777" w:rsidR="00EF1575" w:rsidRPr="00B33BB6" w:rsidRDefault="0001396C">
            <w:pPr>
              <w:rPr>
                <w:rFonts w:eastAsia="Montserrat" w:cs="Arial"/>
                <w:szCs w:val="22"/>
              </w:rPr>
            </w:pPr>
            <m:oMathPara>
              <m:oMath>
                <m:r>
                  <w:rPr>
                    <w:rFonts w:ascii="Cambria Math" w:eastAsia="Cambria Math" w:hAnsi="Cambria Math" w:cs="Arial"/>
                    <w:szCs w:val="22"/>
                  </w:rPr>
                  <m:t>CD</m:t>
                </m:r>
              </m:oMath>
            </m:oMathPara>
          </w:p>
        </w:tc>
        <w:tc>
          <w:tcPr>
            <w:tcW w:w="5659" w:type="dxa"/>
          </w:tcPr>
          <w:p w14:paraId="3E4C930D" w14:textId="77777777" w:rsidR="00EF1575" w:rsidRPr="00B33BB6" w:rsidRDefault="00EF1575">
            <w:pPr>
              <w:rPr>
                <w:rFonts w:eastAsia="Montserrat" w:cs="Arial"/>
                <w:szCs w:val="22"/>
              </w:rPr>
            </w:pPr>
            <w:r w:rsidRPr="00B33BB6">
              <w:rPr>
                <w:rFonts w:eastAsia="Montserrat" w:cs="Arial"/>
                <w:szCs w:val="22"/>
              </w:rPr>
              <w:t xml:space="preserve">Days in a calendar year </w:t>
            </w:r>
            <w:r w:rsidRPr="00B33BB6">
              <w:rPr>
                <w:rFonts w:eastAsia="Montserrat" w:cs="Arial"/>
                <w:i/>
                <w:szCs w:val="22"/>
              </w:rPr>
              <w:t>y</w:t>
            </w:r>
            <w:r w:rsidRPr="00B33BB6">
              <w:rPr>
                <w:rFonts w:eastAsia="Montserrat" w:cs="Arial"/>
                <w:szCs w:val="22"/>
              </w:rPr>
              <w:t>. Use 366 for leap years, 365 for other years.</w:t>
            </w:r>
          </w:p>
        </w:tc>
        <w:tc>
          <w:tcPr>
            <w:tcW w:w="1995" w:type="dxa"/>
          </w:tcPr>
          <w:p w14:paraId="1AB22CD2" w14:textId="77777777" w:rsidR="00EF1575" w:rsidRPr="00B33BB6" w:rsidRDefault="00EF1575">
            <w:pPr>
              <w:rPr>
                <w:rFonts w:eastAsia="Montserrat" w:cs="Arial"/>
                <w:szCs w:val="22"/>
              </w:rPr>
            </w:pPr>
            <w:r w:rsidRPr="00B33BB6">
              <w:rPr>
                <w:rFonts w:eastAsia="Montserrat" w:cs="Arial"/>
                <w:szCs w:val="22"/>
              </w:rPr>
              <w:t>Number</w:t>
            </w:r>
          </w:p>
        </w:tc>
      </w:tr>
    </w:tbl>
    <w:p w14:paraId="5F7F1EC6" w14:textId="77777777" w:rsidR="00EF1575" w:rsidRDefault="00EF1575" w:rsidP="00EF1575">
      <w:pPr>
        <w:rPr>
          <w:rFonts w:eastAsia="Montserrat" w:cs="Arial"/>
          <w:b/>
          <w:szCs w:val="22"/>
        </w:rPr>
      </w:pPr>
    </w:p>
    <w:p w14:paraId="013686A2" w14:textId="77777777" w:rsidR="00782BA8" w:rsidRDefault="002F0F5D" w:rsidP="002F0F5D">
      <w:pPr>
        <w:pStyle w:val="SDMPara"/>
        <w:spacing w:after="200" w:line="276" w:lineRule="auto"/>
        <w:jc w:val="left"/>
        <w:rPr>
          <w:b/>
          <w:bCs/>
        </w:rPr>
      </w:pPr>
      <w:r w:rsidRPr="000D4A80">
        <w:rPr>
          <w:b/>
        </w:rPr>
        <w:t>Upstream emissions for the baseline scenario</w:t>
      </w:r>
      <w:r w:rsidR="000D4A80">
        <w:rPr>
          <w:b/>
          <w:bCs/>
        </w:rPr>
        <w:t xml:space="preserve">: </w:t>
      </w:r>
    </w:p>
    <w:p w14:paraId="7D1B7D53" w14:textId="3784EAF5" w:rsidR="002F0F5D" w:rsidRPr="00782BA8" w:rsidRDefault="002F0F5D" w:rsidP="00782BA8">
      <w:pPr>
        <w:pStyle w:val="SDMSubPara1"/>
        <w:spacing w:after="200" w:line="276" w:lineRule="auto"/>
        <w:jc w:val="left"/>
        <w:rPr>
          <w:rFonts w:eastAsia="Montserrat"/>
          <w:b/>
        </w:rPr>
      </w:pPr>
      <w:r w:rsidRPr="00782BA8">
        <w:rPr>
          <w:rFonts w:eastAsia="Montserrat"/>
        </w:rPr>
        <w:t xml:space="preserve">Upstream emissions for fuels in year </w:t>
      </w:r>
      <w:r w:rsidRPr="00782BA8">
        <w:rPr>
          <w:rFonts w:eastAsia="Montserrat"/>
          <w:i/>
        </w:rPr>
        <w:t>y</w:t>
      </w:r>
      <w:r w:rsidRPr="00782BA8">
        <w:rPr>
          <w:rFonts w:eastAsia="Montserrat"/>
        </w:rPr>
        <w:t xml:space="preserve"> in the baseline scenario (</w:t>
      </w:r>
      <m:oMath>
        <m:sSub>
          <m:sSubPr>
            <m:ctrlPr>
              <w:rPr>
                <w:rFonts w:ascii="Cambria Math" w:eastAsia="Cambria Math" w:hAnsi="Cambria Math"/>
              </w:rPr>
            </m:ctrlPr>
          </m:sSubPr>
          <m:e>
            <m:r>
              <w:rPr>
                <w:rFonts w:ascii="Cambria Math" w:eastAsia="Cambria Math" w:hAnsi="Cambria Math"/>
              </w:rPr>
              <m:t>UE</m:t>
            </m:r>
          </m:e>
          <m:sub>
            <m:r>
              <w:rPr>
                <w:rFonts w:ascii="Cambria Math" w:eastAsia="Cambria Math" w:hAnsi="Cambria Math"/>
              </w:rPr>
              <m:t>base,i,y</m:t>
            </m:r>
          </m:sub>
        </m:sSub>
      </m:oMath>
      <w:r w:rsidRPr="00782BA8">
        <w:rPr>
          <w:rFonts w:eastAsia="Montserrat"/>
        </w:rPr>
        <w:t>) are calculated using Equation (27):</w:t>
      </w:r>
    </w:p>
    <w:tbl>
      <w:tblPr>
        <w:tblW w:w="9375" w:type="dxa"/>
        <w:tblInd w:w="-142" w:type="dxa"/>
        <w:tblBorders>
          <w:top w:val="nil"/>
          <w:left w:val="nil"/>
          <w:bottom w:val="nil"/>
          <w:right w:val="nil"/>
          <w:insideH w:val="nil"/>
          <w:insideV w:val="nil"/>
        </w:tblBorders>
        <w:tblLayout w:type="fixed"/>
        <w:tblLook w:val="0400" w:firstRow="0" w:lastRow="0" w:firstColumn="0" w:lastColumn="0" w:noHBand="0" w:noVBand="1"/>
      </w:tblPr>
      <w:tblGrid>
        <w:gridCol w:w="8506"/>
        <w:gridCol w:w="869"/>
      </w:tblGrid>
      <w:tr w:rsidR="002F0F5D" w:rsidRPr="00B33BB6" w14:paraId="22DC3B17" w14:textId="77777777">
        <w:tc>
          <w:tcPr>
            <w:tcW w:w="8506" w:type="dxa"/>
            <w:vAlign w:val="center"/>
          </w:tcPr>
          <w:p w14:paraId="22A3E62B" w14:textId="77777777" w:rsidR="002F0F5D" w:rsidRPr="00B33BB6" w:rsidRDefault="00000000">
            <w:pPr>
              <w:jc w:val="center"/>
              <w:rPr>
                <w:rFonts w:eastAsia="Cambria Math"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base,i,y</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 i,y</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i,upstream</m:t>
                    </m:r>
                  </m:sub>
                </m:sSub>
              </m:oMath>
            </m:oMathPara>
          </w:p>
        </w:tc>
        <w:tc>
          <w:tcPr>
            <w:tcW w:w="869" w:type="dxa"/>
            <w:vAlign w:val="center"/>
          </w:tcPr>
          <w:p w14:paraId="04C1D39F" w14:textId="77777777" w:rsidR="002F0F5D" w:rsidRPr="00B33BB6" w:rsidRDefault="002F0F5D">
            <w:pPr>
              <w:jc w:val="right"/>
              <w:rPr>
                <w:rFonts w:eastAsia="Montserrat" w:cs="Arial"/>
                <w:szCs w:val="22"/>
              </w:rPr>
            </w:pPr>
            <w:r w:rsidRPr="00B33BB6">
              <w:rPr>
                <w:rFonts w:cs="Arial"/>
                <w:szCs w:val="22"/>
              </w:rPr>
              <w:t>(</w:t>
            </w:r>
            <w:bookmarkStart w:id="55" w:name="e27"/>
            <w:r w:rsidRPr="00B33BB6">
              <w:rPr>
                <w:rFonts w:cs="Arial"/>
                <w:szCs w:val="22"/>
              </w:rPr>
              <w:t>27</w:t>
            </w:r>
            <w:bookmarkEnd w:id="55"/>
            <w:r w:rsidRPr="00B33BB6">
              <w:rPr>
                <w:rFonts w:cs="Arial"/>
                <w:szCs w:val="22"/>
              </w:rPr>
              <w:t>)</w:t>
            </w:r>
          </w:p>
          <w:p w14:paraId="1AE01FA1" w14:textId="77777777" w:rsidR="002F0F5D" w:rsidRPr="00B33BB6" w:rsidRDefault="002F0F5D">
            <w:pPr>
              <w:jc w:val="right"/>
              <w:rPr>
                <w:rFonts w:cs="Arial"/>
                <w:szCs w:val="22"/>
              </w:rPr>
            </w:pPr>
          </w:p>
          <w:p w14:paraId="232A250D" w14:textId="77777777" w:rsidR="002F0F5D" w:rsidRPr="00B33BB6" w:rsidRDefault="002F0F5D">
            <w:pPr>
              <w:jc w:val="right"/>
              <w:rPr>
                <w:rFonts w:eastAsia="Montserrat" w:cs="Arial"/>
                <w:szCs w:val="22"/>
              </w:rPr>
            </w:pPr>
          </w:p>
        </w:tc>
      </w:tr>
    </w:tbl>
    <w:p w14:paraId="75D3B340" w14:textId="77777777" w:rsidR="002F0F5D" w:rsidRPr="00B33BB6" w:rsidRDefault="002F0F5D" w:rsidP="002F0F5D">
      <w:pPr>
        <w:rPr>
          <w:rFonts w:eastAsia="Montserrat" w:cs="Arial"/>
          <w:szCs w:val="22"/>
        </w:rPr>
      </w:pPr>
    </w:p>
    <w:p w14:paraId="55908C8B" w14:textId="77777777" w:rsidR="00782BA8" w:rsidRPr="00B33BB6" w:rsidRDefault="002F0F5D" w:rsidP="002F0F5D">
      <w:pPr>
        <w:pStyle w:val="SDMSubPara1"/>
        <w:rPr>
          <w:rFonts w:eastAsia="Montserrat"/>
        </w:rPr>
      </w:pPr>
      <w:r w:rsidRPr="00782BA8">
        <w:rPr>
          <w:rFonts w:eastAsia="Montserrat"/>
        </w:rPr>
        <w:t xml:space="preserve">For CTEC projects using the back-calculation approach, </w:t>
      </w:r>
      <m:oMath>
        <m:sSub>
          <m:sSubPr>
            <m:ctrlPr>
              <w:rPr>
                <w:rFonts w:ascii="Cambria Math" w:eastAsia="Cambria Math" w:hAnsi="Cambria Math"/>
              </w:rPr>
            </m:ctrlPr>
          </m:sSubPr>
          <m:e>
            <m:r>
              <w:rPr>
                <w:rFonts w:ascii="Cambria Math" w:eastAsia="Cambria Math" w:hAnsi="Cambria Math"/>
              </w:rPr>
              <m:t>EC</m:t>
            </m:r>
          </m:e>
          <m:sub>
            <m:r>
              <w:rPr>
                <w:rFonts w:ascii="Cambria Math" w:eastAsia="Cambria Math" w:hAnsi="Cambria Math"/>
              </w:rPr>
              <m:t>base, i,y</m:t>
            </m:r>
          </m:sub>
        </m:sSub>
      </m:oMath>
      <w:r w:rsidRPr="00782BA8">
        <w:rPr>
          <w:rFonts w:eastAsia="Montserrat"/>
        </w:rPr>
        <w:t xml:space="preserve"> shall be taken as equal to </w:t>
      </w:r>
      <m:oMath>
        <m:sSub>
          <m:sSubPr>
            <m:ctrlPr>
              <w:rPr>
                <w:rFonts w:ascii="Cambria Math" w:eastAsia="Cambria Math" w:hAnsi="Cambria Math"/>
              </w:rPr>
            </m:ctrlPr>
          </m:sSubPr>
          <m:e>
            <m:r>
              <w:rPr>
                <w:rFonts w:ascii="Cambria Math" w:eastAsia="Cambria Math" w:hAnsi="Cambria Math"/>
              </w:rPr>
              <m:t>EC</m:t>
            </m:r>
          </m:e>
          <m:sub>
            <m:r>
              <w:rPr>
                <w:rFonts w:ascii="Cambria Math" w:eastAsia="Cambria Math" w:hAnsi="Cambria Math"/>
              </w:rPr>
              <m:t>d-base,i,y</m:t>
            </m:r>
          </m:sub>
        </m:sSub>
      </m:oMath>
      <w:r w:rsidRPr="00782BA8">
        <w:rPr>
          <w:rFonts w:eastAsia="Montserrat"/>
        </w:rPr>
        <w:t>.</w:t>
      </w:r>
    </w:p>
    <w:p w14:paraId="522BBE15" w14:textId="77777777" w:rsidR="002F0F5D" w:rsidRPr="00782BA8" w:rsidRDefault="002F0F5D" w:rsidP="002F0F5D">
      <w:pPr>
        <w:pStyle w:val="SDMSubPara1"/>
        <w:rPr>
          <w:rFonts w:eastAsia="Montserrat"/>
        </w:rPr>
      </w:pPr>
      <w:r w:rsidRPr="00782BA8">
        <w:rPr>
          <w:rFonts w:eastAsia="Montserrat"/>
        </w:rPr>
        <w:t xml:space="preserve">For CTEC projects using the KPT approach, </w:t>
      </w:r>
      <m:oMath>
        <m:sSub>
          <m:sSubPr>
            <m:ctrlPr>
              <w:rPr>
                <w:rFonts w:ascii="Cambria Math" w:eastAsia="Cambria Math" w:hAnsi="Cambria Math"/>
              </w:rPr>
            </m:ctrlPr>
          </m:sSubPr>
          <m:e>
            <m:r>
              <w:rPr>
                <w:rFonts w:ascii="Cambria Math" w:eastAsia="Cambria Math" w:hAnsi="Cambria Math"/>
              </w:rPr>
              <m:t>EC</m:t>
            </m:r>
          </m:e>
          <m:sub>
            <m:r>
              <w:rPr>
                <w:rFonts w:ascii="Cambria Math" w:eastAsia="Cambria Math" w:hAnsi="Cambria Math"/>
              </w:rPr>
              <m:t>base, i,y</m:t>
            </m:r>
          </m:sub>
        </m:sSub>
      </m:oMath>
      <w:r w:rsidRPr="00782BA8">
        <w:rPr>
          <w:rFonts w:eastAsia="Montserrat"/>
        </w:rPr>
        <w:t xml:space="preserve"> is calculated by scaling the amount of energy consumption for each fuel during the KPT per TJ of project fuel during the KPT by the total tracked project fuel consumption per year: </w:t>
      </w:r>
    </w:p>
    <w:p w14:paraId="73281367" w14:textId="77777777" w:rsidR="002F0F5D" w:rsidRPr="00B33BB6" w:rsidRDefault="002F0F5D" w:rsidP="002F0F5D">
      <w:pPr>
        <w:rPr>
          <w:rFonts w:eastAsia="Montserrat" w:cs="Arial"/>
          <w:szCs w:val="22"/>
        </w:rPr>
      </w:pPr>
    </w:p>
    <w:tbl>
      <w:tblPr>
        <w:tblW w:w="9375" w:type="dxa"/>
        <w:tblInd w:w="-142" w:type="dxa"/>
        <w:tblBorders>
          <w:top w:val="nil"/>
          <w:left w:val="nil"/>
          <w:bottom w:val="nil"/>
          <w:right w:val="nil"/>
          <w:insideH w:val="nil"/>
          <w:insideV w:val="nil"/>
        </w:tblBorders>
        <w:tblLayout w:type="fixed"/>
        <w:tblLook w:val="0400" w:firstRow="0" w:lastRow="0" w:firstColumn="0" w:lastColumn="0" w:noHBand="0" w:noVBand="1"/>
      </w:tblPr>
      <w:tblGrid>
        <w:gridCol w:w="8506"/>
        <w:gridCol w:w="869"/>
      </w:tblGrid>
      <w:tr w:rsidR="002F0F5D" w:rsidRPr="00B33BB6" w14:paraId="2749C1B3" w14:textId="77777777">
        <w:tc>
          <w:tcPr>
            <w:tcW w:w="8506" w:type="dxa"/>
            <w:vAlign w:val="center"/>
          </w:tcPr>
          <w:p w14:paraId="637D4636" w14:textId="77777777" w:rsidR="002F0F5D" w:rsidRPr="00B33BB6" w:rsidRDefault="00000000">
            <w:pPr>
              <w:jc w:val="center"/>
              <w:rPr>
                <w:rFonts w:eastAsia="Cambria Math"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 i,y</m:t>
                    </m:r>
                  </m:sub>
                </m:sSub>
                <m:r>
                  <w:rPr>
                    <w:rFonts w:ascii="Cambria Math" w:eastAsia="Cambria Math" w:hAnsi="Cambria Math" w:cs="Arial"/>
                    <w:szCs w:val="22"/>
                  </w:rPr>
                  <m:t>=</m:t>
                </m:r>
                <m:f>
                  <m:fPr>
                    <m:ctrlPr>
                      <w:rPr>
                        <w:rFonts w:ascii="Cambria Math" w:eastAsia="Cambria Math" w:hAnsi="Cambria Math" w:cs="Arial"/>
                        <w:szCs w:val="22"/>
                      </w:rPr>
                    </m:ctrlPr>
                  </m:fPr>
                  <m:num>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base,KPT,i</m:t>
                        </m:r>
                      </m:sub>
                    </m:sSub>
                  </m:num>
                  <m:den>
                    <m:r>
                      <w:rPr>
                        <w:rFonts w:ascii="Cambria Math" w:eastAsia="Cambria Math" w:hAnsi="Cambria Math" w:cs="Arial"/>
                        <w:szCs w:val="22"/>
                      </w:rPr>
                      <m:t>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proj,KPT,j-project</m:t>
                        </m:r>
                      </m:sub>
                    </m:sSub>
                  </m:den>
                </m:f>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oMath>
            </m:oMathPara>
          </w:p>
        </w:tc>
        <w:tc>
          <w:tcPr>
            <w:tcW w:w="869" w:type="dxa"/>
            <w:vAlign w:val="center"/>
          </w:tcPr>
          <w:p w14:paraId="57FB5FC1" w14:textId="77777777" w:rsidR="002F0F5D" w:rsidRPr="00B33BB6" w:rsidRDefault="002F0F5D">
            <w:pPr>
              <w:jc w:val="right"/>
              <w:rPr>
                <w:rFonts w:eastAsia="Montserrat" w:cs="Arial"/>
                <w:szCs w:val="22"/>
              </w:rPr>
            </w:pPr>
            <w:r w:rsidRPr="00B33BB6">
              <w:rPr>
                <w:rFonts w:cs="Arial"/>
                <w:szCs w:val="22"/>
              </w:rPr>
              <w:t>(</w:t>
            </w:r>
            <w:bookmarkStart w:id="56" w:name="e29"/>
            <w:r w:rsidRPr="00B33BB6">
              <w:rPr>
                <w:rFonts w:cs="Arial"/>
                <w:szCs w:val="22"/>
              </w:rPr>
              <w:t>29</w:t>
            </w:r>
            <w:bookmarkEnd w:id="56"/>
            <w:r w:rsidRPr="00B33BB6">
              <w:rPr>
                <w:rFonts w:cs="Arial"/>
                <w:szCs w:val="22"/>
              </w:rPr>
              <w:t>)</w:t>
            </w:r>
          </w:p>
          <w:p w14:paraId="61955CA8" w14:textId="77777777" w:rsidR="002F0F5D" w:rsidRPr="00B33BB6" w:rsidRDefault="002F0F5D">
            <w:pPr>
              <w:jc w:val="right"/>
              <w:rPr>
                <w:rFonts w:cs="Arial"/>
                <w:szCs w:val="22"/>
              </w:rPr>
            </w:pPr>
          </w:p>
          <w:p w14:paraId="3A10884D" w14:textId="77777777" w:rsidR="002F0F5D" w:rsidRPr="00B33BB6" w:rsidRDefault="002F0F5D">
            <w:pPr>
              <w:jc w:val="right"/>
              <w:rPr>
                <w:rFonts w:eastAsia="Montserrat" w:cs="Arial"/>
                <w:szCs w:val="22"/>
              </w:rPr>
            </w:pPr>
          </w:p>
        </w:tc>
      </w:tr>
      <w:tr w:rsidR="002F0F5D" w:rsidRPr="00B33BB6" w14:paraId="410A6B4A" w14:textId="77777777">
        <w:tc>
          <w:tcPr>
            <w:tcW w:w="8506" w:type="dxa"/>
            <w:vAlign w:val="center"/>
          </w:tcPr>
          <w:p w14:paraId="5398ADB1" w14:textId="77777777" w:rsidR="002F0F5D" w:rsidRPr="00B33BB6" w:rsidRDefault="002F0F5D">
            <w:pPr>
              <w:jc w:val="center"/>
              <w:rPr>
                <w:rFonts w:eastAsia="Montserrat" w:cs="Arial"/>
                <w:szCs w:val="22"/>
              </w:rPr>
            </w:pPr>
          </w:p>
        </w:tc>
        <w:tc>
          <w:tcPr>
            <w:tcW w:w="869" w:type="dxa"/>
            <w:vAlign w:val="center"/>
          </w:tcPr>
          <w:p w14:paraId="234C4BF3" w14:textId="77777777" w:rsidR="002F0F5D" w:rsidRPr="00B33BB6" w:rsidRDefault="002F0F5D">
            <w:pPr>
              <w:jc w:val="right"/>
              <w:rPr>
                <w:rFonts w:cs="Arial"/>
                <w:szCs w:val="22"/>
              </w:rPr>
            </w:pPr>
          </w:p>
        </w:tc>
      </w:tr>
    </w:tbl>
    <w:p w14:paraId="47C2D0B2" w14:textId="77777777" w:rsidR="002F0F5D" w:rsidRPr="00B33BB6" w:rsidRDefault="002F0F5D" w:rsidP="002F0F5D">
      <w:pPr>
        <w:rPr>
          <w:rFonts w:eastAsia="Montserrat" w:cs="Arial"/>
          <w:szCs w:val="22"/>
        </w:rPr>
      </w:pPr>
      <w:r w:rsidRPr="00B33BB6">
        <w:rPr>
          <w:rFonts w:eastAsia="Montserrat" w:cs="Arial"/>
          <w:szCs w:val="22"/>
        </w:rPr>
        <w:t>Where:</w:t>
      </w:r>
    </w:p>
    <w:p w14:paraId="17CD1C33" w14:textId="77777777" w:rsidR="002F0F5D" w:rsidRPr="00B33BB6" w:rsidRDefault="002F0F5D" w:rsidP="002F0F5D">
      <w:pPr>
        <w:rPr>
          <w:rFonts w:eastAsia="Montserrat" w:cs="Arial"/>
          <w:szCs w:val="22"/>
        </w:rPr>
      </w:pPr>
    </w:p>
    <w:tbl>
      <w:tblPr>
        <w:tblStyle w:val="TableGrid"/>
        <w:tblW w:w="9209" w:type="dxa"/>
        <w:tblLayout w:type="fixed"/>
        <w:tblLook w:val="04A0" w:firstRow="1" w:lastRow="0" w:firstColumn="1" w:lastColumn="0" w:noHBand="0" w:noVBand="1"/>
      </w:tblPr>
      <w:tblGrid>
        <w:gridCol w:w="2122"/>
        <w:gridCol w:w="4819"/>
        <w:gridCol w:w="2268"/>
      </w:tblGrid>
      <w:tr w:rsidR="002F0F5D" w:rsidRPr="00B33BB6" w14:paraId="3331850F" w14:textId="77777777">
        <w:tc>
          <w:tcPr>
            <w:tcW w:w="2122" w:type="dxa"/>
          </w:tcPr>
          <w:p w14:paraId="32BF9AB5" w14:textId="77777777" w:rsidR="002F0F5D" w:rsidRPr="00B33BB6" w:rsidRDefault="002F0F5D">
            <w:pPr>
              <w:rPr>
                <w:rFonts w:eastAsia="Montserrat" w:cs="Arial"/>
                <w:b/>
                <w:bCs/>
                <w:szCs w:val="22"/>
              </w:rPr>
            </w:pPr>
            <w:r w:rsidRPr="00B33BB6">
              <w:rPr>
                <w:rFonts w:eastAsia="Montserrat" w:cs="Arial"/>
                <w:b/>
                <w:bCs/>
                <w:szCs w:val="22"/>
              </w:rPr>
              <w:t>Parameter</w:t>
            </w:r>
          </w:p>
        </w:tc>
        <w:tc>
          <w:tcPr>
            <w:tcW w:w="4819" w:type="dxa"/>
          </w:tcPr>
          <w:p w14:paraId="7B9EE4D9" w14:textId="77777777" w:rsidR="002F0F5D" w:rsidRPr="00B33BB6" w:rsidRDefault="002F0F5D">
            <w:pPr>
              <w:rPr>
                <w:rFonts w:eastAsia="Montserrat" w:cs="Arial"/>
                <w:b/>
                <w:bCs/>
                <w:szCs w:val="22"/>
              </w:rPr>
            </w:pPr>
            <w:r w:rsidRPr="00B33BB6">
              <w:rPr>
                <w:rFonts w:eastAsia="Montserrat" w:cs="Arial"/>
                <w:b/>
                <w:bCs/>
                <w:szCs w:val="22"/>
              </w:rPr>
              <w:t>Description</w:t>
            </w:r>
          </w:p>
        </w:tc>
        <w:tc>
          <w:tcPr>
            <w:tcW w:w="2268" w:type="dxa"/>
          </w:tcPr>
          <w:p w14:paraId="19BE4388" w14:textId="77777777" w:rsidR="002F0F5D" w:rsidRPr="00B33BB6" w:rsidRDefault="002F0F5D">
            <w:pPr>
              <w:rPr>
                <w:rFonts w:eastAsia="Montserrat" w:cs="Arial"/>
                <w:b/>
                <w:bCs/>
                <w:szCs w:val="22"/>
              </w:rPr>
            </w:pPr>
            <w:r w:rsidRPr="00B33BB6">
              <w:rPr>
                <w:rFonts w:eastAsia="Montserrat" w:cs="Arial"/>
                <w:b/>
                <w:bCs/>
                <w:szCs w:val="22"/>
              </w:rPr>
              <w:t>Unit</w:t>
            </w:r>
          </w:p>
        </w:tc>
      </w:tr>
      <w:tr w:rsidR="002F0F5D" w:rsidRPr="00B33BB6" w14:paraId="1E6FFC31" w14:textId="77777777">
        <w:tc>
          <w:tcPr>
            <w:tcW w:w="2122" w:type="dxa"/>
          </w:tcPr>
          <w:p w14:paraId="0DCA6353" w14:textId="77777777" w:rsidR="002F0F5D" w:rsidRPr="00B33BB6" w:rsidRDefault="00000000">
            <w:pPr>
              <w:rPr>
                <w:rFonts w:eastAsia="Montserrat" w:cs="Arial"/>
                <w:b/>
                <w:bCs/>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base,i,y</m:t>
                    </m:r>
                  </m:sub>
                </m:sSub>
              </m:oMath>
            </m:oMathPara>
          </w:p>
        </w:tc>
        <w:tc>
          <w:tcPr>
            <w:tcW w:w="4819" w:type="dxa"/>
          </w:tcPr>
          <w:p w14:paraId="28511695" w14:textId="77777777" w:rsidR="002F0F5D" w:rsidRPr="00B33BB6" w:rsidRDefault="002F0F5D">
            <w:pPr>
              <w:rPr>
                <w:rFonts w:eastAsia="Montserrat" w:cs="Arial"/>
                <w:b/>
                <w:szCs w:val="22"/>
              </w:rPr>
            </w:pPr>
            <w:r w:rsidRPr="00B33BB6">
              <w:rPr>
                <w:rFonts w:eastAsia="Montserrat" w:cs="Arial"/>
                <w:szCs w:val="22"/>
              </w:rPr>
              <w:t xml:space="preserve">Upstream emissions for baseline fuel </w:t>
            </w:r>
            <w:proofErr w:type="spellStart"/>
            <w:r w:rsidRPr="00B33BB6">
              <w:rPr>
                <w:rFonts w:eastAsia="Montserrat" w:cs="Arial"/>
                <w:i/>
                <w:szCs w:val="22"/>
              </w:rPr>
              <w:t>i</w:t>
            </w:r>
            <w:proofErr w:type="spellEnd"/>
            <w:r w:rsidRPr="00B33BB6">
              <w:rPr>
                <w:rFonts w:eastAsia="Montserrat" w:cs="Arial"/>
                <w:i/>
                <w:szCs w:val="22"/>
              </w:rPr>
              <w:t xml:space="preserve"> </w:t>
            </w:r>
            <w:r w:rsidRPr="00B33BB6">
              <w:rPr>
                <w:rFonts w:eastAsia="Montserrat" w:cs="Arial"/>
                <w:szCs w:val="22"/>
              </w:rPr>
              <w:t>in year</w:t>
            </w:r>
            <w:r w:rsidRPr="00B33BB6">
              <w:rPr>
                <w:rFonts w:eastAsia="Montserrat" w:cs="Arial"/>
                <w:i/>
                <w:szCs w:val="22"/>
              </w:rPr>
              <w:t xml:space="preserve"> y</w:t>
            </w:r>
          </w:p>
        </w:tc>
        <w:tc>
          <w:tcPr>
            <w:tcW w:w="2268" w:type="dxa"/>
          </w:tcPr>
          <w:p w14:paraId="49DC2B25" w14:textId="77777777" w:rsidR="002F0F5D" w:rsidRPr="00B33BB6" w:rsidRDefault="002F0F5D">
            <w:pPr>
              <w:rPr>
                <w:rFonts w:eastAsia="Montserrat" w:cs="Arial"/>
                <w:b/>
                <w:bCs/>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2F0F5D" w:rsidRPr="00B33BB6" w14:paraId="2CA5E9A2" w14:textId="77777777">
        <w:tc>
          <w:tcPr>
            <w:tcW w:w="2122" w:type="dxa"/>
          </w:tcPr>
          <w:p w14:paraId="492A9DCC" w14:textId="77777777" w:rsidR="002F0F5D"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base,i,y</m:t>
                    </m:r>
                  </m:sub>
                </m:sSub>
              </m:oMath>
            </m:oMathPara>
          </w:p>
        </w:tc>
        <w:tc>
          <w:tcPr>
            <w:tcW w:w="4819" w:type="dxa"/>
          </w:tcPr>
          <w:p w14:paraId="02F46538" w14:textId="77777777" w:rsidR="002F0F5D" w:rsidRPr="00B33BB6" w:rsidRDefault="002F0F5D">
            <w:pPr>
              <w:rPr>
                <w:rFonts w:eastAsia="Montserrat" w:cs="Arial"/>
                <w:szCs w:val="22"/>
              </w:rPr>
            </w:pPr>
            <w:r w:rsidRPr="00B33BB6">
              <w:rPr>
                <w:rFonts w:eastAsia="Montserrat" w:cs="Arial"/>
                <w:szCs w:val="22"/>
              </w:rPr>
              <w:t>Energy consumption for a fuel</w:t>
            </w:r>
            <w:r w:rsidRPr="00B33BB6">
              <w:rPr>
                <w:rFonts w:eastAsia="Montserrat" w:cs="Arial"/>
                <w:i/>
                <w:szCs w:val="22"/>
              </w:rPr>
              <w:t xml:space="preserve"> </w:t>
            </w:r>
            <w:proofErr w:type="spellStart"/>
            <w:r w:rsidRPr="00B33BB6">
              <w:rPr>
                <w:rFonts w:eastAsia="Montserrat" w:cs="Arial"/>
                <w:i/>
                <w:szCs w:val="22"/>
              </w:rPr>
              <w:t>i</w:t>
            </w:r>
            <w:proofErr w:type="spellEnd"/>
            <w:r w:rsidRPr="00B33BB6">
              <w:rPr>
                <w:rFonts w:eastAsia="Montserrat" w:cs="Arial"/>
                <w:szCs w:val="22"/>
              </w:rPr>
              <w:t xml:space="preserve"> in the baseline scenario in year </w:t>
            </w:r>
            <w:r w:rsidRPr="00B33BB6">
              <w:rPr>
                <w:rFonts w:eastAsia="Montserrat" w:cs="Arial"/>
                <w:i/>
                <w:szCs w:val="22"/>
              </w:rPr>
              <w:t>y</w:t>
            </w:r>
            <w:r w:rsidRPr="00B33BB6">
              <w:rPr>
                <w:rFonts w:eastAsia="Montserrat" w:cs="Arial"/>
                <w:szCs w:val="22"/>
              </w:rPr>
              <w:t xml:space="preserve"> </w:t>
            </w:r>
          </w:p>
        </w:tc>
        <w:tc>
          <w:tcPr>
            <w:tcW w:w="2268" w:type="dxa"/>
          </w:tcPr>
          <w:p w14:paraId="74DBBB1B" w14:textId="77777777" w:rsidR="002F0F5D" w:rsidRPr="00B33BB6" w:rsidRDefault="002F0F5D">
            <w:pPr>
              <w:rPr>
                <w:rFonts w:eastAsia="Montserrat" w:cs="Arial"/>
                <w:szCs w:val="22"/>
              </w:rPr>
            </w:pPr>
            <w:r w:rsidRPr="00B33BB6">
              <w:rPr>
                <w:rFonts w:eastAsia="Montserrat" w:cs="Arial"/>
                <w:szCs w:val="22"/>
              </w:rPr>
              <w:t>TJ</w:t>
            </w:r>
          </w:p>
        </w:tc>
      </w:tr>
      <w:tr w:rsidR="002F0F5D" w:rsidRPr="00B33BB6" w14:paraId="787571C9" w14:textId="77777777">
        <w:tc>
          <w:tcPr>
            <w:tcW w:w="2122" w:type="dxa"/>
          </w:tcPr>
          <w:p w14:paraId="7400A8C4" w14:textId="77777777" w:rsidR="002F0F5D"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i,upstream</m:t>
                    </m:r>
                  </m:sub>
                </m:sSub>
              </m:oMath>
            </m:oMathPara>
          </w:p>
        </w:tc>
        <w:tc>
          <w:tcPr>
            <w:tcW w:w="4819" w:type="dxa"/>
          </w:tcPr>
          <w:p w14:paraId="58575AE4" w14:textId="77777777" w:rsidR="002F0F5D" w:rsidRPr="00B33BB6" w:rsidRDefault="002F0F5D">
            <w:pPr>
              <w:rPr>
                <w:rFonts w:eastAsia="Montserrat" w:cs="Arial"/>
                <w:szCs w:val="22"/>
              </w:rPr>
            </w:pPr>
            <w:r w:rsidRPr="00B33BB6">
              <w:rPr>
                <w:rFonts w:eastAsia="Montserrat" w:cs="Arial"/>
                <w:szCs w:val="22"/>
              </w:rPr>
              <w:t xml:space="preserve">Upstream emission factor for fuel </w:t>
            </w:r>
            <w:proofErr w:type="spellStart"/>
            <w:r w:rsidRPr="00B33BB6">
              <w:rPr>
                <w:rFonts w:eastAsia="Montserrat" w:cs="Arial"/>
                <w:i/>
                <w:szCs w:val="22"/>
              </w:rPr>
              <w:t>i</w:t>
            </w:r>
            <w:proofErr w:type="spellEnd"/>
            <w:r w:rsidRPr="00B33BB6">
              <w:rPr>
                <w:rFonts w:eastAsia="Montserrat" w:cs="Arial"/>
                <w:i/>
                <w:szCs w:val="22"/>
              </w:rPr>
              <w:t xml:space="preserve"> </w:t>
            </w:r>
            <w:r w:rsidRPr="00B33BB6">
              <w:rPr>
                <w:rFonts w:eastAsia="Montserrat" w:cs="Arial"/>
                <w:szCs w:val="22"/>
              </w:rPr>
              <w:t xml:space="preserve">  </w:t>
            </w:r>
          </w:p>
        </w:tc>
        <w:tc>
          <w:tcPr>
            <w:tcW w:w="2268" w:type="dxa"/>
          </w:tcPr>
          <w:p w14:paraId="2A46C80D" w14:textId="77777777" w:rsidR="002F0F5D" w:rsidRPr="00B33BB6" w:rsidRDefault="002F0F5D">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/TJ</w:t>
            </w:r>
          </w:p>
        </w:tc>
      </w:tr>
      <w:tr w:rsidR="002F0F5D" w:rsidRPr="00B33BB6" w14:paraId="0D25B180" w14:textId="77777777">
        <w:tc>
          <w:tcPr>
            <w:tcW w:w="2122" w:type="dxa"/>
          </w:tcPr>
          <w:p w14:paraId="4C9B2EC5" w14:textId="77777777" w:rsidR="002F0F5D"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base,KPT,i</m:t>
                    </m:r>
                  </m:sub>
                </m:sSub>
              </m:oMath>
            </m:oMathPara>
          </w:p>
        </w:tc>
        <w:tc>
          <w:tcPr>
            <w:tcW w:w="4819" w:type="dxa"/>
          </w:tcPr>
          <w:p w14:paraId="785E140E" w14:textId="59E68582" w:rsidR="002F0F5D" w:rsidRPr="00B33BB6" w:rsidRDefault="002F0F5D">
            <w:pPr>
              <w:rPr>
                <w:rFonts w:eastAsia="Montserrat" w:cs="Arial"/>
                <w:szCs w:val="22"/>
              </w:rPr>
            </w:pPr>
            <w:r w:rsidRPr="00B33BB6">
              <w:rPr>
                <w:rFonts w:eastAsia="Montserrat" w:cs="Arial"/>
                <w:szCs w:val="22"/>
              </w:rPr>
              <w:t xml:space="preserve">Energy consumption of baseline fuel </w:t>
            </w:r>
            <w:proofErr w:type="spellStart"/>
            <w:r w:rsidRPr="00B33BB6">
              <w:rPr>
                <w:rFonts w:eastAsia="Montserrat" w:cs="Arial"/>
                <w:i/>
                <w:szCs w:val="22"/>
              </w:rPr>
              <w:t>i</w:t>
            </w:r>
            <w:proofErr w:type="spellEnd"/>
            <w:r w:rsidRPr="00B33BB6">
              <w:rPr>
                <w:rFonts w:eastAsia="Montserrat" w:cs="Arial"/>
                <w:szCs w:val="22"/>
              </w:rPr>
              <w:t xml:space="preserve"> for CTEC projects based on baseline KPT. Where fuels such as pellets and briquettes are made from a mix of renewable and non-renewable sources (e.g., renewable agricultural waste and non-renewable wood), each source should be </w:t>
            </w:r>
            <w:r w:rsidRPr="00D830E1">
              <w:rPr>
                <w:rFonts w:eastAsia="Montserrat" w:cs="Arial"/>
                <w:szCs w:val="22"/>
              </w:rPr>
              <w:t xml:space="preserve">considered its own fuel. (See example in </w:t>
            </w:r>
            <w:hyperlink w:anchor="footnote11" w:history="1">
              <w:r w:rsidRPr="00D830E1">
                <w:rPr>
                  <w:rStyle w:val="Hyperlink"/>
                  <w:rFonts w:eastAsia="Montserrat" w:cs="Arial"/>
                  <w:szCs w:val="22"/>
                  <w:lang w:val="en-GB"/>
                </w:rPr>
                <w:t>footnote 1</w:t>
              </w:r>
              <w:r w:rsidR="009D68C3" w:rsidRPr="00D830E1">
                <w:rPr>
                  <w:rStyle w:val="Hyperlink"/>
                  <w:rFonts w:eastAsia="Montserrat" w:cs="Arial"/>
                  <w:szCs w:val="22"/>
                </w:rPr>
                <w:t>1</w:t>
              </w:r>
            </w:hyperlink>
            <w:r w:rsidRPr="00D830E1">
              <w:rPr>
                <w:rFonts w:eastAsia="Montserrat" w:cs="Arial"/>
                <w:szCs w:val="22"/>
              </w:rPr>
              <w:t>)</w:t>
            </w:r>
            <w:r w:rsidRPr="00B33BB6">
              <w:rPr>
                <w:rFonts w:eastAsia="Montserrat" w:cs="Arial"/>
                <w:szCs w:val="22"/>
              </w:rPr>
              <w:t xml:space="preserve"> </w:t>
            </w:r>
          </w:p>
        </w:tc>
        <w:tc>
          <w:tcPr>
            <w:tcW w:w="2268" w:type="dxa"/>
          </w:tcPr>
          <w:p w14:paraId="4C344AC8" w14:textId="77777777" w:rsidR="002F0F5D" w:rsidRPr="00B33BB6" w:rsidRDefault="002F0F5D">
            <w:pPr>
              <w:rPr>
                <w:rFonts w:eastAsia="Montserrat" w:cs="Arial"/>
                <w:szCs w:val="22"/>
              </w:rPr>
            </w:pPr>
            <w:r w:rsidRPr="00B33BB6">
              <w:rPr>
                <w:rFonts w:eastAsia="Montserrat" w:cs="Arial"/>
                <w:szCs w:val="22"/>
              </w:rPr>
              <w:t>TJ/(person*year)</w:t>
            </w:r>
          </w:p>
        </w:tc>
      </w:tr>
    </w:tbl>
    <w:p w14:paraId="236EFBE5" w14:textId="77777777" w:rsidR="00F330B0" w:rsidRDefault="00F330B0" w:rsidP="00F330B0">
      <w:pPr>
        <w:pStyle w:val="SDMHead2"/>
      </w:pPr>
      <w:bookmarkStart w:id="57" w:name="_Toc203294056"/>
      <w:r>
        <w:t>Calculation of the downward adjusted baseline</w:t>
      </w:r>
      <w:bookmarkEnd w:id="57"/>
    </w:p>
    <w:p w14:paraId="16A78A1D" w14:textId="77777777" w:rsidR="004F317D" w:rsidRDefault="004F317D" w:rsidP="004F317D">
      <w:pPr>
        <w:rPr>
          <w:rFonts w:eastAsia="Montserrat" w:cs="Arial"/>
          <w:b/>
          <w:bCs/>
          <w:color w:val="000000" w:themeColor="text1"/>
          <w:szCs w:val="22"/>
        </w:rPr>
      </w:pPr>
    </w:p>
    <w:p w14:paraId="059A53B0" w14:textId="79EFF869" w:rsidR="00782BA8" w:rsidRDefault="004F317D" w:rsidP="004F317D">
      <w:pPr>
        <w:pStyle w:val="SDMPara"/>
        <w:rPr>
          <w:rFonts w:eastAsia="Montserrat"/>
          <w:b/>
          <w:color w:val="000000" w:themeColor="text1"/>
        </w:rPr>
      </w:pPr>
      <w:r w:rsidRPr="000D4A80">
        <w:rPr>
          <w:rFonts w:eastAsia="Montserrat"/>
          <w:b/>
          <w:color w:val="000000" w:themeColor="text1"/>
        </w:rPr>
        <w:t xml:space="preserve">Downward adjustment in the calendar year of the start date of the crediting period for CTEC projects </w:t>
      </w:r>
      <w:proofErr w:type="gramStart"/>
      <w:r w:rsidRPr="000D4A80">
        <w:rPr>
          <w:rFonts w:eastAsia="Montserrat"/>
          <w:b/>
          <w:color w:val="000000" w:themeColor="text1"/>
        </w:rPr>
        <w:t>back-calculating</w:t>
      </w:r>
      <w:proofErr w:type="gramEnd"/>
      <w:r w:rsidRPr="000D4A80">
        <w:rPr>
          <w:rFonts w:eastAsia="Montserrat"/>
          <w:b/>
          <w:color w:val="000000" w:themeColor="text1"/>
        </w:rPr>
        <w:t xml:space="preserve"> the baseline</w:t>
      </w:r>
      <w:r w:rsidR="00D50D90">
        <w:rPr>
          <w:rFonts w:eastAsia="Montserrat"/>
          <w:b/>
          <w:color w:val="000000" w:themeColor="text1"/>
        </w:rPr>
        <w:t>:</w:t>
      </w:r>
      <w:r w:rsidRPr="000D4A80">
        <w:rPr>
          <w:rFonts w:eastAsia="Montserrat"/>
          <w:b/>
          <w:color w:val="000000" w:themeColor="text1"/>
        </w:rPr>
        <w:t xml:space="preserve">  </w:t>
      </w:r>
    </w:p>
    <w:p w14:paraId="05E67974" w14:textId="52F08BC1" w:rsidR="00782BA8" w:rsidRPr="00782BA8" w:rsidRDefault="004F317D" w:rsidP="004F317D">
      <w:pPr>
        <w:pStyle w:val="SDMSubPara1"/>
        <w:rPr>
          <w:rFonts w:eastAsia="Montserrat"/>
          <w:b/>
          <w:color w:val="000000" w:themeColor="text1"/>
        </w:rPr>
      </w:pPr>
      <w:r w:rsidRPr="00782BA8">
        <w:rPr>
          <w:rFonts w:eastAsia="Arial"/>
          <w:color w:val="000000" w:themeColor="text1"/>
        </w:rPr>
        <w:t xml:space="preserve">For CTEC projects deriving baseline energy consumption from </w:t>
      </w:r>
      <w:proofErr w:type="gramStart"/>
      <w:r w:rsidRPr="00782BA8">
        <w:rPr>
          <w:rFonts w:eastAsia="Arial"/>
          <w:color w:val="000000" w:themeColor="text1"/>
        </w:rPr>
        <w:t>back-calculating</w:t>
      </w:r>
      <w:proofErr w:type="gramEnd"/>
      <w:r w:rsidRPr="00782BA8">
        <w:rPr>
          <w:rFonts w:eastAsia="Arial"/>
          <w:color w:val="000000" w:themeColor="text1"/>
        </w:rPr>
        <w:t xml:space="preserve"> the displaced baseline energy consumption based on relative specific energy consumptions between baseline and project technologies, an initial downward adjustment is applied to ensure that baseline emissions remain below a conservatively determined BAU level and that credited emission reductions are not overstated. The specific energy consumptions for each baseline fuel-stove combination (</w:t>
      </w:r>
      <m:oMath>
        <m:sSub>
          <m:sSubPr>
            <m:ctrlPr>
              <w:rPr>
                <w:rFonts w:ascii="Cambria Math" w:eastAsia="Cambria Math" w:hAnsi="Cambria Math"/>
                <w:color w:val="000000" w:themeColor="text1"/>
              </w:rPr>
            </m:ctrlPr>
          </m:sSubPr>
          <m:e>
            <m:r>
              <w:rPr>
                <w:rFonts w:ascii="Cambria Math" w:eastAsia="Cambria Math" w:hAnsi="Cambria Math"/>
                <w:color w:val="000000" w:themeColor="text1"/>
              </w:rPr>
              <m:t>SC</m:t>
            </m:r>
          </m:e>
          <m:sub>
            <m:r>
              <w:rPr>
                <w:rFonts w:ascii="Cambria Math" w:eastAsia="Cambria Math" w:hAnsi="Cambria Math"/>
                <w:color w:val="000000" w:themeColor="text1"/>
              </w:rPr>
              <m:t>b,i</m:t>
            </m:r>
          </m:sub>
        </m:sSub>
        <m:r>
          <w:rPr>
            <w:rFonts w:ascii="Cambria Math" w:eastAsia="Cambria Math" w:hAnsi="Cambria Math"/>
            <w:color w:val="000000" w:themeColor="text1"/>
          </w:rPr>
          <m:t xml:space="preserve">) </m:t>
        </m:r>
      </m:oMath>
      <w:r w:rsidRPr="00782BA8">
        <w:rPr>
          <w:rFonts w:eastAsia="Arial"/>
          <w:color w:val="000000" w:themeColor="text1"/>
        </w:rPr>
        <w:t>shall be determined using the lower bounds of the one-sided</w:t>
      </w:r>
      <w:r w:rsidR="007B30A5">
        <w:rPr>
          <w:rStyle w:val="FootnoteReference"/>
          <w:rFonts w:eastAsia="Arial"/>
          <w:color w:val="000000" w:themeColor="text1"/>
        </w:rPr>
        <w:footnoteReference w:id="16"/>
      </w:r>
      <w:r w:rsidRPr="00782BA8">
        <w:rPr>
          <w:rFonts w:eastAsia="Arial"/>
          <w:color w:val="000000" w:themeColor="text1"/>
        </w:rPr>
        <w:t xml:space="preserve"> 95 percent confidence intervals when estimating </w:t>
      </w:r>
      <m:oMath>
        <m:sSub>
          <m:sSubPr>
            <m:ctrlPr>
              <w:rPr>
                <w:rFonts w:ascii="Cambria Math" w:eastAsia="Cambria Math" w:hAnsi="Cambria Math"/>
                <w:color w:val="000000" w:themeColor="text1"/>
              </w:rPr>
            </m:ctrlPr>
          </m:sSubPr>
          <m:e>
            <m:r>
              <w:rPr>
                <w:rFonts w:ascii="Cambria Math" w:eastAsia="Cambria Math" w:hAnsi="Cambria Math"/>
                <w:color w:val="000000" w:themeColor="text1"/>
              </w:rPr>
              <m:t>EC</m:t>
            </m:r>
          </m:e>
          <m:sub>
            <m:r>
              <w:rPr>
                <w:rFonts w:ascii="Cambria Math" w:eastAsia="Cambria Math" w:hAnsi="Cambria Math"/>
                <w:color w:val="000000" w:themeColor="text1"/>
              </w:rPr>
              <m:t>d-base,i,y</m:t>
            </m:r>
          </m:sub>
        </m:sSub>
      </m:oMath>
      <w:r w:rsidRPr="00782BA8">
        <w:rPr>
          <w:rFonts w:eastAsia="Arial"/>
          <w:color w:val="000000" w:themeColor="text1"/>
        </w:rPr>
        <w:t>.</w:t>
      </w:r>
    </w:p>
    <w:p w14:paraId="7C718174" w14:textId="4473276C" w:rsidR="00782BA8" w:rsidRPr="00782BA8" w:rsidRDefault="004F317D" w:rsidP="00782BA8">
      <w:pPr>
        <w:pStyle w:val="SDMSubPara1"/>
        <w:rPr>
          <w:rFonts w:eastAsia="Montserrat"/>
          <w:b/>
          <w:color w:val="000000" w:themeColor="text1"/>
        </w:rPr>
      </w:pPr>
      <w:r w:rsidRPr="00782BA8">
        <w:rPr>
          <w:rFonts w:eastAsia="Arial"/>
          <w:color w:val="000000" w:themeColor="text1"/>
        </w:rPr>
        <w:t>The unadjusted baseline emissions during the calendar year of the start date of the first crediting period (</w:t>
      </w:r>
      <m:oMath>
        <m:sSub>
          <m:sSubPr>
            <m:ctrlPr>
              <w:rPr>
                <w:rFonts w:ascii="Cambria Math" w:eastAsia="Cambria Math" w:hAnsi="Cambria Math"/>
                <w:i/>
              </w:rPr>
            </m:ctrlPr>
          </m:sSubPr>
          <m:e>
            <m:r>
              <w:rPr>
                <w:rFonts w:ascii="Cambria Math" w:eastAsia="Cambria Math" w:hAnsi="Cambria Math"/>
              </w:rPr>
              <m:t>BE</m:t>
            </m:r>
          </m:e>
          <m:sub>
            <m:r>
              <w:rPr>
                <w:rFonts w:ascii="Cambria Math" w:eastAsia="Cambria Math" w:hAnsi="Cambria Math"/>
              </w:rPr>
              <m:t>unadj,y1</m:t>
            </m:r>
          </m:sub>
        </m:sSub>
      </m:oMath>
      <w:r w:rsidRPr="00782BA8">
        <w:rPr>
          <w:rFonts w:eastAsia="Arial"/>
          <w:color w:val="000000" w:themeColor="text1"/>
        </w:rPr>
        <w:t xml:space="preserve">), are calculated using equations </w:t>
      </w:r>
      <w:hyperlink w:anchor="e2" w:history="1">
        <w:r w:rsidRPr="00782BA8">
          <w:rPr>
            <w:rStyle w:val="Hyperlink"/>
            <w:rFonts w:eastAsia="Arial"/>
          </w:rPr>
          <w:t>(2)</w:t>
        </w:r>
      </w:hyperlink>
      <w:r w:rsidRPr="00782BA8">
        <w:rPr>
          <w:rFonts w:eastAsia="Arial"/>
          <w:color w:val="000000" w:themeColor="text1"/>
        </w:rPr>
        <w:t xml:space="preserve">, </w:t>
      </w:r>
      <w:hyperlink w:anchor="e3" w:history="1">
        <w:r w:rsidRPr="00782BA8">
          <w:rPr>
            <w:rStyle w:val="Hyperlink"/>
            <w:rFonts w:eastAsia="Arial"/>
          </w:rPr>
          <w:t>(3)</w:t>
        </w:r>
      </w:hyperlink>
      <w:r w:rsidRPr="00782BA8">
        <w:rPr>
          <w:rFonts w:eastAsia="Arial"/>
          <w:color w:val="000000" w:themeColor="text1"/>
        </w:rPr>
        <w:t xml:space="preserve"> and </w:t>
      </w:r>
      <w:hyperlink w:anchor="e27" w:history="1">
        <w:r w:rsidRPr="00782BA8">
          <w:rPr>
            <w:rStyle w:val="Hyperlink"/>
            <w:rFonts w:eastAsia="Arial"/>
          </w:rPr>
          <w:t>(27)</w:t>
        </w:r>
      </w:hyperlink>
      <w:r w:rsidRPr="00782BA8">
        <w:rPr>
          <w:rFonts w:eastAsia="Arial"/>
        </w:rPr>
        <w:t>,</w:t>
      </w:r>
      <w:r w:rsidRPr="00782BA8">
        <w:rPr>
          <w:rFonts w:eastAsia="Arial"/>
          <w:color w:val="000000" w:themeColor="text1"/>
        </w:rPr>
        <w:t xml:space="preserve"> based on the mean values obtained for the specific energy consumption of each baseline fuel-stove combination </w:t>
      </w:r>
      <m:oMath>
        <m:sSub>
          <m:sSubPr>
            <m:ctrlPr>
              <w:rPr>
                <w:rFonts w:ascii="Cambria Math" w:eastAsia="Cambria Math" w:hAnsi="Cambria Math" w:cs="Cambria Math"/>
              </w:rPr>
            </m:ctrlPr>
          </m:sSubPr>
          <m:e>
            <m:r>
              <w:rPr>
                <w:rFonts w:ascii="Cambria Math" w:eastAsia="Cambria Math" w:hAnsi="Cambria Math" w:cs="Cambria Math"/>
              </w:rPr>
              <m:t>SC</m:t>
            </m:r>
          </m:e>
          <m:sub>
            <m:r>
              <w:rPr>
                <w:rFonts w:ascii="Cambria Math" w:eastAsia="Cambria Math" w:hAnsi="Cambria Math" w:cs="Cambria Math"/>
              </w:rPr>
              <m:t>b,i</m:t>
            </m:r>
          </m:sub>
        </m:sSub>
      </m:oMath>
      <w:r w:rsidRPr="00782BA8">
        <w:rPr>
          <w:rFonts w:ascii="Segoe UI" w:eastAsia="Segoe UI" w:hAnsi="Segoe UI" w:cs="Segoe UI"/>
          <w:color w:val="000000" w:themeColor="text1"/>
        </w:rPr>
        <w:t>.</w:t>
      </w:r>
    </w:p>
    <w:p w14:paraId="39D6D006" w14:textId="3F169723" w:rsidR="004F317D" w:rsidRPr="00782BA8" w:rsidRDefault="004F317D" w:rsidP="00782BA8">
      <w:pPr>
        <w:pStyle w:val="SDMSubPara1"/>
        <w:rPr>
          <w:rFonts w:eastAsia="Montserrat"/>
          <w:b/>
          <w:color w:val="000000" w:themeColor="text1"/>
        </w:rPr>
      </w:pPr>
      <w:r w:rsidRPr="00782BA8">
        <w:rPr>
          <w:rFonts w:eastAsia="Arial"/>
          <w:color w:val="000000" w:themeColor="text1"/>
        </w:rPr>
        <w:t xml:space="preserve">The downward adjusted baseline emissions during the calendar year of the start date of the first crediting period, </w:t>
      </w:r>
      <m:oMath>
        <m:sSub>
          <m:sSubPr>
            <m:ctrlPr>
              <w:rPr>
                <w:rFonts w:ascii="Cambria Math" w:eastAsia="Cambria Math" w:hAnsi="Cambria Math"/>
                <w:i/>
              </w:rPr>
            </m:ctrlPr>
          </m:sSubPr>
          <m:e>
            <m:r>
              <w:rPr>
                <w:rFonts w:ascii="Cambria Math" w:eastAsia="Cambria Math" w:hAnsi="Cambria Math"/>
              </w:rPr>
              <m:t>BE</m:t>
            </m:r>
          </m:e>
          <m:sub>
            <m:r>
              <w:rPr>
                <w:rFonts w:ascii="Cambria Math" w:eastAsia="Cambria Math" w:hAnsi="Cambria Math"/>
              </w:rPr>
              <m:t>adj,y1</m:t>
            </m:r>
          </m:sub>
        </m:sSub>
        <m:r>
          <w:rPr>
            <w:rFonts w:ascii="Cambria Math" w:eastAsia="Cambria Math" w:hAnsi="Cambria Math"/>
          </w:rPr>
          <m:t xml:space="preserve"> </m:t>
        </m:r>
      </m:oMath>
      <w:r w:rsidRPr="00782BA8">
        <w:rPr>
          <w:rFonts w:eastAsia="Arial"/>
          <w:color w:val="000000" w:themeColor="text1"/>
        </w:rPr>
        <w:t xml:space="preserve">are calculated using equations </w:t>
      </w:r>
      <w:hyperlink w:anchor="e2" w:history="1">
        <w:r w:rsidR="00947A31" w:rsidRPr="00782BA8">
          <w:rPr>
            <w:rStyle w:val="Hyperlink"/>
            <w:rFonts w:eastAsia="Arial"/>
          </w:rPr>
          <w:t>(2)</w:t>
        </w:r>
      </w:hyperlink>
      <w:r w:rsidR="00947A31" w:rsidRPr="00782BA8">
        <w:rPr>
          <w:rFonts w:eastAsia="Arial"/>
          <w:color w:val="000000" w:themeColor="text1"/>
        </w:rPr>
        <w:t xml:space="preserve">, </w:t>
      </w:r>
      <w:hyperlink w:anchor="e3" w:history="1">
        <w:r w:rsidR="00947A31" w:rsidRPr="00782BA8">
          <w:rPr>
            <w:rStyle w:val="Hyperlink"/>
            <w:rFonts w:eastAsia="Arial"/>
          </w:rPr>
          <w:t>(3)</w:t>
        </w:r>
      </w:hyperlink>
      <w:r w:rsidR="00947A31" w:rsidRPr="00782BA8">
        <w:rPr>
          <w:rFonts w:eastAsia="Arial"/>
          <w:color w:val="000000" w:themeColor="text1"/>
        </w:rPr>
        <w:t xml:space="preserve"> and </w:t>
      </w:r>
      <w:hyperlink w:anchor="e27" w:history="1">
        <w:r w:rsidR="00947A31" w:rsidRPr="00782BA8">
          <w:rPr>
            <w:rStyle w:val="Hyperlink"/>
            <w:rFonts w:eastAsia="Arial"/>
          </w:rPr>
          <w:t>(27)</w:t>
        </w:r>
      </w:hyperlink>
      <w:r w:rsidR="00947A31" w:rsidRPr="00782BA8">
        <w:rPr>
          <w:rFonts w:eastAsia="Arial"/>
        </w:rPr>
        <w:t>,</w:t>
      </w:r>
      <w:r w:rsidR="00947A31" w:rsidRPr="00782BA8">
        <w:rPr>
          <w:rFonts w:eastAsia="Arial"/>
          <w:color w:val="000000" w:themeColor="text1"/>
        </w:rPr>
        <w:t xml:space="preserve"> </w:t>
      </w:r>
      <w:r w:rsidRPr="00782BA8">
        <w:rPr>
          <w:rFonts w:eastAsia="Arial"/>
          <w:color w:val="000000" w:themeColor="text1"/>
        </w:rPr>
        <w:t xml:space="preserve">based on the lower bounds of the one-sided 95 percent confidence intervals of the </w:t>
      </w:r>
      <w:r w:rsidRPr="00782BA8">
        <w:rPr>
          <w:rFonts w:eastAsia="Arial"/>
          <w:color w:val="000000" w:themeColor="text1"/>
          <w:lang w:val="en-US"/>
        </w:rPr>
        <w:t xml:space="preserve">specific energy consumption for each baseline fuel-stove combination </w:t>
      </w:r>
      <m:oMath>
        <m:sSub>
          <m:sSubPr>
            <m:ctrlPr>
              <w:rPr>
                <w:rFonts w:ascii="Cambria Math" w:eastAsia="Cambria Math" w:hAnsi="Cambria Math" w:cs="Cambria Math"/>
              </w:rPr>
            </m:ctrlPr>
          </m:sSubPr>
          <m:e>
            <m:r>
              <w:rPr>
                <w:rFonts w:ascii="Cambria Math" w:eastAsia="Cambria Math" w:hAnsi="Cambria Math" w:cs="Cambria Math"/>
              </w:rPr>
              <m:t>SC</m:t>
            </m:r>
          </m:e>
          <m:sub>
            <m:r>
              <w:rPr>
                <w:rFonts w:ascii="Cambria Math" w:eastAsia="Cambria Math" w:hAnsi="Cambria Math" w:cs="Cambria Math"/>
              </w:rPr>
              <m:t>b,i</m:t>
            </m:r>
          </m:sub>
        </m:sSub>
      </m:oMath>
      <w:r w:rsidRPr="00782BA8">
        <w:rPr>
          <w:rFonts w:eastAsia="Arial"/>
          <w:color w:val="000000" w:themeColor="text1"/>
          <w:vertAlign w:val="subscript"/>
        </w:rPr>
        <w:t>.</w:t>
      </w:r>
    </w:p>
    <w:p w14:paraId="2AABC2A7" w14:textId="77777777" w:rsidR="004F317D" w:rsidRPr="00B33BB6" w:rsidRDefault="004F317D" w:rsidP="004F317D">
      <w:pPr>
        <w:rPr>
          <w:rFonts w:eastAsia="Montserrat" w:cs="Arial"/>
          <w:szCs w:val="22"/>
        </w:rPr>
      </w:pPr>
    </w:p>
    <w:p w14:paraId="1A5758CA" w14:textId="77777777" w:rsidR="00782BA8" w:rsidRPr="00B33BB6" w:rsidRDefault="004F317D" w:rsidP="004F317D">
      <w:pPr>
        <w:pStyle w:val="SDMPara"/>
        <w:rPr>
          <w:rFonts w:eastAsia="Arial"/>
          <w:color w:val="000000" w:themeColor="text1"/>
        </w:rPr>
      </w:pPr>
      <w:r w:rsidRPr="00782BA8">
        <w:rPr>
          <w:rFonts w:eastAsia="Arial"/>
          <w:b/>
          <w:color w:val="000000" w:themeColor="text1"/>
        </w:rPr>
        <w:t>Downward adjustment in the calendar year of the start date of the crediting period for CTEC projects using the KPT</w:t>
      </w:r>
    </w:p>
    <w:p w14:paraId="2CA04F9C" w14:textId="77777777" w:rsidR="00782BA8" w:rsidRPr="00B33BB6" w:rsidRDefault="004F317D" w:rsidP="004F317D">
      <w:pPr>
        <w:pStyle w:val="SDMSubPara1"/>
        <w:rPr>
          <w:rFonts w:eastAsia="Arial"/>
          <w:color w:val="000000" w:themeColor="text1"/>
        </w:rPr>
      </w:pPr>
      <w:r w:rsidRPr="00782BA8">
        <w:rPr>
          <w:rFonts w:eastAsia="Arial"/>
          <w:color w:val="000000" w:themeColor="text1"/>
        </w:rPr>
        <w:t xml:space="preserve">For CTEC projects deriving baseline energy consumption from KPTs, an initial downward adjustment is applied to ensure that baseline emissions remain below a conservatively determined BAU level and that credited emission reductions are not overstated. To account for sampling uncertainty, the baseline energy consumption </w:t>
      </w:r>
      <m:oMath>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EC</m:t>
            </m:r>
          </m:e>
          <m:sub>
            <m:r>
              <w:rPr>
                <w:rFonts w:ascii="Cambria Math" w:eastAsia="Cambria Math" w:hAnsi="Cambria Math" w:cs="Cambria Math"/>
                <w:color w:val="000000" w:themeColor="text1"/>
              </w:rPr>
              <m:t>base,KPT,i</m:t>
            </m:r>
          </m:sub>
        </m:sSub>
        <m:r>
          <w:rPr>
            <w:rFonts w:ascii="Cambria Math" w:eastAsia="Cambria Math" w:hAnsi="Cambria Math" w:cs="Cambria Math"/>
            <w:color w:val="000000" w:themeColor="text1"/>
          </w:rPr>
          <m:t xml:space="preserve"> </m:t>
        </m:r>
      </m:oMath>
      <w:r w:rsidRPr="00782BA8">
        <w:rPr>
          <w:rFonts w:eastAsia="Arial"/>
          <w:color w:val="000000" w:themeColor="text1"/>
        </w:rPr>
        <w:t>shall be determined using the lower bounds of the one-sided 95 percent confidence intervals for each respective fuel (</w:t>
      </w:r>
      <w:proofErr w:type="spellStart"/>
      <w:r w:rsidRPr="00782BA8">
        <w:rPr>
          <w:rFonts w:eastAsia="Arial"/>
          <w:i/>
          <w:color w:val="000000" w:themeColor="text1"/>
        </w:rPr>
        <w:t>i</w:t>
      </w:r>
      <w:proofErr w:type="spellEnd"/>
      <w:r w:rsidRPr="00782BA8">
        <w:rPr>
          <w:rFonts w:eastAsia="Arial"/>
          <w:color w:val="000000" w:themeColor="text1"/>
        </w:rPr>
        <w:t>) in the baseline.</w:t>
      </w:r>
    </w:p>
    <w:p w14:paraId="2A1E3E78" w14:textId="343E6B50" w:rsidR="00782BA8" w:rsidRDefault="004F317D" w:rsidP="00782BA8">
      <w:pPr>
        <w:pStyle w:val="SDMSubPara1"/>
        <w:rPr>
          <w:rFonts w:eastAsia="Arial"/>
          <w:color w:val="000000" w:themeColor="text1"/>
        </w:rPr>
      </w:pPr>
      <w:r w:rsidRPr="00782BA8">
        <w:rPr>
          <w:rFonts w:eastAsia="Arial"/>
          <w:color w:val="000000" w:themeColor="text1"/>
        </w:rPr>
        <w:t xml:space="preserve">The unadjusted baseline emissions during the calendar year of the start date of the first crediting period, </w:t>
      </w:r>
      <m:oMath>
        <m:sSub>
          <m:sSubPr>
            <m:ctrlPr>
              <w:rPr>
                <w:rFonts w:ascii="Cambria Math" w:eastAsia="Cambria Math" w:hAnsi="Cambria Math"/>
                <w:i/>
                <w:color w:val="000000" w:themeColor="text1"/>
              </w:rPr>
            </m:ctrlPr>
          </m:sSubPr>
          <m:e>
            <m:r>
              <w:rPr>
                <w:rFonts w:ascii="Cambria Math" w:eastAsia="Cambria Math" w:hAnsi="Cambria Math"/>
                <w:color w:val="000000" w:themeColor="text1"/>
              </w:rPr>
              <m:t>BE</m:t>
            </m:r>
          </m:e>
          <m:sub>
            <m:r>
              <w:rPr>
                <w:rFonts w:ascii="Cambria Math" w:eastAsia="Cambria Math" w:hAnsi="Cambria Math"/>
                <w:color w:val="000000" w:themeColor="text1"/>
              </w:rPr>
              <m:t>unadj,y1</m:t>
            </m:r>
          </m:sub>
        </m:sSub>
      </m:oMath>
      <w:r w:rsidRPr="00782BA8">
        <w:rPr>
          <w:rFonts w:eastAsia="Arial"/>
          <w:color w:val="000000" w:themeColor="text1"/>
        </w:rPr>
        <w:t xml:space="preserve"> are calculated using equations </w:t>
      </w:r>
      <w:hyperlink w:anchor="e12" w:history="1">
        <w:r w:rsidRPr="00782BA8">
          <w:rPr>
            <w:rStyle w:val="Hyperlink"/>
            <w:rFonts w:eastAsia="Arial"/>
          </w:rPr>
          <w:t>(12)</w:t>
        </w:r>
      </w:hyperlink>
      <w:r w:rsidRPr="00782BA8">
        <w:rPr>
          <w:rFonts w:eastAsia="Arial"/>
          <w:color w:val="000000" w:themeColor="text1"/>
        </w:rPr>
        <w:t xml:space="preserve">, </w:t>
      </w:r>
      <w:hyperlink w:anchor="e13" w:history="1">
        <w:r w:rsidRPr="00782BA8">
          <w:rPr>
            <w:rStyle w:val="Hyperlink"/>
            <w:rFonts w:eastAsia="Arial"/>
          </w:rPr>
          <w:t>(13)</w:t>
        </w:r>
      </w:hyperlink>
      <w:r w:rsidRPr="00782BA8">
        <w:rPr>
          <w:rFonts w:eastAsia="Arial"/>
          <w:color w:val="000000" w:themeColor="text1"/>
        </w:rPr>
        <w:t xml:space="preserve"> and </w:t>
      </w:r>
      <w:hyperlink w:anchor="e27" w:history="1">
        <w:r w:rsidRPr="00782BA8">
          <w:rPr>
            <w:rStyle w:val="Hyperlink"/>
            <w:rFonts w:eastAsia="Arial"/>
          </w:rPr>
          <w:t>(27)</w:t>
        </w:r>
      </w:hyperlink>
      <w:r w:rsidRPr="00782BA8">
        <w:rPr>
          <w:rFonts w:eastAsia="Arial"/>
          <w:color w:val="000000" w:themeColor="text1"/>
        </w:rPr>
        <w:t xml:space="preserve">, based on the mean values of the baseline energy consumption for each value </w:t>
      </w:r>
      <m:oMath>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EC</m:t>
            </m:r>
          </m:e>
          <m:sub>
            <m:r>
              <w:rPr>
                <w:rFonts w:ascii="Cambria Math" w:eastAsia="Cambria Math" w:hAnsi="Cambria Math" w:cs="Cambria Math"/>
                <w:color w:val="000000" w:themeColor="text1"/>
              </w:rPr>
              <m:t>base,KPT,i</m:t>
            </m:r>
          </m:sub>
        </m:sSub>
      </m:oMath>
      <w:r w:rsidRPr="00782BA8">
        <w:rPr>
          <w:rFonts w:eastAsia="Arial"/>
          <w:color w:val="000000" w:themeColor="text1"/>
        </w:rPr>
        <w:t xml:space="preserve"> .</w:t>
      </w:r>
    </w:p>
    <w:p w14:paraId="2FE25987" w14:textId="079AFD0E" w:rsidR="004F317D" w:rsidRPr="00782BA8" w:rsidRDefault="004F317D" w:rsidP="00782BA8">
      <w:pPr>
        <w:pStyle w:val="SDMSubPara1"/>
        <w:rPr>
          <w:rFonts w:eastAsia="Arial"/>
          <w:color w:val="000000" w:themeColor="text1"/>
        </w:rPr>
      </w:pPr>
      <w:r w:rsidRPr="00782BA8">
        <w:rPr>
          <w:rFonts w:eastAsia="Arial"/>
          <w:color w:val="000000" w:themeColor="text1"/>
        </w:rPr>
        <w:t xml:space="preserve">The downward adjusted baseline emissions during the calendar year of the start date of the first crediting period, </w:t>
      </w:r>
      <m:oMath>
        <m:sSub>
          <m:sSubPr>
            <m:ctrlPr>
              <w:rPr>
                <w:rFonts w:ascii="Cambria Math" w:eastAsia="Cambria Math" w:hAnsi="Cambria Math"/>
                <w:i/>
                <w:color w:val="000000" w:themeColor="text1"/>
              </w:rPr>
            </m:ctrlPr>
          </m:sSubPr>
          <m:e>
            <m:r>
              <w:rPr>
                <w:rFonts w:ascii="Cambria Math" w:eastAsia="Cambria Math" w:hAnsi="Cambria Math"/>
                <w:color w:val="000000" w:themeColor="text1"/>
              </w:rPr>
              <m:t>BE</m:t>
            </m:r>
          </m:e>
          <m:sub>
            <m:r>
              <w:rPr>
                <w:rFonts w:ascii="Cambria Math" w:eastAsia="Cambria Math" w:hAnsi="Cambria Math"/>
                <w:color w:val="000000" w:themeColor="text1"/>
              </w:rPr>
              <m:t>adj,y1</m:t>
            </m:r>
          </m:sub>
        </m:sSub>
        <m:r>
          <w:rPr>
            <w:rFonts w:ascii="Cambria Math" w:eastAsia="Cambria Math" w:hAnsi="Cambria Math"/>
            <w:color w:val="000000" w:themeColor="text1"/>
          </w:rPr>
          <m:t xml:space="preserve"> </m:t>
        </m:r>
      </m:oMath>
      <w:r w:rsidRPr="00782BA8">
        <w:rPr>
          <w:rFonts w:eastAsia="Arial"/>
          <w:color w:val="000000" w:themeColor="text1"/>
        </w:rPr>
        <w:t xml:space="preserve">are calculated using equations </w:t>
      </w:r>
      <w:hyperlink w:anchor="e12" w:history="1">
        <w:r w:rsidR="00947A31" w:rsidRPr="00782BA8">
          <w:rPr>
            <w:rStyle w:val="Hyperlink"/>
            <w:rFonts w:eastAsia="Arial"/>
          </w:rPr>
          <w:t>(12)</w:t>
        </w:r>
      </w:hyperlink>
      <w:r w:rsidR="00947A31" w:rsidRPr="00782BA8">
        <w:rPr>
          <w:rFonts w:eastAsia="Arial"/>
          <w:color w:val="000000" w:themeColor="text1"/>
        </w:rPr>
        <w:t xml:space="preserve">, </w:t>
      </w:r>
      <w:hyperlink w:anchor="e13" w:history="1">
        <w:r w:rsidR="00947A31" w:rsidRPr="00782BA8">
          <w:rPr>
            <w:rStyle w:val="Hyperlink"/>
            <w:rFonts w:eastAsia="Arial"/>
          </w:rPr>
          <w:t>(13)</w:t>
        </w:r>
      </w:hyperlink>
      <w:r w:rsidR="00947A31" w:rsidRPr="00782BA8">
        <w:rPr>
          <w:rFonts w:eastAsia="Arial"/>
          <w:color w:val="000000" w:themeColor="text1"/>
        </w:rPr>
        <w:t xml:space="preserve"> and </w:t>
      </w:r>
      <w:hyperlink w:anchor="e27" w:history="1">
        <w:r w:rsidR="00947A31" w:rsidRPr="00782BA8">
          <w:rPr>
            <w:rStyle w:val="Hyperlink"/>
            <w:rFonts w:eastAsia="Arial"/>
          </w:rPr>
          <w:t>(27)</w:t>
        </w:r>
      </w:hyperlink>
      <w:r w:rsidR="00947A31" w:rsidRPr="00782BA8">
        <w:rPr>
          <w:rFonts w:eastAsia="Arial"/>
          <w:color w:val="000000" w:themeColor="text1"/>
        </w:rPr>
        <w:t xml:space="preserve">, </w:t>
      </w:r>
      <w:r w:rsidRPr="00782BA8">
        <w:rPr>
          <w:rFonts w:eastAsia="Arial"/>
          <w:color w:val="000000" w:themeColor="text1"/>
        </w:rPr>
        <w:t xml:space="preserve">based on the lower bounds of the one-sided 95 percent confidence intervals of the baseline energy consumption for each fuel </w:t>
      </w:r>
      <m:oMath>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EC</m:t>
            </m:r>
          </m:e>
          <m:sub>
            <m:r>
              <w:rPr>
                <w:rFonts w:ascii="Cambria Math" w:eastAsia="Cambria Math" w:hAnsi="Cambria Math" w:cs="Cambria Math"/>
                <w:color w:val="000000" w:themeColor="text1"/>
              </w:rPr>
              <m:t>base,KPT,i</m:t>
            </m:r>
          </m:sub>
        </m:sSub>
      </m:oMath>
      <w:r w:rsidRPr="00782BA8">
        <w:rPr>
          <w:rFonts w:eastAsia="Arial"/>
          <w:color w:val="000000" w:themeColor="text1"/>
        </w:rPr>
        <w:t>.</w:t>
      </w:r>
    </w:p>
    <w:p w14:paraId="19916696" w14:textId="77777777" w:rsidR="004F317D" w:rsidRPr="00B33BB6" w:rsidRDefault="004F317D" w:rsidP="004F317D">
      <w:pPr>
        <w:pBdr>
          <w:top w:val="nil"/>
          <w:left w:val="nil"/>
          <w:bottom w:val="nil"/>
          <w:right w:val="nil"/>
          <w:between w:val="nil"/>
        </w:pBdr>
        <w:rPr>
          <w:rFonts w:eastAsia="Arial" w:cs="Arial"/>
          <w:color w:val="D13438"/>
          <w:szCs w:val="22"/>
          <w:u w:val="single"/>
        </w:rPr>
      </w:pPr>
    </w:p>
    <w:p w14:paraId="7A195A76" w14:textId="77777777" w:rsidR="00782BA8" w:rsidRPr="00B33BB6" w:rsidRDefault="004F317D" w:rsidP="004F317D">
      <w:pPr>
        <w:pStyle w:val="SDMPara"/>
        <w:rPr>
          <w:rFonts w:eastAsia="Montserrat"/>
          <w:b/>
        </w:rPr>
      </w:pPr>
      <w:r w:rsidRPr="00782BA8">
        <w:rPr>
          <w:rFonts w:eastAsia="Montserrat"/>
          <w:b/>
        </w:rPr>
        <w:t>Downward adjustment in the calendar year of the start date of the crediting period for non-CTEC projects</w:t>
      </w:r>
    </w:p>
    <w:p w14:paraId="3CE5142B" w14:textId="77777777" w:rsidR="00782BA8" w:rsidRPr="00782BA8" w:rsidRDefault="004F317D" w:rsidP="004F317D">
      <w:pPr>
        <w:pStyle w:val="SDMSubPara1"/>
        <w:rPr>
          <w:rFonts w:eastAsia="Montserrat"/>
          <w:b/>
        </w:rPr>
      </w:pPr>
      <w:r w:rsidRPr="00782BA8">
        <w:rPr>
          <w:rFonts w:eastAsia="Montserrat"/>
        </w:rPr>
        <w:t xml:space="preserve">For non-CTEC projects deriving baseline energy consumption from KPTs, an initial downward adjustment is applied to ensure that baseline emissions remain below a conservatively determined BAU level and that credited emission reductions are not overstated. The baseline energy consumption </w:t>
      </w:r>
      <m:oMath>
        <m:r>
          <w:rPr>
            <w:rFonts w:ascii="Cambria Math" w:eastAsia="Cambria Math" w:hAnsi="Cambria Math"/>
          </w:rPr>
          <m:t>nt</m:t>
        </m:r>
        <m:sSub>
          <m:sSubPr>
            <m:ctrlPr>
              <w:rPr>
                <w:rFonts w:ascii="Cambria Math" w:eastAsia="Cambria Math" w:hAnsi="Cambria Math"/>
              </w:rPr>
            </m:ctrlPr>
          </m:sSubPr>
          <m:e>
            <m:r>
              <w:rPr>
                <w:rFonts w:ascii="Cambria Math" w:eastAsia="Cambria Math" w:hAnsi="Cambria Math"/>
              </w:rPr>
              <m:t>EC</m:t>
            </m:r>
          </m:e>
          <m:sub>
            <m:r>
              <w:rPr>
                <w:rFonts w:ascii="Cambria Math" w:eastAsia="Cambria Math" w:hAnsi="Cambria Math"/>
              </w:rPr>
              <m:t>base,i,y</m:t>
            </m:r>
          </m:sub>
        </m:sSub>
      </m:oMath>
      <w:r w:rsidRPr="00782BA8">
        <w:rPr>
          <w:rFonts w:eastAsia="Montserrat"/>
        </w:rPr>
        <w:t xml:space="preserve">  shall be determined using the lower bounds of the one-sided 95 percent confidence intervals for each respective fuel (</w:t>
      </w:r>
      <w:proofErr w:type="spellStart"/>
      <w:r w:rsidRPr="00782BA8">
        <w:rPr>
          <w:rFonts w:eastAsia="Montserrat"/>
          <w:i/>
        </w:rPr>
        <w:t>i</w:t>
      </w:r>
      <w:proofErr w:type="spellEnd"/>
      <w:r w:rsidRPr="00782BA8">
        <w:rPr>
          <w:rFonts w:eastAsia="Montserrat"/>
        </w:rPr>
        <w:t xml:space="preserve">) in the baseline </w:t>
      </w:r>
      <m:oMath>
        <m:r>
          <w:rPr>
            <w:rFonts w:ascii="Cambria Math" w:eastAsia="Cambria Math" w:hAnsi="Cambria Math"/>
          </w:rPr>
          <m:t>nt</m:t>
        </m:r>
        <m:sSub>
          <m:sSubPr>
            <m:ctrlPr>
              <w:rPr>
                <w:rFonts w:ascii="Cambria Math" w:eastAsia="Cambria Math" w:hAnsi="Cambria Math"/>
              </w:rPr>
            </m:ctrlPr>
          </m:sSubPr>
          <m:e>
            <m:r>
              <w:rPr>
                <w:rFonts w:ascii="Cambria Math" w:eastAsia="Cambria Math" w:hAnsi="Cambria Math"/>
              </w:rPr>
              <m:t>EC</m:t>
            </m:r>
          </m:e>
          <m:sub>
            <m:r>
              <w:rPr>
                <w:rFonts w:ascii="Cambria Math" w:eastAsia="Cambria Math" w:hAnsi="Cambria Math"/>
              </w:rPr>
              <m:t>base,i,y</m:t>
            </m:r>
          </m:sub>
        </m:sSub>
      </m:oMath>
      <w:r w:rsidRPr="00782BA8">
        <w:rPr>
          <w:rFonts w:eastAsia="Montserrat"/>
        </w:rPr>
        <w:t>.</w:t>
      </w:r>
    </w:p>
    <w:p w14:paraId="3AE8981F" w14:textId="77777777" w:rsidR="00782BA8" w:rsidRPr="00782BA8" w:rsidRDefault="004F317D" w:rsidP="004F317D">
      <w:pPr>
        <w:pStyle w:val="SDMSubPara1"/>
        <w:rPr>
          <w:rFonts w:eastAsia="Montserrat"/>
          <w:b/>
        </w:rPr>
      </w:pPr>
      <w:r w:rsidRPr="00782BA8">
        <w:rPr>
          <w:rFonts w:eastAsia="Montserrat"/>
        </w:rPr>
        <w:t xml:space="preserve">In addition, for the parameter representing the percent of project households with cookstoves present, where the project cookstove is used at least once per week, a cap of 90% or 75% shall be applied, even if monitoring results indicate a higher usage rate. The applicable cap depends on whether the project undertakes customer support actions as described below. </w:t>
      </w:r>
    </w:p>
    <w:p w14:paraId="290BDD3D" w14:textId="0C29A497" w:rsidR="00782BA8" w:rsidRPr="00782BA8" w:rsidRDefault="004F317D" w:rsidP="004F317D">
      <w:pPr>
        <w:pStyle w:val="SDMSubPara1"/>
        <w:rPr>
          <w:rFonts w:eastAsia="Montserrat"/>
          <w:b/>
        </w:rPr>
      </w:pPr>
      <w:r w:rsidRPr="00782BA8">
        <w:rPr>
          <w:rFonts w:eastAsia="Montserrat"/>
          <w:color w:val="808080" w:themeColor="background1" w:themeShade="80"/>
        </w:rPr>
        <w:t xml:space="preserve">These measures collectively address baseline uncertainty and potential overestimation of project usage </w:t>
      </w:r>
      <w:r w:rsidRPr="00782BA8">
        <w:rPr>
          <w:color w:val="808080" w:themeColor="background1" w:themeShade="80"/>
        </w:rPr>
        <w:t xml:space="preserve">and constitute the initial downward adjustment required under Section 7 of </w:t>
      </w:r>
      <w:r w:rsidRPr="00782BA8">
        <w:rPr>
          <w:rFonts w:eastAsia="Montserrat"/>
          <w:color w:val="808080" w:themeColor="background1" w:themeShade="80"/>
        </w:rPr>
        <w:t xml:space="preserve">the </w:t>
      </w:r>
      <w:hyperlink r:id="rId48" w:history="1">
        <w:r w:rsidRPr="00782BA8">
          <w:rPr>
            <w:rStyle w:val="Hyperlink"/>
            <w:rFonts w:eastAsia="Arial"/>
            <w:color w:val="808080" w:themeColor="background1" w:themeShade="80"/>
          </w:rPr>
          <w:t xml:space="preserve">Article 6.4 Standard: </w:t>
        </w:r>
        <w:r w:rsidRPr="00782BA8">
          <w:rPr>
            <w:rStyle w:val="Hyperlink"/>
            <w:rFonts w:eastAsia="Arial"/>
            <w:i/>
            <w:color w:val="808080" w:themeColor="background1" w:themeShade="80"/>
          </w:rPr>
          <w:t>Setting the baseline in mechanism methodologies</w:t>
        </w:r>
      </w:hyperlink>
      <w:r w:rsidRPr="00782BA8">
        <w:rPr>
          <w:rFonts w:eastAsia="Arial"/>
          <w:color w:val="808080" w:themeColor="background1" w:themeShade="80"/>
        </w:rPr>
        <w:t>.</w:t>
      </w:r>
    </w:p>
    <w:p w14:paraId="1579B9B3" w14:textId="6062278C" w:rsidR="00782BA8" w:rsidRPr="00782BA8" w:rsidRDefault="004F317D" w:rsidP="004F317D">
      <w:pPr>
        <w:pStyle w:val="SDMSubPara1"/>
        <w:rPr>
          <w:rFonts w:eastAsia="Montserrat"/>
          <w:b/>
        </w:rPr>
      </w:pPr>
      <w:r w:rsidRPr="00782BA8">
        <w:rPr>
          <w:rFonts w:eastAsia="Montserrat"/>
        </w:rPr>
        <w:lastRenderedPageBreak/>
        <w:t xml:space="preserve">The unadjusted baseline emissions during the </w:t>
      </w:r>
      <w:r w:rsidRPr="00782BA8">
        <w:t>calendar year of the start date of the first crediting period</w:t>
      </w:r>
      <w:r w:rsidRPr="00782BA8">
        <w:rPr>
          <w:rFonts w:eastAsia="Montserrat"/>
        </w:rPr>
        <w:t xml:space="preserve">, </w:t>
      </w:r>
      <m:oMath>
        <m:sSub>
          <m:sSubPr>
            <m:ctrlPr>
              <w:rPr>
                <w:rFonts w:ascii="Cambria Math" w:eastAsia="Cambria Math" w:hAnsi="Cambria Math"/>
                <w:i/>
              </w:rPr>
            </m:ctrlPr>
          </m:sSubPr>
          <m:e>
            <m:r>
              <w:rPr>
                <w:rFonts w:ascii="Cambria Math" w:eastAsia="Cambria Math" w:hAnsi="Cambria Math"/>
              </w:rPr>
              <m:t>BE</m:t>
            </m:r>
          </m:e>
          <m:sub>
            <m:r>
              <w:rPr>
                <w:rFonts w:ascii="Cambria Math" w:eastAsia="Cambria Math" w:hAnsi="Cambria Math"/>
              </w:rPr>
              <m:t>unadj,y1</m:t>
            </m:r>
          </m:sub>
        </m:sSub>
      </m:oMath>
      <w:r w:rsidRPr="00782BA8">
        <w:rPr>
          <w:rFonts w:eastAsia="Montserrat"/>
        </w:rPr>
        <w:t xml:space="preserve"> are therefore calculated using equations </w:t>
      </w:r>
      <w:hyperlink w:anchor="e17" w:history="1">
        <w:r w:rsidRPr="00782BA8">
          <w:rPr>
            <w:rStyle w:val="Hyperlink"/>
            <w:rFonts w:eastAsia="Montserrat"/>
          </w:rPr>
          <w:t>(17)</w:t>
        </w:r>
      </w:hyperlink>
      <w:r w:rsidRPr="00782BA8">
        <w:rPr>
          <w:rFonts w:eastAsia="Montserrat"/>
        </w:rPr>
        <w:t xml:space="preserve">, </w:t>
      </w:r>
      <w:hyperlink w:anchor="e18" w:history="1">
        <w:r w:rsidRPr="00782BA8">
          <w:rPr>
            <w:rStyle w:val="Hyperlink"/>
            <w:rFonts w:eastAsia="Montserrat"/>
          </w:rPr>
          <w:t>(18)</w:t>
        </w:r>
      </w:hyperlink>
      <w:r w:rsidRPr="00782BA8">
        <w:rPr>
          <w:rFonts w:eastAsia="Montserrat"/>
        </w:rPr>
        <w:t xml:space="preserve">, </w:t>
      </w:r>
      <w:hyperlink w:anchor="e19" w:history="1">
        <w:r w:rsidRPr="00782BA8">
          <w:rPr>
            <w:rStyle w:val="Hyperlink"/>
            <w:rFonts w:eastAsia="Montserrat"/>
          </w:rPr>
          <w:t>(19)</w:t>
        </w:r>
      </w:hyperlink>
      <w:r w:rsidRPr="00782BA8">
        <w:rPr>
          <w:rFonts w:eastAsia="Montserrat"/>
        </w:rPr>
        <w:t xml:space="preserve"> and </w:t>
      </w:r>
      <w:hyperlink w:anchor="e27" w:history="1">
        <w:r w:rsidRPr="00782BA8">
          <w:rPr>
            <w:rStyle w:val="Hyperlink"/>
            <w:rFonts w:eastAsia="Montserrat"/>
          </w:rPr>
          <w:t>(27)</w:t>
        </w:r>
      </w:hyperlink>
      <w:r w:rsidRPr="00782BA8">
        <w:rPr>
          <w:rFonts w:eastAsia="Montserrat"/>
        </w:rPr>
        <w:t xml:space="preserve">, based on the mean values of the baseline energy consumption for each fuel </w:t>
      </w:r>
      <m:oMath>
        <m:r>
          <w:rPr>
            <w:rFonts w:ascii="Cambria Math" w:eastAsia="Cambria Math" w:hAnsi="Cambria Math"/>
          </w:rPr>
          <m:t>nt</m:t>
        </m:r>
        <m:sSub>
          <m:sSubPr>
            <m:ctrlPr>
              <w:rPr>
                <w:rFonts w:ascii="Cambria Math" w:eastAsia="Cambria Math" w:hAnsi="Cambria Math"/>
              </w:rPr>
            </m:ctrlPr>
          </m:sSubPr>
          <m:e>
            <m:r>
              <w:rPr>
                <w:rFonts w:ascii="Cambria Math" w:eastAsia="Cambria Math" w:hAnsi="Cambria Math"/>
              </w:rPr>
              <m:t>EC</m:t>
            </m:r>
          </m:e>
          <m:sub>
            <m:r>
              <w:rPr>
                <w:rFonts w:ascii="Cambria Math" w:eastAsia="Cambria Math" w:hAnsi="Cambria Math"/>
              </w:rPr>
              <m:t>base,i</m:t>
            </m:r>
          </m:sub>
        </m:sSub>
      </m:oMath>
      <w:r w:rsidRPr="00782BA8">
        <w:rPr>
          <w:rFonts w:eastAsia="Montserrat"/>
        </w:rPr>
        <w:t xml:space="preserve">  and without the application of a cap on </w:t>
      </w:r>
      <m:oMath>
        <m:sSub>
          <m:sSubPr>
            <m:ctrlPr>
              <w:rPr>
                <w:rFonts w:ascii="Cambria Math" w:eastAsia="Cambria Math" w:hAnsi="Cambria Math"/>
              </w:rPr>
            </m:ctrlPr>
          </m:sSubPr>
          <m:e>
            <m:r>
              <w:rPr>
                <w:rFonts w:ascii="Cambria Math" w:eastAsia="Roboto" w:hAnsi="Cambria Math"/>
                <w:color w:val="040C28"/>
              </w:rPr>
              <m:t>Ψ</m:t>
            </m:r>
          </m:e>
          <m:sub>
            <m:r>
              <w:rPr>
                <w:rFonts w:ascii="Cambria Math" w:eastAsia="Cambria Math" w:hAnsi="Cambria Math"/>
              </w:rPr>
              <m:t>y1</m:t>
            </m:r>
          </m:sub>
        </m:sSub>
      </m:oMath>
      <w:r w:rsidRPr="00782BA8">
        <w:rPr>
          <w:rFonts w:eastAsia="Montserrat"/>
        </w:rPr>
        <w:t>.</w:t>
      </w:r>
    </w:p>
    <w:p w14:paraId="6AB7E462" w14:textId="77777777" w:rsidR="00782BA8" w:rsidRPr="00782BA8" w:rsidRDefault="004F317D" w:rsidP="004F317D">
      <w:pPr>
        <w:pStyle w:val="SDMSubPara1"/>
        <w:rPr>
          <w:rFonts w:eastAsia="Montserrat"/>
          <w:b/>
        </w:rPr>
      </w:pPr>
      <w:r w:rsidRPr="00782BA8">
        <w:rPr>
          <w:rFonts w:eastAsia="Montserrat"/>
        </w:rPr>
        <w:t xml:space="preserve">The downward adjusted baseline emissions during the </w:t>
      </w:r>
      <w:r w:rsidRPr="00782BA8">
        <w:t>calendar year of the start date of the first crediting period</w:t>
      </w:r>
      <w:r w:rsidRPr="00782BA8">
        <w:rPr>
          <w:rFonts w:eastAsia="Montserrat"/>
        </w:rPr>
        <w:t xml:space="preserve">, </w:t>
      </w:r>
      <m:oMath>
        <m:sSub>
          <m:sSubPr>
            <m:ctrlPr>
              <w:rPr>
                <w:rFonts w:ascii="Cambria Math" w:eastAsia="Cambria Math" w:hAnsi="Cambria Math"/>
                <w:i/>
              </w:rPr>
            </m:ctrlPr>
          </m:sSubPr>
          <m:e>
            <m:r>
              <w:rPr>
                <w:rFonts w:ascii="Cambria Math" w:eastAsia="Cambria Math" w:hAnsi="Cambria Math"/>
              </w:rPr>
              <m:t>BE</m:t>
            </m:r>
          </m:e>
          <m:sub>
            <m:r>
              <w:rPr>
                <w:rFonts w:ascii="Cambria Math" w:eastAsia="Cambria Math" w:hAnsi="Cambria Math"/>
              </w:rPr>
              <m:t>adj,y1</m:t>
            </m:r>
          </m:sub>
        </m:sSub>
      </m:oMath>
      <w:r w:rsidRPr="00782BA8">
        <w:rPr>
          <w:rFonts w:eastAsia="Montserrat"/>
        </w:rPr>
        <w:t xml:space="preserve">are therefore calculated using equations </w:t>
      </w:r>
      <w:hyperlink w:anchor="e17" w:history="1">
        <w:r w:rsidR="00947A31" w:rsidRPr="00782BA8">
          <w:rPr>
            <w:rStyle w:val="Hyperlink"/>
            <w:rFonts w:eastAsia="Montserrat"/>
          </w:rPr>
          <w:t>(17)</w:t>
        </w:r>
      </w:hyperlink>
      <w:r w:rsidR="00947A31" w:rsidRPr="00782BA8">
        <w:rPr>
          <w:rFonts w:eastAsia="Montserrat"/>
        </w:rPr>
        <w:t xml:space="preserve">, </w:t>
      </w:r>
      <w:hyperlink w:anchor="e18" w:history="1">
        <w:r w:rsidR="00947A31" w:rsidRPr="00782BA8">
          <w:rPr>
            <w:rStyle w:val="Hyperlink"/>
            <w:rFonts w:eastAsia="Montserrat"/>
          </w:rPr>
          <w:t>(18)</w:t>
        </w:r>
      </w:hyperlink>
      <w:r w:rsidR="00947A31" w:rsidRPr="00782BA8">
        <w:rPr>
          <w:rFonts w:eastAsia="Montserrat"/>
        </w:rPr>
        <w:t xml:space="preserve">, </w:t>
      </w:r>
      <w:hyperlink w:anchor="e19" w:history="1">
        <w:r w:rsidR="00947A31" w:rsidRPr="00782BA8">
          <w:rPr>
            <w:rStyle w:val="Hyperlink"/>
            <w:rFonts w:eastAsia="Montserrat"/>
          </w:rPr>
          <w:t>(19)</w:t>
        </w:r>
      </w:hyperlink>
      <w:r w:rsidR="00947A31" w:rsidRPr="00782BA8">
        <w:rPr>
          <w:rFonts w:eastAsia="Montserrat"/>
        </w:rPr>
        <w:t xml:space="preserve"> and </w:t>
      </w:r>
      <w:hyperlink w:anchor="e27" w:history="1">
        <w:r w:rsidR="00947A31" w:rsidRPr="00782BA8">
          <w:rPr>
            <w:rStyle w:val="Hyperlink"/>
            <w:rFonts w:eastAsia="Montserrat"/>
          </w:rPr>
          <w:t>(27)</w:t>
        </w:r>
      </w:hyperlink>
      <w:r w:rsidR="00947A31" w:rsidRPr="00782BA8">
        <w:rPr>
          <w:rFonts w:eastAsia="Montserrat"/>
        </w:rPr>
        <w:t xml:space="preserve">, </w:t>
      </w:r>
      <w:r w:rsidRPr="00782BA8">
        <w:rPr>
          <w:rFonts w:eastAsia="Montserrat"/>
        </w:rPr>
        <w:t xml:space="preserve">based on the lower bounds of the one-sided 95 percent confidence intervals of the baseline energy consumption </w:t>
      </w:r>
      <m:oMath>
        <m:r>
          <w:rPr>
            <w:rFonts w:ascii="Cambria Math" w:eastAsia="Cambria Math" w:hAnsi="Cambria Math"/>
          </w:rPr>
          <m:t>nt</m:t>
        </m:r>
        <m:sSub>
          <m:sSubPr>
            <m:ctrlPr>
              <w:rPr>
                <w:rFonts w:ascii="Cambria Math" w:eastAsia="Cambria Math" w:hAnsi="Cambria Math"/>
              </w:rPr>
            </m:ctrlPr>
          </m:sSubPr>
          <m:e>
            <m:r>
              <w:rPr>
                <w:rFonts w:ascii="Cambria Math" w:eastAsia="Cambria Math" w:hAnsi="Cambria Math"/>
              </w:rPr>
              <m:t>EC</m:t>
            </m:r>
          </m:e>
          <m:sub>
            <m:r>
              <w:rPr>
                <w:rFonts w:ascii="Cambria Math" w:eastAsia="Cambria Math" w:hAnsi="Cambria Math"/>
              </w:rPr>
              <m:t>base,i,y</m:t>
            </m:r>
          </m:sub>
        </m:sSub>
      </m:oMath>
      <w:r w:rsidRPr="00782BA8">
        <w:rPr>
          <w:rFonts w:eastAsia="Montserrat"/>
          <w:bCs/>
        </w:rPr>
        <w:t xml:space="preserve">  and with the application of the appropriate cap on </w:t>
      </w:r>
      <m:oMath>
        <m:sSub>
          <m:sSubPr>
            <m:ctrlPr>
              <w:rPr>
                <w:rFonts w:ascii="Cambria Math" w:eastAsia="Cambria Math" w:hAnsi="Cambria Math"/>
              </w:rPr>
            </m:ctrlPr>
          </m:sSubPr>
          <m:e>
            <m:r>
              <w:rPr>
                <w:rFonts w:ascii="Cambria Math" w:eastAsia="Roboto" w:hAnsi="Cambria Math"/>
                <w:color w:val="040C28"/>
              </w:rPr>
              <m:t>Ψ</m:t>
            </m:r>
          </m:e>
          <m:sub>
            <m:r>
              <w:rPr>
                <w:rFonts w:ascii="Cambria Math" w:eastAsia="Cambria Math" w:hAnsi="Cambria Math"/>
              </w:rPr>
              <m:t>y1</m:t>
            </m:r>
          </m:sub>
        </m:sSub>
      </m:oMath>
      <w:r w:rsidRPr="00782BA8">
        <w:rPr>
          <w:rFonts w:eastAsia="Montserrat"/>
        </w:rPr>
        <w:t>.</w:t>
      </w:r>
    </w:p>
    <w:p w14:paraId="5B359F42" w14:textId="77777777" w:rsidR="004F317D" w:rsidRPr="00782BA8" w:rsidRDefault="004F317D" w:rsidP="004F317D">
      <w:pPr>
        <w:pStyle w:val="SDMSubPara1"/>
        <w:rPr>
          <w:rFonts w:eastAsia="Montserrat"/>
          <w:b/>
        </w:rPr>
      </w:pPr>
      <w:r w:rsidRPr="00782BA8">
        <w:rPr>
          <w:color w:val="000000" w:themeColor="text1"/>
        </w:rPr>
        <w:t>For projects using the global default for baseline energy consumption, the baseline is considered to follow the BAT approach. Because the BAT default already represents a conservative, low-energy benchmark (</w:t>
      </w:r>
      <w:r w:rsidRPr="00782BA8">
        <w:rPr>
          <w:rStyle w:val="normaltextrun"/>
          <w:color w:val="000000" w:themeColor="text1"/>
        </w:rPr>
        <w:t>the minimum level of energy service required for cooking</w:t>
      </w:r>
      <w:r w:rsidRPr="00782BA8">
        <w:rPr>
          <w:color w:val="000000" w:themeColor="text1"/>
        </w:rPr>
        <w:t xml:space="preserve">), no additional downward adjustment for baseline uncertainty is required. </w:t>
      </w:r>
    </w:p>
    <w:p w14:paraId="332B92B9" w14:textId="77777777" w:rsidR="004F317D" w:rsidRPr="00B33BB6" w:rsidRDefault="004F317D" w:rsidP="004F317D">
      <w:pPr>
        <w:rPr>
          <w:rFonts w:eastAsia="Montserrat" w:cs="Arial"/>
          <w:b/>
          <w:szCs w:val="22"/>
        </w:rPr>
      </w:pPr>
    </w:p>
    <w:p w14:paraId="29A8A4B1" w14:textId="212508A5" w:rsidR="004F317D" w:rsidRPr="00D007E8" w:rsidRDefault="004F317D" w:rsidP="00D007E8">
      <w:pPr>
        <w:ind w:left="709"/>
        <w:rPr>
          <w:rFonts w:eastAsia="Montserrat" w:cs="Arial"/>
          <w:szCs w:val="22"/>
        </w:rPr>
      </w:pPr>
      <w:r w:rsidRPr="00D007E8">
        <w:rPr>
          <w:rFonts w:eastAsia="Montserrat" w:cs="Arial"/>
          <w:b/>
          <w:szCs w:val="22"/>
        </w:rPr>
        <w:t>Customer support actions:</w:t>
      </w:r>
      <w:r w:rsidRPr="00D007E8">
        <w:rPr>
          <w:rFonts w:eastAsia="Montserrat" w:cs="Arial"/>
          <w:szCs w:val="22"/>
        </w:rPr>
        <w:t xml:space="preserve"> To be eligible to claim up to 90% of maximum PTDs in the calculation of baseline and project emissions, project proponents estimating PTDs with surveys must take the following customer support actions and provide details of how each condition has or will be met on the </w:t>
      </w:r>
      <w:hyperlink w:anchor="A1" w:history="1">
        <w:r w:rsidRPr="00850906">
          <w:rPr>
            <w:rStyle w:val="Hyperlink"/>
            <w:rFonts w:eastAsia="Montserrat" w:cs="Arial"/>
            <w:szCs w:val="22"/>
          </w:rPr>
          <w:t xml:space="preserve">Project </w:t>
        </w:r>
        <w:r w:rsidRPr="00850906">
          <w:rPr>
            <w:rStyle w:val="Hyperlink"/>
            <w:rFonts w:eastAsia="Montserrat" w:cs="Arial"/>
            <w:szCs w:val="22"/>
          </w:rPr>
          <w:t>I</w:t>
        </w:r>
        <w:r w:rsidRPr="00850906">
          <w:rPr>
            <w:rStyle w:val="Hyperlink"/>
            <w:rFonts w:eastAsia="Montserrat" w:cs="Arial"/>
            <w:szCs w:val="22"/>
          </w:rPr>
          <w:t>nformation Cover Sheet</w:t>
        </w:r>
      </w:hyperlink>
      <w:r w:rsidRPr="00D007E8">
        <w:rPr>
          <w:rFonts w:eastAsia="Montserrat" w:cs="Arial"/>
          <w:szCs w:val="22"/>
        </w:rPr>
        <w:t xml:space="preserve"> during the design phase of the project. </w:t>
      </w:r>
    </w:p>
    <w:p w14:paraId="45C2D9D7" w14:textId="77777777" w:rsidR="004F317D" w:rsidRPr="00D007E8" w:rsidRDefault="004F317D" w:rsidP="00D007E8">
      <w:pPr>
        <w:ind w:left="709"/>
        <w:rPr>
          <w:rFonts w:eastAsia="Montserrat" w:cs="Arial"/>
          <w:szCs w:val="22"/>
        </w:rPr>
      </w:pPr>
    </w:p>
    <w:p w14:paraId="5F2BE824" w14:textId="77777777" w:rsidR="004F317D" w:rsidRPr="00D007E8" w:rsidRDefault="004F317D" w:rsidP="00D007E8">
      <w:pPr>
        <w:pStyle w:val="ListParagraph"/>
        <w:numPr>
          <w:ilvl w:val="0"/>
          <w:numId w:val="30"/>
        </w:numPr>
        <w:ind w:left="1069"/>
        <w:jc w:val="left"/>
        <w:rPr>
          <w:rFonts w:eastAsia="Montserrat" w:cs="Arial"/>
        </w:rPr>
      </w:pPr>
      <w:r w:rsidRPr="00D007E8">
        <w:rPr>
          <w:rFonts w:eastAsia="Montserrat" w:cs="Arial"/>
        </w:rPr>
        <w:t xml:space="preserve">Demonstrate that the project has selected technologies and fuels that meet the cooking needs of the target population, either by citing robust research or </w:t>
      </w:r>
      <w:proofErr w:type="gramStart"/>
      <w:r w:rsidRPr="00D007E8">
        <w:rPr>
          <w:rFonts w:eastAsia="Montserrat" w:cs="Arial"/>
        </w:rPr>
        <w:t>conducting an investigation</w:t>
      </w:r>
      <w:proofErr w:type="gramEnd"/>
      <w:r w:rsidRPr="00D007E8">
        <w:rPr>
          <w:rFonts w:eastAsia="Montserrat" w:cs="Arial"/>
        </w:rPr>
        <w:t xml:space="preserve"> of cooking practices and attitudes during the project design phase. </w:t>
      </w:r>
    </w:p>
    <w:p w14:paraId="3275A185" w14:textId="77777777" w:rsidR="004F317D" w:rsidRPr="00D007E8" w:rsidRDefault="004F317D" w:rsidP="00D007E8">
      <w:pPr>
        <w:pStyle w:val="ListParagraph"/>
        <w:numPr>
          <w:ilvl w:val="0"/>
          <w:numId w:val="30"/>
        </w:numPr>
        <w:ind w:left="1069"/>
        <w:jc w:val="left"/>
        <w:rPr>
          <w:rFonts w:eastAsia="Montserrat" w:cs="Arial"/>
        </w:rPr>
      </w:pPr>
      <w:r w:rsidRPr="00D007E8">
        <w:rPr>
          <w:rFonts w:eastAsia="Montserrat" w:cs="Arial"/>
        </w:rPr>
        <w:t>Provide evidence of project participant support activities. These may include such things as providing materials (print, in-person, or video) on how to operate the cookstove to prepare common local foods, how to troubleshoot common operational issues, and how to make minor repairs (including how to access any necessary parts). All project participant communications and materials shall be provided in local language(s) commonly used in the project area.</w:t>
      </w:r>
    </w:p>
    <w:p w14:paraId="65C22921" w14:textId="77777777" w:rsidR="004F317D" w:rsidRPr="00D007E8" w:rsidRDefault="004F317D" w:rsidP="00D007E8">
      <w:pPr>
        <w:pStyle w:val="ListParagraph"/>
        <w:numPr>
          <w:ilvl w:val="0"/>
          <w:numId w:val="30"/>
        </w:numPr>
        <w:ind w:left="1069"/>
        <w:jc w:val="left"/>
        <w:rPr>
          <w:rFonts w:eastAsia="Montserrat" w:cs="Arial"/>
        </w:rPr>
      </w:pPr>
      <w:r w:rsidRPr="00D007E8">
        <w:rPr>
          <w:rFonts w:eastAsia="Montserrat" w:cs="Arial"/>
        </w:rPr>
        <w:t>Project participants must be able to contact the project proponent to access support (e.g., maintenance and repair services) through a commonly used, toll-free communications channel.</w:t>
      </w:r>
    </w:p>
    <w:p w14:paraId="64B0D192" w14:textId="77777777" w:rsidR="004F317D" w:rsidRPr="00D007E8" w:rsidRDefault="004F317D" w:rsidP="00D007E8">
      <w:pPr>
        <w:ind w:left="709"/>
        <w:contextualSpacing/>
        <w:rPr>
          <w:rFonts w:eastAsia="Montserrat" w:cs="Arial"/>
          <w:szCs w:val="22"/>
        </w:rPr>
      </w:pPr>
    </w:p>
    <w:p w14:paraId="6E64AE2B" w14:textId="32E1B182" w:rsidR="004F317D" w:rsidRPr="00D007E8" w:rsidRDefault="004F317D" w:rsidP="00D007E8">
      <w:pPr>
        <w:ind w:left="709"/>
        <w:contextualSpacing/>
        <w:rPr>
          <w:rFonts w:eastAsia="Montserrat" w:cs="Arial"/>
        </w:rPr>
      </w:pPr>
      <w:r w:rsidRPr="00D007E8">
        <w:rPr>
          <w:rFonts w:eastAsia="Montserrat" w:cs="Arial"/>
        </w:rPr>
        <w:t xml:space="preserve">Project proponents who do not undertake all three of these customer support actions may claim up to 75% of maximum PTDs when estimating baseline and project emissions. These caps are waived </w:t>
      </w:r>
      <w:r w:rsidR="4EE0F377" w:rsidRPr="00D007E8">
        <w:rPr>
          <w:rFonts w:eastAsia="Montserrat" w:cs="Arial"/>
        </w:rPr>
        <w:t>whe</w:t>
      </w:r>
      <w:r w:rsidR="392D8114" w:rsidRPr="00D007E8">
        <w:rPr>
          <w:rFonts w:eastAsia="Montserrat" w:cs="Arial"/>
        </w:rPr>
        <w:t>n</w:t>
      </w:r>
      <w:r w:rsidRPr="00D007E8">
        <w:rPr>
          <w:rFonts w:eastAsia="Montserrat" w:cs="Arial"/>
        </w:rPr>
        <w:t xml:space="preserve"> PTDs are estimated with SUMs.</w:t>
      </w:r>
    </w:p>
    <w:p w14:paraId="277AA98C" w14:textId="77777777" w:rsidR="004F317D" w:rsidRPr="00B33BB6" w:rsidRDefault="004F317D" w:rsidP="004F317D">
      <w:pPr>
        <w:contextualSpacing/>
        <w:rPr>
          <w:rFonts w:eastAsia="Montserrat" w:cs="Arial"/>
          <w:szCs w:val="22"/>
        </w:rPr>
      </w:pPr>
    </w:p>
    <w:p w14:paraId="71738F62" w14:textId="0CC7F0E2" w:rsidR="004F317D" w:rsidRPr="00D007E8" w:rsidRDefault="004F317D" w:rsidP="004F317D">
      <w:pPr>
        <w:pStyle w:val="SDMPara"/>
        <w:contextualSpacing/>
        <w:rPr>
          <w:rFonts w:eastAsia="Montserrat"/>
          <w:b/>
          <w:bCs/>
        </w:rPr>
      </w:pPr>
      <w:r w:rsidRPr="00D007E8">
        <w:rPr>
          <w:rFonts w:eastAsia="Montserrat"/>
          <w:b/>
        </w:rPr>
        <w:t>Minimum downward adjustment for CTEC and non-CTEC projects</w:t>
      </w:r>
      <w:r w:rsidR="00D007E8">
        <w:rPr>
          <w:rFonts w:eastAsia="Montserrat"/>
          <w:b/>
          <w:bCs/>
        </w:rPr>
        <w:t xml:space="preserve">: </w:t>
      </w:r>
      <w:r w:rsidRPr="00D007E8">
        <w:rPr>
          <w:rFonts w:eastAsia="Montserrat"/>
        </w:rPr>
        <w:t xml:space="preserve">For projects that do not use the global default for baseline energy consumption, the downward adjusted baseline emissions must be less than or equal to the minimum downward adjustment, as specified in the </w:t>
      </w:r>
      <w:hyperlink r:id="rId49" w:history="1">
        <w:r w:rsidRPr="00D007E8">
          <w:rPr>
            <w:rStyle w:val="Hyperlink"/>
            <w:rFonts w:eastAsia="Arial"/>
          </w:rPr>
          <w:t xml:space="preserve">Article 6.4 Standard: </w:t>
        </w:r>
        <w:r w:rsidRPr="00D007E8">
          <w:rPr>
            <w:rStyle w:val="Hyperlink"/>
            <w:rFonts w:eastAsia="Arial"/>
            <w:i/>
          </w:rPr>
          <w:t>Setting the baseline in mechanism methodologies</w:t>
        </w:r>
      </w:hyperlink>
      <w:r w:rsidRPr="00D007E8">
        <w:rPr>
          <w:rFonts w:eastAsia="Arial"/>
          <w:color w:val="000000"/>
        </w:rPr>
        <w:t xml:space="preserve">. </w:t>
      </w:r>
      <w:r w:rsidRPr="00D007E8">
        <w:rPr>
          <w:rFonts w:eastAsia="Montserrat"/>
        </w:rPr>
        <w:t>The minimum downward adjusted baseline emissions for the first calendar year of the crediting period shall be calculated using Equation (4):</w:t>
      </w:r>
    </w:p>
    <w:p w14:paraId="79509071" w14:textId="77777777" w:rsidR="004F317D" w:rsidRPr="00B33BB6" w:rsidRDefault="004F317D" w:rsidP="004F317D">
      <w:pPr>
        <w:rPr>
          <w:rFonts w:eastAsia="Cambria Math" w:cs="Arial"/>
          <w:szCs w:val="22"/>
        </w:rPr>
      </w:pPr>
    </w:p>
    <w:tbl>
      <w:tblPr>
        <w:tblW w:w="9214" w:type="dxa"/>
        <w:tblBorders>
          <w:top w:val="nil"/>
          <w:left w:val="nil"/>
          <w:bottom w:val="nil"/>
          <w:right w:val="nil"/>
          <w:insideH w:val="nil"/>
          <w:insideV w:val="nil"/>
        </w:tblBorders>
        <w:tblLayout w:type="fixed"/>
        <w:tblLook w:val="0400" w:firstRow="0" w:lastRow="0" w:firstColumn="0" w:lastColumn="0" w:noHBand="0" w:noVBand="1"/>
      </w:tblPr>
      <w:tblGrid>
        <w:gridCol w:w="8598"/>
        <w:gridCol w:w="616"/>
      </w:tblGrid>
      <w:tr w:rsidR="004F317D" w:rsidRPr="00B33BB6" w14:paraId="14043DD8" w14:textId="77777777">
        <w:tc>
          <w:tcPr>
            <w:tcW w:w="8598" w:type="dxa"/>
          </w:tcPr>
          <w:p w14:paraId="22C24A32" w14:textId="77777777" w:rsidR="004F317D" w:rsidRPr="00B33BB6" w:rsidRDefault="004F317D">
            <w:pPr>
              <w:rPr>
                <w:rFonts w:eastAsia="Montserrat" w:cs="Arial"/>
                <w:szCs w:val="22"/>
              </w:rPr>
            </w:pPr>
          </w:p>
          <w:p w14:paraId="12A51F7B" w14:textId="77777777" w:rsidR="004F317D" w:rsidRPr="00B33BB6" w:rsidRDefault="00000000">
            <w:pPr>
              <w:jc w:val="center"/>
              <w:rPr>
                <w:rFonts w:eastAsia="Cambria Math" w:cs="Arial"/>
                <w:szCs w:val="22"/>
              </w:rPr>
            </w:pPr>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adj,min,y1</m:t>
                  </m:r>
                </m:sub>
              </m:sSub>
              <m:r>
                <w:rPr>
                  <w:rFonts w:ascii="Cambria Math" w:eastAsia="Cambria Math" w:hAnsi="Cambria Math" w:cs="Arial"/>
                  <w:szCs w:val="22"/>
                </w:rPr>
                <m:t xml:space="preserve"> =  </m:t>
              </m:r>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unadj,y1</m:t>
                  </m:r>
                </m:sub>
              </m:sSub>
              <m:r>
                <w:rPr>
                  <w:rFonts w:ascii="Cambria Math" w:eastAsia="Cambria Math" w:hAnsi="Cambria Math" w:cs="Arial"/>
                  <w:szCs w:val="22"/>
                </w:rPr>
                <m:t>-</m:t>
              </m:r>
              <m:d>
                <m:dPr>
                  <m:ctrlPr>
                    <w:rPr>
                      <w:rFonts w:ascii="Cambria Math" w:eastAsia="Cambria Math" w:hAnsi="Cambria Math" w:cs="Arial"/>
                      <w:i/>
                      <w:szCs w:val="22"/>
                    </w:rPr>
                  </m:ctrlPr>
                </m:dPr>
                <m:e>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unadj,y1</m:t>
                      </m:r>
                    </m:sub>
                  </m:sSub>
                  <m:r>
                    <w:rPr>
                      <w:rFonts w:ascii="Cambria Math" w:eastAsia="Cambria Math" w:hAnsi="Cambria Math" w:cs="Arial"/>
                      <w:szCs w:val="22"/>
                    </w:rPr>
                    <m:t xml:space="preserve">- </m:t>
                  </m:r>
                  <m:sSub>
                    <m:sSubPr>
                      <m:ctrlPr>
                        <w:rPr>
                          <w:rFonts w:ascii="Cambria Math" w:eastAsia="Cambria Math" w:hAnsi="Cambria Math" w:cs="Arial"/>
                          <w:i/>
                          <w:szCs w:val="22"/>
                        </w:rPr>
                      </m:ctrlPr>
                    </m:sSubPr>
                    <m:e>
                      <m:r>
                        <w:rPr>
                          <w:rFonts w:ascii="Cambria Math" w:eastAsia="Cambria Math" w:hAnsi="Cambria Math" w:cs="Arial"/>
                          <w:szCs w:val="22"/>
                        </w:rPr>
                        <m:t>PE</m:t>
                      </m:r>
                    </m:e>
                    <m:sub>
                      <m:r>
                        <w:rPr>
                          <w:rFonts w:ascii="Cambria Math" w:eastAsia="Cambria Math" w:hAnsi="Cambria Math" w:cs="Arial"/>
                          <w:szCs w:val="22"/>
                        </w:rPr>
                        <m:t>y1</m:t>
                      </m:r>
                    </m:sub>
                  </m:sSub>
                </m:e>
              </m:d>
              <m:r>
                <w:rPr>
                  <w:rFonts w:ascii="Cambria Math" w:eastAsia="Cambria Math" w:hAnsi="Cambria Math" w:cs="Arial"/>
                  <w:szCs w:val="22"/>
                </w:rPr>
                <m:t>*0.0</m:t>
              </m:r>
              <m:r>
                <w:rPr>
                  <w:rFonts w:ascii="Cambria Math" w:eastAsia="Cambria Math" w:hAnsi="Cambria Math"/>
                </w:rPr>
                <m:t>5</m:t>
              </m:r>
            </m:oMath>
            <w:r w:rsidR="004F317D" w:rsidRPr="00B33BB6">
              <w:rPr>
                <w:rFonts w:eastAsia="Cambria Math" w:cs="Arial"/>
              </w:rPr>
              <w:t xml:space="preserve">  </w:t>
            </w:r>
          </w:p>
        </w:tc>
        <w:tc>
          <w:tcPr>
            <w:tcW w:w="616" w:type="dxa"/>
            <w:vAlign w:val="center"/>
          </w:tcPr>
          <w:p w14:paraId="63B577D1" w14:textId="77777777" w:rsidR="004F317D" w:rsidRPr="00B33BB6" w:rsidRDefault="004F317D">
            <w:pPr>
              <w:rPr>
                <w:rFonts w:cs="Arial"/>
                <w:szCs w:val="22"/>
              </w:rPr>
            </w:pPr>
          </w:p>
          <w:p w14:paraId="43C2675D" w14:textId="77777777" w:rsidR="004F317D" w:rsidRPr="00B33BB6" w:rsidRDefault="004F317D">
            <w:pPr>
              <w:rPr>
                <w:rFonts w:eastAsia="Montserrat" w:cs="Arial"/>
                <w:szCs w:val="22"/>
              </w:rPr>
            </w:pPr>
            <w:bookmarkStart w:id="58" w:name="e4"/>
            <w:r w:rsidRPr="00B33BB6">
              <w:rPr>
                <w:rFonts w:cs="Arial"/>
                <w:szCs w:val="22"/>
              </w:rPr>
              <w:t>(4)</w:t>
            </w:r>
            <w:bookmarkEnd w:id="58"/>
          </w:p>
        </w:tc>
      </w:tr>
    </w:tbl>
    <w:p w14:paraId="01C53FE5" w14:textId="77777777" w:rsidR="004F317D" w:rsidRPr="00B33BB6" w:rsidRDefault="004F317D" w:rsidP="004F317D">
      <w:pPr>
        <w:rPr>
          <w:rFonts w:eastAsia="Cambria Math" w:cs="Arial"/>
          <w:szCs w:val="22"/>
        </w:rPr>
      </w:pPr>
    </w:p>
    <w:p w14:paraId="0730DF0E" w14:textId="77777777" w:rsidR="004F317D" w:rsidRPr="00B33BB6" w:rsidRDefault="004F317D" w:rsidP="00D007E8">
      <w:pPr>
        <w:ind w:left="709"/>
        <w:rPr>
          <w:rFonts w:eastAsia="Cambria Math" w:cs="Arial"/>
          <w:szCs w:val="22"/>
        </w:rPr>
      </w:pPr>
      <w:r w:rsidRPr="00B33BB6">
        <w:rPr>
          <w:rFonts w:eastAsia="Cambria Math" w:cs="Arial"/>
          <w:szCs w:val="22"/>
        </w:rPr>
        <w:t>Where:</w:t>
      </w:r>
    </w:p>
    <w:p w14:paraId="78E9CBAA" w14:textId="77777777" w:rsidR="004F317D" w:rsidRPr="00B33BB6" w:rsidRDefault="004F317D" w:rsidP="00D007E8">
      <w:pPr>
        <w:ind w:left="709"/>
        <w:rPr>
          <w:rFonts w:eastAsia="Cambria Math" w:cs="Arial"/>
          <w:szCs w:val="22"/>
        </w:rPr>
      </w:pPr>
    </w:p>
    <w:tbl>
      <w:tblPr>
        <w:tblStyle w:val="TableGrid"/>
        <w:tblW w:w="9209" w:type="dxa"/>
        <w:tblInd w:w="709" w:type="dxa"/>
        <w:tblLook w:val="04A0" w:firstRow="1" w:lastRow="0" w:firstColumn="1" w:lastColumn="0" w:noHBand="0" w:noVBand="1"/>
      </w:tblPr>
      <w:tblGrid>
        <w:gridCol w:w="1555"/>
        <w:gridCol w:w="5659"/>
        <w:gridCol w:w="1995"/>
      </w:tblGrid>
      <w:tr w:rsidR="004F317D" w:rsidRPr="00B33BB6" w14:paraId="34149A7B" w14:textId="77777777" w:rsidTr="00D007E8">
        <w:tc>
          <w:tcPr>
            <w:tcW w:w="1555" w:type="dxa"/>
          </w:tcPr>
          <w:p w14:paraId="3C3736B4" w14:textId="77777777" w:rsidR="004F317D" w:rsidRPr="00B33BB6" w:rsidRDefault="004F317D">
            <w:pPr>
              <w:rPr>
                <w:rFonts w:eastAsia="Montserrat" w:cs="Arial"/>
                <w:b/>
                <w:szCs w:val="22"/>
              </w:rPr>
            </w:pPr>
            <w:r w:rsidRPr="00B33BB6">
              <w:rPr>
                <w:rFonts w:eastAsia="Montserrat" w:cs="Arial"/>
                <w:b/>
                <w:szCs w:val="22"/>
              </w:rPr>
              <w:t>Parameter</w:t>
            </w:r>
          </w:p>
        </w:tc>
        <w:tc>
          <w:tcPr>
            <w:tcW w:w="5659" w:type="dxa"/>
          </w:tcPr>
          <w:p w14:paraId="2D3A6EFC" w14:textId="77777777" w:rsidR="004F317D" w:rsidRPr="00B33BB6" w:rsidRDefault="004F317D">
            <w:pPr>
              <w:rPr>
                <w:rFonts w:eastAsia="Montserrat" w:cs="Arial"/>
                <w:b/>
                <w:szCs w:val="22"/>
              </w:rPr>
            </w:pPr>
            <w:r w:rsidRPr="00B33BB6">
              <w:rPr>
                <w:rFonts w:eastAsia="Montserrat" w:cs="Arial"/>
                <w:b/>
                <w:szCs w:val="22"/>
              </w:rPr>
              <w:t>Description</w:t>
            </w:r>
          </w:p>
        </w:tc>
        <w:tc>
          <w:tcPr>
            <w:tcW w:w="1995" w:type="dxa"/>
          </w:tcPr>
          <w:p w14:paraId="35C079FC" w14:textId="77777777" w:rsidR="004F317D" w:rsidRPr="00B33BB6" w:rsidRDefault="004F317D">
            <w:pPr>
              <w:rPr>
                <w:rFonts w:eastAsia="Montserrat" w:cs="Arial"/>
                <w:b/>
                <w:szCs w:val="22"/>
              </w:rPr>
            </w:pPr>
            <w:r w:rsidRPr="00B33BB6">
              <w:rPr>
                <w:rFonts w:eastAsia="Montserrat" w:cs="Arial"/>
                <w:b/>
                <w:szCs w:val="22"/>
              </w:rPr>
              <w:t>Unit</w:t>
            </w:r>
          </w:p>
        </w:tc>
      </w:tr>
      <w:tr w:rsidR="004F317D" w:rsidRPr="00B33BB6" w14:paraId="5D56688D" w14:textId="77777777" w:rsidTr="00D007E8">
        <w:tc>
          <w:tcPr>
            <w:tcW w:w="1555" w:type="dxa"/>
          </w:tcPr>
          <w:p w14:paraId="157723AC" w14:textId="77777777" w:rsidR="004F317D" w:rsidRPr="00B33BB6" w:rsidRDefault="00000000">
            <w:pPr>
              <w:rPr>
                <w:rFonts w:eastAsia="Montserrat" w:cs="Arial"/>
                <w:b/>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adj,min,y1</m:t>
                    </m:r>
                  </m:sub>
                </m:sSub>
              </m:oMath>
            </m:oMathPara>
          </w:p>
        </w:tc>
        <w:tc>
          <w:tcPr>
            <w:tcW w:w="5659" w:type="dxa"/>
          </w:tcPr>
          <w:p w14:paraId="16A03FCC" w14:textId="77777777" w:rsidR="004F317D" w:rsidRPr="00B33BB6" w:rsidRDefault="004F317D">
            <w:pPr>
              <w:rPr>
                <w:rFonts w:eastAsia="Montserrat" w:cs="Arial"/>
                <w:szCs w:val="22"/>
              </w:rPr>
            </w:pPr>
            <w:r w:rsidRPr="00B33BB6">
              <w:rPr>
                <w:rFonts w:eastAsia="Montserrat" w:cs="Arial"/>
                <w:szCs w:val="22"/>
              </w:rPr>
              <w:t xml:space="preserve">Minimum downward adjusted baseline emissions during year </w:t>
            </w:r>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oMath>
          </w:p>
          <w:p w14:paraId="1CBC456F" w14:textId="77777777" w:rsidR="004F317D" w:rsidRPr="00B33BB6" w:rsidRDefault="004F317D">
            <w:pPr>
              <w:rPr>
                <w:rFonts w:eastAsia="Montserrat" w:cs="Arial"/>
                <w:b/>
                <w:sz w:val="10"/>
                <w:szCs w:val="10"/>
              </w:rPr>
            </w:pPr>
          </w:p>
        </w:tc>
        <w:tc>
          <w:tcPr>
            <w:tcW w:w="1995" w:type="dxa"/>
          </w:tcPr>
          <w:p w14:paraId="7DC0825F" w14:textId="77777777" w:rsidR="004F317D" w:rsidRPr="00B33BB6" w:rsidRDefault="004F317D">
            <w:pPr>
              <w:rPr>
                <w:rFonts w:eastAsia="Montserrat" w:cs="Arial"/>
                <w:bCs/>
                <w:szCs w:val="22"/>
              </w:rPr>
            </w:pPr>
            <w:r w:rsidRPr="00B33BB6">
              <w:rPr>
                <w:rFonts w:eastAsia="Montserrat" w:cs="Arial"/>
                <w:bCs/>
                <w:szCs w:val="22"/>
              </w:rPr>
              <w:t>tCO</w:t>
            </w:r>
            <w:r w:rsidRPr="00B33BB6">
              <w:rPr>
                <w:rFonts w:eastAsia="Montserrat" w:cs="Arial"/>
                <w:szCs w:val="22"/>
                <w:vertAlign w:val="subscript"/>
              </w:rPr>
              <w:t>2</w:t>
            </w:r>
            <w:r w:rsidRPr="00B33BB6">
              <w:rPr>
                <w:rFonts w:eastAsia="Montserrat" w:cs="Arial"/>
                <w:bCs/>
                <w:szCs w:val="22"/>
              </w:rPr>
              <w:t>e</w:t>
            </w:r>
          </w:p>
        </w:tc>
      </w:tr>
      <w:tr w:rsidR="004F317D" w:rsidRPr="00B33BB6" w14:paraId="134FDA5D" w14:textId="77777777" w:rsidTr="00D007E8">
        <w:tc>
          <w:tcPr>
            <w:tcW w:w="1555" w:type="dxa"/>
          </w:tcPr>
          <w:p w14:paraId="56F5D498" w14:textId="77777777" w:rsidR="004F317D" w:rsidRPr="00B33BB6" w:rsidRDefault="00000000">
            <w:pPr>
              <w:rPr>
                <w:rFonts w:eastAsia="Montserrat"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unadj,y1</m:t>
                    </m:r>
                  </m:sub>
                </m:sSub>
              </m:oMath>
            </m:oMathPara>
          </w:p>
        </w:tc>
        <w:tc>
          <w:tcPr>
            <w:tcW w:w="5659" w:type="dxa"/>
          </w:tcPr>
          <w:p w14:paraId="2FE9B039" w14:textId="77777777" w:rsidR="004F317D" w:rsidRPr="00B33BB6" w:rsidRDefault="004F317D">
            <w:pPr>
              <w:rPr>
                <w:rFonts w:eastAsia="Montserrat" w:cs="Arial"/>
                <w:szCs w:val="22"/>
              </w:rPr>
            </w:pPr>
            <w:r w:rsidRPr="00B33BB6">
              <w:rPr>
                <w:rFonts w:eastAsia="Montserrat" w:cs="Arial"/>
                <w:szCs w:val="22"/>
              </w:rPr>
              <w:t xml:space="preserve">Unadjusted baseline emissions during year </w:t>
            </w:r>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oMath>
          </w:p>
        </w:tc>
        <w:tc>
          <w:tcPr>
            <w:tcW w:w="1995" w:type="dxa"/>
          </w:tcPr>
          <w:p w14:paraId="331A4EDA" w14:textId="77777777" w:rsidR="004F317D" w:rsidRPr="00B33BB6" w:rsidRDefault="004F317D">
            <w:pPr>
              <w:rPr>
                <w:rFonts w:eastAsia="Montserrat" w:cs="Arial"/>
                <w:szCs w:val="22"/>
              </w:rPr>
            </w:pPr>
            <w:r w:rsidRPr="00B33BB6">
              <w:rPr>
                <w:rFonts w:eastAsia="Montserrat" w:cs="Arial"/>
                <w:bCs/>
                <w:szCs w:val="22"/>
              </w:rPr>
              <w:t>tCO</w:t>
            </w:r>
            <w:r w:rsidRPr="00B33BB6">
              <w:rPr>
                <w:rFonts w:eastAsia="Montserrat" w:cs="Arial"/>
                <w:szCs w:val="22"/>
                <w:vertAlign w:val="subscript"/>
              </w:rPr>
              <w:t>2</w:t>
            </w:r>
            <w:r w:rsidRPr="00B33BB6">
              <w:rPr>
                <w:rFonts w:eastAsia="Montserrat" w:cs="Arial"/>
                <w:bCs/>
                <w:szCs w:val="22"/>
              </w:rPr>
              <w:t>e</w:t>
            </w:r>
          </w:p>
        </w:tc>
      </w:tr>
      <w:tr w:rsidR="004F317D" w:rsidRPr="00B33BB6" w14:paraId="079F2DBA" w14:textId="77777777" w:rsidTr="00D007E8">
        <w:tc>
          <w:tcPr>
            <w:tcW w:w="1555" w:type="dxa"/>
          </w:tcPr>
          <w:p w14:paraId="7978DB1A" w14:textId="77777777" w:rsidR="004F317D" w:rsidRPr="00B33BB6" w:rsidRDefault="00000000">
            <w:pPr>
              <w:rPr>
                <w:rFonts w:eastAsia="Montserrat"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PE</m:t>
                    </m:r>
                  </m:e>
                  <m:sub>
                    <m:r>
                      <w:rPr>
                        <w:rFonts w:ascii="Cambria Math" w:eastAsia="Cambria Math" w:hAnsi="Cambria Math" w:cs="Arial"/>
                        <w:szCs w:val="22"/>
                      </w:rPr>
                      <m:t>y1</m:t>
                    </m:r>
                  </m:sub>
                </m:sSub>
              </m:oMath>
            </m:oMathPara>
          </w:p>
        </w:tc>
        <w:tc>
          <w:tcPr>
            <w:tcW w:w="5659" w:type="dxa"/>
          </w:tcPr>
          <w:p w14:paraId="2C7A72ED" w14:textId="77777777" w:rsidR="004F317D" w:rsidRPr="00B33BB6" w:rsidRDefault="00000000">
            <w:pPr>
              <w:rPr>
                <w:rFonts w:eastAsia="Montserrat" w:cs="Arial"/>
                <w:szCs w:val="22"/>
              </w:rPr>
            </w:pPr>
            <w:sdt>
              <w:sdtPr>
                <w:rPr>
                  <w:rFonts w:cs="Arial"/>
                  <w:szCs w:val="22"/>
                </w:rPr>
                <w:tag w:val="goog_rdk_36"/>
                <w:id w:val="-531415951"/>
              </w:sdtPr>
              <w:sdtContent/>
            </w:sdt>
            <w:sdt>
              <w:sdtPr>
                <w:rPr>
                  <w:rFonts w:cs="Arial"/>
                  <w:szCs w:val="22"/>
                </w:rPr>
                <w:tag w:val="goog_rdk_37"/>
                <w:id w:val="446278874"/>
              </w:sdtPr>
              <w:sdtContent/>
            </w:sdt>
            <w:r w:rsidR="004F317D" w:rsidRPr="00B33BB6">
              <w:rPr>
                <w:rFonts w:eastAsia="Montserrat" w:cs="Arial"/>
                <w:szCs w:val="22"/>
              </w:rPr>
              <w:t xml:space="preserve">Project emissions during year </w:t>
            </w:r>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oMath>
          </w:p>
        </w:tc>
        <w:tc>
          <w:tcPr>
            <w:tcW w:w="1995" w:type="dxa"/>
          </w:tcPr>
          <w:p w14:paraId="7097B8F3" w14:textId="77777777" w:rsidR="004F317D" w:rsidRPr="00B33BB6" w:rsidRDefault="004F317D">
            <w:pPr>
              <w:rPr>
                <w:rFonts w:eastAsia="Montserrat" w:cs="Arial"/>
                <w:szCs w:val="22"/>
              </w:rPr>
            </w:pPr>
            <w:r w:rsidRPr="00B33BB6">
              <w:rPr>
                <w:rFonts w:eastAsia="Montserrat" w:cs="Arial"/>
                <w:bCs/>
                <w:szCs w:val="22"/>
              </w:rPr>
              <w:t>tCO</w:t>
            </w:r>
            <w:r w:rsidRPr="00B33BB6">
              <w:rPr>
                <w:rFonts w:eastAsia="Montserrat" w:cs="Arial"/>
                <w:szCs w:val="22"/>
                <w:vertAlign w:val="subscript"/>
              </w:rPr>
              <w:t>2</w:t>
            </w:r>
            <w:r w:rsidRPr="00B33BB6">
              <w:rPr>
                <w:rFonts w:eastAsia="Montserrat" w:cs="Arial"/>
                <w:bCs/>
                <w:szCs w:val="22"/>
              </w:rPr>
              <w:t>e</w:t>
            </w:r>
          </w:p>
        </w:tc>
      </w:tr>
      <w:tr w:rsidR="004F317D" w:rsidRPr="00B33BB6" w14:paraId="55F01468" w14:textId="77777777" w:rsidTr="00D007E8">
        <w:tc>
          <w:tcPr>
            <w:tcW w:w="1555" w:type="dxa"/>
          </w:tcPr>
          <w:p w14:paraId="00A9FE2F" w14:textId="77777777" w:rsidR="004F317D" w:rsidRPr="00B33BB6" w:rsidRDefault="00000000">
            <w:pPr>
              <w:rPr>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oMath>
            </m:oMathPara>
          </w:p>
        </w:tc>
        <w:tc>
          <w:tcPr>
            <w:tcW w:w="5659" w:type="dxa"/>
          </w:tcPr>
          <w:p w14:paraId="1488FABD" w14:textId="77777777" w:rsidR="004F317D" w:rsidRPr="00B33BB6" w:rsidRDefault="004F317D">
            <w:pPr>
              <w:rPr>
                <w:rFonts w:cs="Arial"/>
                <w:szCs w:val="22"/>
              </w:rPr>
            </w:pPr>
            <w:r w:rsidRPr="00B33BB6">
              <w:rPr>
                <w:rFonts w:cs="Arial"/>
                <w:szCs w:val="22"/>
              </w:rPr>
              <w:t>Calendar year of the start date of the first crediting period</w:t>
            </w:r>
          </w:p>
        </w:tc>
        <w:tc>
          <w:tcPr>
            <w:tcW w:w="1995" w:type="dxa"/>
          </w:tcPr>
          <w:p w14:paraId="6607D7D6" w14:textId="77777777" w:rsidR="004F317D" w:rsidRPr="00B33BB6" w:rsidRDefault="004F317D">
            <w:pPr>
              <w:rPr>
                <w:rFonts w:eastAsia="Montserrat" w:cs="Arial"/>
                <w:bCs/>
                <w:szCs w:val="22"/>
              </w:rPr>
            </w:pPr>
          </w:p>
        </w:tc>
      </w:tr>
    </w:tbl>
    <w:p w14:paraId="764BABF9" w14:textId="77777777" w:rsidR="004F317D" w:rsidRPr="00B33BB6" w:rsidRDefault="004F317D" w:rsidP="00D007E8">
      <w:pPr>
        <w:ind w:left="709"/>
        <w:rPr>
          <w:rFonts w:eastAsia="Cambria Math" w:cs="Arial"/>
          <w:szCs w:val="22"/>
        </w:rPr>
      </w:pPr>
    </w:p>
    <w:p w14:paraId="501179A0" w14:textId="77777777" w:rsidR="004F317D" w:rsidRPr="00B33BB6" w:rsidRDefault="004F317D" w:rsidP="00D007E8">
      <w:pPr>
        <w:ind w:left="709"/>
        <w:contextualSpacing/>
        <w:rPr>
          <w:rFonts w:eastAsia="Montserrat" w:cs="Arial"/>
          <w:szCs w:val="22"/>
        </w:rPr>
      </w:pPr>
      <w:r w:rsidRPr="00B33BB6">
        <w:rPr>
          <w:rFonts w:eastAsia="Montserrat" w:cs="Arial"/>
          <w:szCs w:val="22"/>
        </w:rPr>
        <w:t xml:space="preserve">The final downward adjusted baseline emissions for the </w:t>
      </w:r>
      <w:r w:rsidRPr="00B33BB6">
        <w:rPr>
          <w:rFonts w:cs="Arial"/>
          <w:szCs w:val="22"/>
        </w:rPr>
        <w:t>calendar year of the start date of the first crediting period</w:t>
      </w:r>
      <w:r w:rsidRPr="00B33BB6">
        <w:rPr>
          <w:rFonts w:eastAsia="Montserrat" w:cs="Arial"/>
          <w:szCs w:val="22"/>
        </w:rPr>
        <w:t xml:space="preserve"> is then calculated using Equation (5):</w:t>
      </w:r>
    </w:p>
    <w:p w14:paraId="4973C6DE" w14:textId="77777777" w:rsidR="004F317D" w:rsidRPr="00B33BB6" w:rsidRDefault="004F317D" w:rsidP="004F317D">
      <w:pPr>
        <w:contextualSpacing/>
        <w:rPr>
          <w:rFonts w:eastAsia="Montserrat" w:cs="Arial"/>
          <w:szCs w:val="22"/>
        </w:rPr>
      </w:pPr>
    </w:p>
    <w:tbl>
      <w:tblPr>
        <w:tblW w:w="9214" w:type="dxa"/>
        <w:tblBorders>
          <w:top w:val="nil"/>
          <w:left w:val="nil"/>
          <w:bottom w:val="nil"/>
          <w:right w:val="nil"/>
          <w:insideH w:val="nil"/>
          <w:insideV w:val="nil"/>
        </w:tblBorders>
        <w:tblLayout w:type="fixed"/>
        <w:tblLook w:val="0400" w:firstRow="0" w:lastRow="0" w:firstColumn="0" w:lastColumn="0" w:noHBand="0" w:noVBand="1"/>
      </w:tblPr>
      <w:tblGrid>
        <w:gridCol w:w="8598"/>
        <w:gridCol w:w="616"/>
      </w:tblGrid>
      <w:tr w:rsidR="004F317D" w:rsidRPr="00B33BB6" w14:paraId="371B7E2F" w14:textId="77777777">
        <w:tc>
          <w:tcPr>
            <w:tcW w:w="8598" w:type="dxa"/>
          </w:tcPr>
          <w:p w14:paraId="79A10105" w14:textId="77777777" w:rsidR="004F317D" w:rsidRPr="00B33BB6" w:rsidRDefault="004F317D">
            <w:pPr>
              <w:rPr>
                <w:rFonts w:eastAsia="Montserrat" w:cs="Arial"/>
                <w:szCs w:val="22"/>
              </w:rPr>
            </w:pPr>
          </w:p>
          <w:p w14:paraId="30B11CDF" w14:textId="77777777" w:rsidR="004F317D" w:rsidRPr="00B33BB6" w:rsidRDefault="00000000">
            <w:pPr>
              <w:jc w:val="center"/>
              <w:rPr>
                <w:rFonts w:eastAsia="Cambria Math"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final,y1</m:t>
                    </m:r>
                  </m:sub>
                </m:sSub>
                <m:r>
                  <w:rPr>
                    <w:rFonts w:ascii="Cambria Math" w:eastAsia="Cambria Math" w:hAnsi="Cambria Math" w:cs="Arial"/>
                    <w:szCs w:val="22"/>
                  </w:rPr>
                  <m:t>=</m:t>
                </m:r>
                <m:func>
                  <m:funcPr>
                    <m:ctrlPr>
                      <w:rPr>
                        <w:rFonts w:ascii="Cambria Math" w:eastAsia="Cambria Math" w:hAnsi="Cambria Math" w:cs="Arial"/>
                        <w:i/>
                        <w:szCs w:val="22"/>
                      </w:rPr>
                    </m:ctrlPr>
                  </m:funcPr>
                  <m:fName>
                    <m:r>
                      <m:rPr>
                        <m:sty m:val="p"/>
                      </m:rPr>
                      <w:rPr>
                        <w:rFonts w:ascii="Cambria Math" w:eastAsia="Cambria Math" w:hAnsi="Cambria Math" w:cs="Arial"/>
                        <w:szCs w:val="22"/>
                      </w:rPr>
                      <m:t>min</m:t>
                    </m:r>
                  </m:fName>
                  <m:e>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adj,min,y1</m:t>
                        </m:r>
                      </m:sub>
                    </m:sSub>
                    <m:r>
                      <w:rPr>
                        <w:rFonts w:ascii="Cambria Math" w:eastAsia="Cambria Math" w:hAnsi="Cambria Math" w:cs="Arial"/>
                        <w:szCs w:val="22"/>
                      </w:rPr>
                      <m:t xml:space="preserve">, </m:t>
                    </m:r>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adj,y1</m:t>
                        </m:r>
                      </m:sub>
                    </m:sSub>
                    <m:r>
                      <w:rPr>
                        <w:rFonts w:ascii="Cambria Math" w:eastAsia="Cambria Math" w:hAnsi="Cambria Math" w:cs="Arial"/>
                        <w:szCs w:val="22"/>
                      </w:rPr>
                      <m:t>)</m:t>
                    </m:r>
                  </m:e>
                </m:func>
              </m:oMath>
            </m:oMathPara>
          </w:p>
        </w:tc>
        <w:tc>
          <w:tcPr>
            <w:tcW w:w="616" w:type="dxa"/>
            <w:vAlign w:val="center"/>
          </w:tcPr>
          <w:p w14:paraId="15AD5AD3" w14:textId="77777777" w:rsidR="004F317D" w:rsidRPr="00B33BB6" w:rsidRDefault="004F317D">
            <w:pPr>
              <w:rPr>
                <w:rFonts w:cs="Arial"/>
                <w:szCs w:val="22"/>
              </w:rPr>
            </w:pPr>
          </w:p>
          <w:p w14:paraId="368212E4" w14:textId="77777777" w:rsidR="004F317D" w:rsidRPr="00B33BB6" w:rsidRDefault="004F317D">
            <w:pPr>
              <w:rPr>
                <w:rFonts w:eastAsia="Montserrat" w:cs="Arial"/>
                <w:szCs w:val="22"/>
              </w:rPr>
            </w:pPr>
            <w:bookmarkStart w:id="59" w:name="e5"/>
            <w:r w:rsidRPr="00B33BB6">
              <w:rPr>
                <w:rFonts w:cs="Arial"/>
                <w:szCs w:val="22"/>
              </w:rPr>
              <w:t>(5)</w:t>
            </w:r>
            <w:bookmarkEnd w:id="59"/>
          </w:p>
        </w:tc>
      </w:tr>
    </w:tbl>
    <w:p w14:paraId="34C4A43F" w14:textId="77777777" w:rsidR="004F317D" w:rsidRPr="00B33BB6" w:rsidRDefault="004F317D" w:rsidP="004F317D">
      <w:pPr>
        <w:contextualSpacing/>
        <w:rPr>
          <w:rFonts w:eastAsia="Montserrat" w:cs="Arial"/>
          <w:szCs w:val="22"/>
        </w:rPr>
      </w:pPr>
    </w:p>
    <w:p w14:paraId="76DDD030" w14:textId="77777777" w:rsidR="004F317D" w:rsidRPr="00B33BB6" w:rsidRDefault="004F317D" w:rsidP="00D007E8">
      <w:pPr>
        <w:ind w:left="709"/>
        <w:contextualSpacing/>
        <w:rPr>
          <w:rFonts w:eastAsia="Montserrat" w:cs="Arial"/>
          <w:szCs w:val="22"/>
        </w:rPr>
      </w:pPr>
      <w:r w:rsidRPr="00B33BB6">
        <w:rPr>
          <w:rFonts w:eastAsia="Montserrat" w:cs="Arial"/>
          <w:szCs w:val="22"/>
        </w:rPr>
        <w:t>Where:</w:t>
      </w:r>
    </w:p>
    <w:p w14:paraId="3688B055" w14:textId="77777777" w:rsidR="004F317D" w:rsidRPr="00B33BB6" w:rsidRDefault="004F317D" w:rsidP="00D007E8">
      <w:pPr>
        <w:ind w:left="709"/>
        <w:contextualSpacing/>
        <w:rPr>
          <w:rFonts w:eastAsia="Montserrat" w:cs="Arial"/>
          <w:szCs w:val="22"/>
        </w:rPr>
      </w:pPr>
    </w:p>
    <w:tbl>
      <w:tblPr>
        <w:tblStyle w:val="TableGrid"/>
        <w:tblW w:w="9209" w:type="dxa"/>
        <w:tblInd w:w="709" w:type="dxa"/>
        <w:tblLook w:val="04A0" w:firstRow="1" w:lastRow="0" w:firstColumn="1" w:lastColumn="0" w:noHBand="0" w:noVBand="1"/>
      </w:tblPr>
      <w:tblGrid>
        <w:gridCol w:w="1555"/>
        <w:gridCol w:w="5659"/>
        <w:gridCol w:w="1995"/>
      </w:tblGrid>
      <w:tr w:rsidR="004F317D" w:rsidRPr="00B33BB6" w14:paraId="17410B5A" w14:textId="77777777" w:rsidTr="00D007E8">
        <w:tc>
          <w:tcPr>
            <w:tcW w:w="1555" w:type="dxa"/>
          </w:tcPr>
          <w:p w14:paraId="34E18020" w14:textId="77777777" w:rsidR="004F317D" w:rsidRPr="00B33BB6" w:rsidRDefault="004F317D">
            <w:pPr>
              <w:rPr>
                <w:rFonts w:eastAsia="Montserrat" w:cs="Arial"/>
                <w:b/>
                <w:szCs w:val="22"/>
              </w:rPr>
            </w:pPr>
            <w:r w:rsidRPr="00B33BB6">
              <w:rPr>
                <w:rFonts w:eastAsia="Montserrat" w:cs="Arial"/>
                <w:b/>
                <w:szCs w:val="22"/>
              </w:rPr>
              <w:t>Parameter</w:t>
            </w:r>
          </w:p>
        </w:tc>
        <w:tc>
          <w:tcPr>
            <w:tcW w:w="5659" w:type="dxa"/>
          </w:tcPr>
          <w:p w14:paraId="49FD1DE5" w14:textId="77777777" w:rsidR="004F317D" w:rsidRPr="00B33BB6" w:rsidRDefault="004F317D">
            <w:pPr>
              <w:rPr>
                <w:rFonts w:eastAsia="Montserrat" w:cs="Arial"/>
                <w:b/>
                <w:szCs w:val="22"/>
              </w:rPr>
            </w:pPr>
            <w:r w:rsidRPr="00B33BB6">
              <w:rPr>
                <w:rFonts w:eastAsia="Montserrat" w:cs="Arial"/>
                <w:b/>
                <w:szCs w:val="22"/>
              </w:rPr>
              <w:t>Description</w:t>
            </w:r>
          </w:p>
        </w:tc>
        <w:tc>
          <w:tcPr>
            <w:tcW w:w="1995" w:type="dxa"/>
          </w:tcPr>
          <w:p w14:paraId="0E70C4F8" w14:textId="77777777" w:rsidR="004F317D" w:rsidRPr="00B33BB6" w:rsidRDefault="004F317D">
            <w:pPr>
              <w:rPr>
                <w:rFonts w:eastAsia="Montserrat" w:cs="Arial"/>
                <w:b/>
                <w:szCs w:val="22"/>
              </w:rPr>
            </w:pPr>
            <w:r w:rsidRPr="00B33BB6">
              <w:rPr>
                <w:rFonts w:eastAsia="Montserrat" w:cs="Arial"/>
                <w:b/>
                <w:szCs w:val="22"/>
              </w:rPr>
              <w:t>Unit</w:t>
            </w:r>
          </w:p>
        </w:tc>
      </w:tr>
      <w:tr w:rsidR="004F317D" w:rsidRPr="00B33BB6" w14:paraId="3794BFEF" w14:textId="77777777" w:rsidTr="00D007E8">
        <w:tc>
          <w:tcPr>
            <w:tcW w:w="1555" w:type="dxa"/>
          </w:tcPr>
          <w:p w14:paraId="355D4A72" w14:textId="77777777" w:rsidR="004F317D" w:rsidRPr="00B33BB6" w:rsidRDefault="00000000">
            <w:pPr>
              <w:rPr>
                <w:rFonts w:eastAsia="Montserrat"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final,y1</m:t>
                    </m:r>
                  </m:sub>
                </m:sSub>
              </m:oMath>
            </m:oMathPara>
          </w:p>
        </w:tc>
        <w:tc>
          <w:tcPr>
            <w:tcW w:w="5659" w:type="dxa"/>
          </w:tcPr>
          <w:p w14:paraId="56FDCD95" w14:textId="77777777" w:rsidR="004F317D" w:rsidRPr="00B33BB6" w:rsidRDefault="004F317D">
            <w:pPr>
              <w:rPr>
                <w:rFonts w:eastAsia="Montserrat" w:cs="Arial"/>
                <w:szCs w:val="22"/>
              </w:rPr>
            </w:pPr>
            <w:r w:rsidRPr="00B33BB6">
              <w:rPr>
                <w:rFonts w:eastAsia="Montserrat" w:cs="Arial"/>
                <w:szCs w:val="22"/>
              </w:rPr>
              <w:t xml:space="preserve">Final downward adjusted baseline emissions during year </w:t>
            </w:r>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oMath>
          </w:p>
          <w:p w14:paraId="61C4A29F" w14:textId="77777777" w:rsidR="004F317D" w:rsidRPr="00B33BB6" w:rsidRDefault="004F317D">
            <w:pPr>
              <w:rPr>
                <w:rFonts w:eastAsia="Montserrat" w:cs="Arial"/>
                <w:sz w:val="10"/>
                <w:szCs w:val="10"/>
              </w:rPr>
            </w:pPr>
          </w:p>
        </w:tc>
        <w:tc>
          <w:tcPr>
            <w:tcW w:w="1995" w:type="dxa"/>
          </w:tcPr>
          <w:p w14:paraId="4F9F9144" w14:textId="77777777" w:rsidR="004F317D" w:rsidRPr="00B33BB6" w:rsidRDefault="004F317D">
            <w:pPr>
              <w:rPr>
                <w:rFonts w:eastAsia="Montserrat" w:cs="Arial"/>
                <w:bCs/>
                <w:szCs w:val="22"/>
              </w:rPr>
            </w:pPr>
            <w:r w:rsidRPr="00B33BB6">
              <w:rPr>
                <w:rFonts w:eastAsia="Montserrat" w:cs="Arial"/>
                <w:bCs/>
                <w:szCs w:val="22"/>
              </w:rPr>
              <w:t>tCO</w:t>
            </w:r>
            <w:r w:rsidRPr="00B33BB6">
              <w:rPr>
                <w:rFonts w:eastAsia="Montserrat" w:cs="Arial"/>
                <w:szCs w:val="22"/>
                <w:vertAlign w:val="subscript"/>
              </w:rPr>
              <w:t>2</w:t>
            </w:r>
            <w:r w:rsidRPr="00B33BB6">
              <w:rPr>
                <w:rFonts w:eastAsia="Montserrat" w:cs="Arial"/>
                <w:bCs/>
                <w:szCs w:val="22"/>
              </w:rPr>
              <w:t>e</w:t>
            </w:r>
          </w:p>
        </w:tc>
      </w:tr>
      <w:tr w:rsidR="004F317D" w:rsidRPr="00B33BB6" w14:paraId="410B3A36" w14:textId="77777777" w:rsidTr="00D007E8">
        <w:tc>
          <w:tcPr>
            <w:tcW w:w="1555" w:type="dxa"/>
          </w:tcPr>
          <w:p w14:paraId="609412AF" w14:textId="77777777" w:rsidR="004F317D" w:rsidRPr="00B33BB6" w:rsidRDefault="00000000">
            <w:pPr>
              <w:rPr>
                <w:rFonts w:eastAsia="Montserrat" w:cs="Arial"/>
                <w:b/>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adj,min,y1</m:t>
                    </m:r>
                  </m:sub>
                </m:sSub>
              </m:oMath>
            </m:oMathPara>
          </w:p>
        </w:tc>
        <w:tc>
          <w:tcPr>
            <w:tcW w:w="5659" w:type="dxa"/>
          </w:tcPr>
          <w:p w14:paraId="2B9D9BC4" w14:textId="77777777" w:rsidR="004F317D" w:rsidRPr="00B33BB6" w:rsidRDefault="004F317D">
            <w:pPr>
              <w:rPr>
                <w:rFonts w:eastAsia="Montserrat" w:cs="Arial"/>
                <w:szCs w:val="22"/>
              </w:rPr>
            </w:pPr>
            <w:r w:rsidRPr="00B33BB6">
              <w:rPr>
                <w:rFonts w:eastAsia="Montserrat" w:cs="Arial"/>
                <w:szCs w:val="22"/>
              </w:rPr>
              <w:t xml:space="preserve">Minimum downward adjusted baseline emissions during year </w:t>
            </w:r>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oMath>
          </w:p>
          <w:p w14:paraId="586D8006" w14:textId="77777777" w:rsidR="004F317D" w:rsidRPr="00B33BB6" w:rsidRDefault="004F317D">
            <w:pPr>
              <w:rPr>
                <w:rFonts w:eastAsia="Montserrat" w:cs="Arial"/>
                <w:b/>
                <w:sz w:val="10"/>
                <w:szCs w:val="10"/>
              </w:rPr>
            </w:pPr>
          </w:p>
        </w:tc>
        <w:tc>
          <w:tcPr>
            <w:tcW w:w="1995" w:type="dxa"/>
          </w:tcPr>
          <w:p w14:paraId="7BD54D81" w14:textId="77777777" w:rsidR="004F317D" w:rsidRPr="00B33BB6" w:rsidRDefault="004F317D">
            <w:pPr>
              <w:rPr>
                <w:rFonts w:eastAsia="Montserrat" w:cs="Arial"/>
                <w:bCs/>
                <w:szCs w:val="22"/>
              </w:rPr>
            </w:pPr>
            <w:r w:rsidRPr="00B33BB6">
              <w:rPr>
                <w:rFonts w:eastAsia="Montserrat" w:cs="Arial"/>
                <w:bCs/>
                <w:szCs w:val="22"/>
              </w:rPr>
              <w:t>tCO</w:t>
            </w:r>
            <w:r w:rsidRPr="00B33BB6">
              <w:rPr>
                <w:rFonts w:eastAsia="Montserrat" w:cs="Arial"/>
                <w:szCs w:val="22"/>
                <w:vertAlign w:val="subscript"/>
              </w:rPr>
              <w:t>2</w:t>
            </w:r>
            <w:r w:rsidRPr="00B33BB6">
              <w:rPr>
                <w:rFonts w:eastAsia="Montserrat" w:cs="Arial"/>
                <w:bCs/>
                <w:szCs w:val="22"/>
              </w:rPr>
              <w:t>e</w:t>
            </w:r>
          </w:p>
        </w:tc>
      </w:tr>
      <w:tr w:rsidR="004F317D" w:rsidRPr="00B33BB6" w14:paraId="4D18F0CB" w14:textId="77777777" w:rsidTr="00D007E8">
        <w:tc>
          <w:tcPr>
            <w:tcW w:w="1555" w:type="dxa"/>
          </w:tcPr>
          <w:p w14:paraId="66C4F61E" w14:textId="77777777" w:rsidR="004F317D" w:rsidRPr="00B33BB6" w:rsidRDefault="00000000">
            <w:pPr>
              <w:rPr>
                <w:rFonts w:eastAsia="Montserrat"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adj,y1</m:t>
                    </m:r>
                  </m:sub>
                </m:sSub>
              </m:oMath>
            </m:oMathPara>
          </w:p>
        </w:tc>
        <w:tc>
          <w:tcPr>
            <w:tcW w:w="5659" w:type="dxa"/>
          </w:tcPr>
          <w:p w14:paraId="2D22C832" w14:textId="77777777" w:rsidR="004F317D" w:rsidRPr="00B33BB6" w:rsidRDefault="004F317D">
            <w:pPr>
              <w:rPr>
                <w:rFonts w:eastAsia="Montserrat" w:cs="Arial"/>
                <w:szCs w:val="22"/>
              </w:rPr>
            </w:pPr>
            <w:r w:rsidRPr="00B33BB6">
              <w:rPr>
                <w:rFonts w:eastAsia="Montserrat" w:cs="Arial"/>
                <w:szCs w:val="22"/>
              </w:rPr>
              <w:t xml:space="preserve">Downward adjusted baseline emissions during year </w:t>
            </w:r>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oMath>
          </w:p>
        </w:tc>
        <w:tc>
          <w:tcPr>
            <w:tcW w:w="1995" w:type="dxa"/>
          </w:tcPr>
          <w:p w14:paraId="2A670433" w14:textId="77777777" w:rsidR="004F317D" w:rsidRPr="00B33BB6" w:rsidRDefault="004F317D">
            <w:pPr>
              <w:rPr>
                <w:rFonts w:eastAsia="Montserrat" w:cs="Arial"/>
                <w:szCs w:val="22"/>
              </w:rPr>
            </w:pPr>
            <w:r w:rsidRPr="00B33BB6">
              <w:rPr>
                <w:rFonts w:eastAsia="Montserrat" w:cs="Arial"/>
                <w:bCs/>
                <w:szCs w:val="22"/>
              </w:rPr>
              <w:t>tCO</w:t>
            </w:r>
            <w:r w:rsidRPr="00B33BB6">
              <w:rPr>
                <w:rFonts w:eastAsia="Montserrat" w:cs="Arial"/>
                <w:szCs w:val="22"/>
                <w:vertAlign w:val="subscript"/>
              </w:rPr>
              <w:t>2</w:t>
            </w:r>
            <w:r w:rsidRPr="00B33BB6">
              <w:rPr>
                <w:rFonts w:eastAsia="Montserrat" w:cs="Arial"/>
                <w:bCs/>
                <w:szCs w:val="22"/>
              </w:rPr>
              <w:t>e</w:t>
            </w:r>
          </w:p>
        </w:tc>
      </w:tr>
      <w:tr w:rsidR="004F317D" w:rsidRPr="00B33BB6" w14:paraId="5AC454B1" w14:textId="77777777" w:rsidTr="00D007E8">
        <w:tc>
          <w:tcPr>
            <w:tcW w:w="1555" w:type="dxa"/>
          </w:tcPr>
          <w:p w14:paraId="50DA7489" w14:textId="77777777" w:rsidR="004F317D" w:rsidRPr="00B33BB6" w:rsidRDefault="00000000">
            <w:pPr>
              <w:rPr>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oMath>
            </m:oMathPara>
          </w:p>
        </w:tc>
        <w:tc>
          <w:tcPr>
            <w:tcW w:w="5659" w:type="dxa"/>
          </w:tcPr>
          <w:p w14:paraId="67B58EF9" w14:textId="77777777" w:rsidR="004F317D" w:rsidRPr="00B33BB6" w:rsidRDefault="004F317D">
            <w:pPr>
              <w:rPr>
                <w:rFonts w:cs="Arial"/>
                <w:szCs w:val="22"/>
              </w:rPr>
            </w:pPr>
            <w:r w:rsidRPr="00B33BB6">
              <w:rPr>
                <w:rFonts w:cs="Arial"/>
                <w:szCs w:val="22"/>
              </w:rPr>
              <w:t>Calendar year of the start date of the first crediting period</w:t>
            </w:r>
          </w:p>
        </w:tc>
        <w:tc>
          <w:tcPr>
            <w:tcW w:w="1995" w:type="dxa"/>
          </w:tcPr>
          <w:p w14:paraId="3B3AD32E" w14:textId="77777777" w:rsidR="004F317D" w:rsidRPr="00B33BB6" w:rsidRDefault="004F317D">
            <w:pPr>
              <w:rPr>
                <w:rFonts w:eastAsia="Montserrat" w:cs="Arial"/>
                <w:bCs/>
                <w:szCs w:val="22"/>
              </w:rPr>
            </w:pPr>
          </w:p>
        </w:tc>
      </w:tr>
    </w:tbl>
    <w:p w14:paraId="38F1E0FE" w14:textId="77777777" w:rsidR="004F317D" w:rsidRPr="00B33BB6" w:rsidRDefault="004F317D" w:rsidP="00D007E8">
      <w:pPr>
        <w:ind w:left="709"/>
        <w:contextualSpacing/>
        <w:rPr>
          <w:rFonts w:eastAsia="Montserrat" w:cs="Arial"/>
          <w:szCs w:val="22"/>
        </w:rPr>
      </w:pPr>
    </w:p>
    <w:p w14:paraId="3251502F" w14:textId="77777777" w:rsidR="004F317D" w:rsidRPr="00B33BB6" w:rsidRDefault="004F317D" w:rsidP="00D007E8">
      <w:pPr>
        <w:ind w:left="709"/>
        <w:rPr>
          <w:rFonts w:eastAsia="Montserrat" w:cs="Arial"/>
          <w:szCs w:val="22"/>
        </w:rPr>
      </w:pPr>
      <w:r w:rsidRPr="00B33BB6">
        <w:rPr>
          <w:rFonts w:cs="Arial"/>
          <w:color w:val="000000"/>
          <w:szCs w:val="22"/>
        </w:rPr>
        <w:t xml:space="preserve">For projects using the global default for baseline energy consumption, no additional downward adjustment for baseline uncertainty is required. For these projects, the baseline emissions </w:t>
      </w:r>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,y1</m:t>
            </m:r>
          </m:sub>
        </m:sSub>
        <m:r>
          <w:rPr>
            <w:rFonts w:ascii="Cambria Math" w:eastAsia="Cambria Math" w:hAnsi="Cambria Math" w:cs="Arial"/>
            <w:szCs w:val="22"/>
          </w:rPr>
          <m:t>)</m:t>
        </m:r>
      </m:oMath>
      <w:r w:rsidRPr="00B33BB6">
        <w:rPr>
          <w:rFonts w:cs="Arial"/>
          <w:szCs w:val="22"/>
        </w:rPr>
        <w:t xml:space="preserve"> in the calendar year of the first crediting period are equal to the final downward adjusted baseline emissions during this year (</w:t>
      </w:r>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final,y1</m:t>
            </m:r>
          </m:sub>
        </m:sSub>
        <m:r>
          <w:rPr>
            <w:rFonts w:ascii="Cambria Math" w:eastAsia="Cambria Math" w:hAnsi="Cambria Math" w:cs="Arial"/>
            <w:szCs w:val="22"/>
          </w:rPr>
          <m:t>)</m:t>
        </m:r>
      </m:oMath>
      <w:r w:rsidRPr="00B33BB6">
        <w:rPr>
          <w:rFonts w:cs="Arial"/>
          <w:szCs w:val="22"/>
        </w:rPr>
        <w:t>.</w:t>
      </w:r>
    </w:p>
    <w:p w14:paraId="747DE1BB" w14:textId="77777777" w:rsidR="004F317D" w:rsidRPr="00B33BB6" w:rsidRDefault="004F317D" w:rsidP="004F317D">
      <w:pPr>
        <w:contextualSpacing/>
        <w:rPr>
          <w:rFonts w:eastAsia="Montserrat" w:cs="Arial"/>
          <w:szCs w:val="22"/>
        </w:rPr>
      </w:pPr>
    </w:p>
    <w:p w14:paraId="0C87A044" w14:textId="26FDDE8E" w:rsidR="004F317D" w:rsidRPr="00D007E8" w:rsidRDefault="004F317D" w:rsidP="004F317D">
      <w:pPr>
        <w:pStyle w:val="SDMPara"/>
        <w:contextualSpacing/>
        <w:rPr>
          <w:rFonts w:eastAsia="Montserrat"/>
          <w:b/>
          <w:bCs/>
        </w:rPr>
      </w:pPr>
      <w:r w:rsidRPr="00D007E8">
        <w:rPr>
          <w:rFonts w:eastAsia="Montserrat"/>
          <w:b/>
        </w:rPr>
        <w:t>Downward adjustment in subsequent years for CTEC and non-CTEC projects</w:t>
      </w:r>
      <w:r w:rsidR="00D007E8">
        <w:rPr>
          <w:rFonts w:eastAsia="Montserrat"/>
          <w:b/>
          <w:bCs/>
        </w:rPr>
        <w:t xml:space="preserve">: </w:t>
      </w:r>
      <w:r w:rsidRPr="00D007E8">
        <w:rPr>
          <w:rFonts w:eastAsia="Montserrat"/>
        </w:rPr>
        <w:t>For each calendar year after the first crediting year, a downward adjustment to the baseline emissions shall be calculated by applying an annual reduction of 1% relative to the final adjusted baseline of year 1 using Equation (6):</w:t>
      </w:r>
    </w:p>
    <w:p w14:paraId="4A1C0946" w14:textId="77777777" w:rsidR="004F317D" w:rsidRPr="00B33BB6" w:rsidRDefault="004F317D" w:rsidP="004F317D">
      <w:pPr>
        <w:contextualSpacing/>
        <w:rPr>
          <w:rFonts w:eastAsia="Montserrat" w:cs="Arial"/>
          <w:szCs w:val="22"/>
        </w:rPr>
      </w:pPr>
    </w:p>
    <w:tbl>
      <w:tblPr>
        <w:tblW w:w="9214" w:type="dxa"/>
        <w:tblBorders>
          <w:top w:val="nil"/>
          <w:left w:val="nil"/>
          <w:bottom w:val="nil"/>
          <w:right w:val="nil"/>
          <w:insideH w:val="nil"/>
          <w:insideV w:val="nil"/>
        </w:tblBorders>
        <w:tblLayout w:type="fixed"/>
        <w:tblLook w:val="0400" w:firstRow="0" w:lastRow="0" w:firstColumn="0" w:lastColumn="0" w:noHBand="0" w:noVBand="1"/>
      </w:tblPr>
      <w:tblGrid>
        <w:gridCol w:w="8598"/>
        <w:gridCol w:w="616"/>
      </w:tblGrid>
      <w:tr w:rsidR="004F317D" w:rsidRPr="00B33BB6" w14:paraId="4CCB613A" w14:textId="77777777">
        <w:tc>
          <w:tcPr>
            <w:tcW w:w="8598" w:type="dxa"/>
          </w:tcPr>
          <w:p w14:paraId="309CA197" w14:textId="77777777" w:rsidR="004F317D" w:rsidRPr="00B33BB6" w:rsidRDefault="004F317D">
            <w:pPr>
              <w:rPr>
                <w:rFonts w:eastAsia="Montserrat" w:cs="Arial"/>
                <w:szCs w:val="22"/>
              </w:rPr>
            </w:pPr>
          </w:p>
          <w:p w14:paraId="03EFEB8F" w14:textId="77777777" w:rsidR="004F317D" w:rsidRPr="00B33BB6" w:rsidRDefault="00000000">
            <w:pPr>
              <w:jc w:val="center"/>
              <w:rPr>
                <w:rFonts w:eastAsia="Cambria Math"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final,y2+</m:t>
                    </m:r>
                  </m:sub>
                </m:sSub>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final,y1</m:t>
                    </m:r>
                  </m:sub>
                </m:sSub>
                <m:r>
                  <w:rPr>
                    <w:rFonts w:ascii="Cambria Math" w:eastAsia="Cambria Math" w:hAnsi="Cambria Math" w:cs="Arial"/>
                    <w:szCs w:val="22"/>
                  </w:rPr>
                  <m:t>*</m:t>
                </m:r>
                <m:d>
                  <m:dPr>
                    <m:ctrlPr>
                      <w:rPr>
                        <w:rFonts w:ascii="Cambria Math" w:eastAsia="Cambria Math" w:hAnsi="Cambria Math" w:cs="Arial"/>
                        <w:i/>
                        <w:szCs w:val="22"/>
                      </w:rPr>
                    </m:ctrlPr>
                  </m:dPr>
                  <m:e>
                    <m:r>
                      <w:rPr>
                        <w:rFonts w:ascii="Cambria Math" w:eastAsia="Cambria Math" w:hAnsi="Cambria Math" w:cs="Arial"/>
                        <w:szCs w:val="22"/>
                      </w:rPr>
                      <m:t>1-0.01</m:t>
                    </m:r>
                  </m:e>
                </m:d>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2+</m:t>
                    </m:r>
                  </m:sub>
                </m:sSub>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r>
                  <w:rPr>
                    <w:rFonts w:ascii="Cambria Math" w:eastAsia="Cambria Math" w:hAnsi="Cambria Math" w:cs="Arial"/>
                    <w:szCs w:val="22"/>
                  </w:rPr>
                  <m:t>)</m:t>
                </m:r>
              </m:oMath>
            </m:oMathPara>
          </w:p>
        </w:tc>
        <w:tc>
          <w:tcPr>
            <w:tcW w:w="616" w:type="dxa"/>
            <w:vAlign w:val="center"/>
          </w:tcPr>
          <w:p w14:paraId="262C8E4A" w14:textId="77777777" w:rsidR="004F317D" w:rsidRPr="00B33BB6" w:rsidRDefault="004F317D">
            <w:pPr>
              <w:rPr>
                <w:rFonts w:cs="Arial"/>
                <w:szCs w:val="22"/>
              </w:rPr>
            </w:pPr>
          </w:p>
          <w:p w14:paraId="165B6F59" w14:textId="77777777" w:rsidR="004F317D" w:rsidRPr="00B33BB6" w:rsidRDefault="004F317D">
            <w:pPr>
              <w:rPr>
                <w:rFonts w:eastAsia="Montserrat" w:cs="Arial"/>
                <w:szCs w:val="22"/>
              </w:rPr>
            </w:pPr>
            <w:bookmarkStart w:id="60" w:name="e6"/>
            <w:r w:rsidRPr="00B33BB6">
              <w:rPr>
                <w:rFonts w:cs="Arial"/>
                <w:szCs w:val="22"/>
              </w:rPr>
              <w:t>(6)</w:t>
            </w:r>
            <w:bookmarkEnd w:id="60"/>
          </w:p>
        </w:tc>
      </w:tr>
    </w:tbl>
    <w:p w14:paraId="315DDB3E" w14:textId="77777777" w:rsidR="004F317D" w:rsidRPr="00B33BB6" w:rsidRDefault="004F317D" w:rsidP="004F317D">
      <w:pPr>
        <w:contextualSpacing/>
        <w:rPr>
          <w:rFonts w:eastAsia="Montserrat" w:cs="Arial"/>
          <w:szCs w:val="22"/>
        </w:rPr>
      </w:pPr>
    </w:p>
    <w:p w14:paraId="78B0A5F2" w14:textId="77777777" w:rsidR="004F317D" w:rsidRPr="00B33BB6" w:rsidRDefault="004F317D" w:rsidP="00D007E8">
      <w:pPr>
        <w:ind w:left="709"/>
        <w:contextualSpacing/>
        <w:rPr>
          <w:rFonts w:eastAsia="Montserrat" w:cs="Arial"/>
          <w:szCs w:val="22"/>
        </w:rPr>
      </w:pPr>
      <w:r w:rsidRPr="00B33BB6">
        <w:rPr>
          <w:rFonts w:eastAsia="Montserrat" w:cs="Arial"/>
          <w:szCs w:val="22"/>
        </w:rPr>
        <w:t>Where:</w:t>
      </w:r>
    </w:p>
    <w:tbl>
      <w:tblPr>
        <w:tblStyle w:val="TableGrid"/>
        <w:tblW w:w="9209" w:type="dxa"/>
        <w:tblInd w:w="709" w:type="dxa"/>
        <w:tblLook w:val="04A0" w:firstRow="1" w:lastRow="0" w:firstColumn="1" w:lastColumn="0" w:noHBand="0" w:noVBand="1"/>
      </w:tblPr>
      <w:tblGrid>
        <w:gridCol w:w="1555"/>
        <w:gridCol w:w="5659"/>
        <w:gridCol w:w="1995"/>
      </w:tblGrid>
      <w:tr w:rsidR="004F317D" w:rsidRPr="00B33BB6" w14:paraId="5EB0FB76" w14:textId="77777777" w:rsidTr="00D007E8">
        <w:tc>
          <w:tcPr>
            <w:tcW w:w="1555" w:type="dxa"/>
          </w:tcPr>
          <w:p w14:paraId="2BDB3F9C" w14:textId="77777777" w:rsidR="004F317D" w:rsidRPr="00B33BB6" w:rsidRDefault="004F317D">
            <w:pPr>
              <w:rPr>
                <w:rFonts w:eastAsia="Montserrat" w:cs="Arial"/>
                <w:b/>
                <w:szCs w:val="22"/>
              </w:rPr>
            </w:pPr>
            <w:r w:rsidRPr="00B33BB6">
              <w:rPr>
                <w:rFonts w:eastAsia="Montserrat" w:cs="Arial"/>
                <w:b/>
                <w:szCs w:val="22"/>
              </w:rPr>
              <w:t>Parameter</w:t>
            </w:r>
          </w:p>
        </w:tc>
        <w:tc>
          <w:tcPr>
            <w:tcW w:w="5659" w:type="dxa"/>
          </w:tcPr>
          <w:p w14:paraId="1523FF8B" w14:textId="77777777" w:rsidR="004F317D" w:rsidRPr="00B33BB6" w:rsidRDefault="004F317D">
            <w:pPr>
              <w:rPr>
                <w:rFonts w:eastAsia="Montserrat" w:cs="Arial"/>
                <w:b/>
                <w:szCs w:val="22"/>
              </w:rPr>
            </w:pPr>
            <w:r w:rsidRPr="00B33BB6">
              <w:rPr>
                <w:rFonts w:eastAsia="Montserrat" w:cs="Arial"/>
                <w:b/>
                <w:szCs w:val="22"/>
              </w:rPr>
              <w:t>Description</w:t>
            </w:r>
          </w:p>
        </w:tc>
        <w:tc>
          <w:tcPr>
            <w:tcW w:w="1995" w:type="dxa"/>
          </w:tcPr>
          <w:p w14:paraId="210F2FFF" w14:textId="77777777" w:rsidR="004F317D" w:rsidRPr="00B33BB6" w:rsidRDefault="004F317D">
            <w:pPr>
              <w:rPr>
                <w:rFonts w:eastAsia="Montserrat" w:cs="Arial"/>
                <w:b/>
                <w:szCs w:val="22"/>
              </w:rPr>
            </w:pPr>
            <w:r w:rsidRPr="00B33BB6">
              <w:rPr>
                <w:rFonts w:eastAsia="Montserrat" w:cs="Arial"/>
                <w:b/>
                <w:szCs w:val="22"/>
              </w:rPr>
              <w:t>Unit</w:t>
            </w:r>
          </w:p>
        </w:tc>
      </w:tr>
      <w:tr w:rsidR="004F317D" w:rsidRPr="00B33BB6" w14:paraId="2F03D4E9" w14:textId="77777777" w:rsidTr="00D007E8">
        <w:tc>
          <w:tcPr>
            <w:tcW w:w="1555" w:type="dxa"/>
          </w:tcPr>
          <w:p w14:paraId="46ABD60D" w14:textId="77777777" w:rsidR="004F317D" w:rsidRPr="00B33BB6" w:rsidRDefault="00000000">
            <w:pPr>
              <w:rPr>
                <w:rFonts w:eastAsia="Montserrat"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final,y2+</m:t>
                    </m:r>
                  </m:sub>
                </m:sSub>
              </m:oMath>
            </m:oMathPara>
          </w:p>
        </w:tc>
        <w:tc>
          <w:tcPr>
            <w:tcW w:w="5659" w:type="dxa"/>
          </w:tcPr>
          <w:p w14:paraId="493F980C" w14:textId="77777777" w:rsidR="004F317D" w:rsidRPr="00B33BB6" w:rsidRDefault="004F317D">
            <w:pPr>
              <w:rPr>
                <w:rFonts w:eastAsia="Montserrat" w:cs="Arial"/>
                <w:szCs w:val="22"/>
              </w:rPr>
            </w:pPr>
            <w:r w:rsidRPr="00B33BB6">
              <w:rPr>
                <w:rFonts w:eastAsia="Montserrat" w:cs="Arial"/>
                <w:szCs w:val="22"/>
              </w:rPr>
              <w:t xml:space="preserve">Final downward adjusted baseline emissions during year </w:t>
            </w:r>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2+</m:t>
                  </m:r>
                </m:sub>
              </m:sSub>
            </m:oMath>
          </w:p>
          <w:p w14:paraId="27B8F0B5" w14:textId="77777777" w:rsidR="004F317D" w:rsidRPr="00B33BB6" w:rsidRDefault="004F317D">
            <w:pPr>
              <w:rPr>
                <w:rFonts w:eastAsia="Montserrat" w:cs="Arial"/>
                <w:sz w:val="10"/>
                <w:szCs w:val="10"/>
              </w:rPr>
            </w:pPr>
          </w:p>
        </w:tc>
        <w:tc>
          <w:tcPr>
            <w:tcW w:w="1995" w:type="dxa"/>
          </w:tcPr>
          <w:p w14:paraId="7CF71C41" w14:textId="77777777" w:rsidR="004F317D" w:rsidRPr="00B33BB6" w:rsidRDefault="004F317D">
            <w:pPr>
              <w:rPr>
                <w:rFonts w:eastAsia="Montserrat" w:cs="Arial"/>
                <w:bCs/>
                <w:szCs w:val="22"/>
              </w:rPr>
            </w:pPr>
            <w:r w:rsidRPr="00B33BB6">
              <w:rPr>
                <w:rFonts w:eastAsia="Montserrat" w:cs="Arial"/>
                <w:bCs/>
                <w:szCs w:val="22"/>
              </w:rPr>
              <w:t>tCO</w:t>
            </w:r>
            <w:r w:rsidRPr="00B33BB6">
              <w:rPr>
                <w:rFonts w:eastAsia="Montserrat" w:cs="Arial"/>
                <w:szCs w:val="22"/>
                <w:vertAlign w:val="subscript"/>
              </w:rPr>
              <w:t>2</w:t>
            </w:r>
            <w:r w:rsidRPr="00B33BB6">
              <w:rPr>
                <w:rFonts w:eastAsia="Montserrat" w:cs="Arial"/>
                <w:bCs/>
                <w:szCs w:val="22"/>
              </w:rPr>
              <w:t>e</w:t>
            </w:r>
          </w:p>
        </w:tc>
      </w:tr>
      <w:tr w:rsidR="004F317D" w:rsidRPr="00B33BB6" w14:paraId="594EDC77" w14:textId="77777777" w:rsidTr="00D007E8">
        <w:tc>
          <w:tcPr>
            <w:tcW w:w="1555" w:type="dxa"/>
          </w:tcPr>
          <w:p w14:paraId="410BCCAE" w14:textId="77777777" w:rsidR="004F317D" w:rsidRPr="00B33BB6" w:rsidRDefault="00000000">
            <w:pPr>
              <w:rPr>
                <w:rFonts w:eastAsia="Montserrat"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BE</m:t>
                    </m:r>
                  </m:e>
                  <m:sub>
                    <m:r>
                      <w:rPr>
                        <w:rFonts w:ascii="Cambria Math" w:eastAsia="Cambria Math" w:hAnsi="Cambria Math" w:cs="Arial"/>
                        <w:szCs w:val="22"/>
                      </w:rPr>
                      <m:t>final,y1</m:t>
                    </m:r>
                  </m:sub>
                </m:sSub>
              </m:oMath>
            </m:oMathPara>
          </w:p>
        </w:tc>
        <w:tc>
          <w:tcPr>
            <w:tcW w:w="5659" w:type="dxa"/>
          </w:tcPr>
          <w:p w14:paraId="7CB80779" w14:textId="77777777" w:rsidR="004F317D" w:rsidRPr="00B33BB6" w:rsidRDefault="004F317D">
            <w:pPr>
              <w:rPr>
                <w:rFonts w:eastAsia="Montserrat" w:cs="Arial"/>
                <w:szCs w:val="22"/>
              </w:rPr>
            </w:pPr>
            <w:r w:rsidRPr="00B33BB6">
              <w:rPr>
                <w:rFonts w:eastAsia="Montserrat" w:cs="Arial"/>
                <w:szCs w:val="22"/>
              </w:rPr>
              <w:t xml:space="preserve">Final downward adjusted baseline emissions during year </w:t>
            </w:r>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oMath>
          </w:p>
          <w:p w14:paraId="3B03AC1C" w14:textId="77777777" w:rsidR="004F317D" w:rsidRPr="00B33BB6" w:rsidRDefault="004F317D">
            <w:pPr>
              <w:rPr>
                <w:rFonts w:eastAsia="Montserrat" w:cs="Arial"/>
                <w:sz w:val="10"/>
                <w:szCs w:val="10"/>
              </w:rPr>
            </w:pPr>
          </w:p>
        </w:tc>
        <w:tc>
          <w:tcPr>
            <w:tcW w:w="1995" w:type="dxa"/>
          </w:tcPr>
          <w:p w14:paraId="16EE9174" w14:textId="77777777" w:rsidR="004F317D" w:rsidRPr="00B33BB6" w:rsidRDefault="004F317D">
            <w:pPr>
              <w:rPr>
                <w:rFonts w:eastAsia="Montserrat" w:cs="Arial"/>
                <w:bCs/>
                <w:szCs w:val="22"/>
              </w:rPr>
            </w:pPr>
            <w:r w:rsidRPr="00B33BB6">
              <w:rPr>
                <w:rFonts w:eastAsia="Montserrat" w:cs="Arial"/>
                <w:bCs/>
                <w:szCs w:val="22"/>
              </w:rPr>
              <w:t>tCO</w:t>
            </w:r>
            <w:r w:rsidRPr="00B33BB6">
              <w:rPr>
                <w:rFonts w:eastAsia="Montserrat" w:cs="Arial"/>
                <w:szCs w:val="22"/>
                <w:vertAlign w:val="subscript"/>
              </w:rPr>
              <w:t>2</w:t>
            </w:r>
            <w:r w:rsidRPr="00B33BB6">
              <w:rPr>
                <w:rFonts w:eastAsia="Montserrat" w:cs="Arial"/>
                <w:bCs/>
                <w:szCs w:val="22"/>
              </w:rPr>
              <w:t>e</w:t>
            </w:r>
          </w:p>
        </w:tc>
      </w:tr>
      <w:tr w:rsidR="004F317D" w:rsidRPr="00B33BB6" w14:paraId="1B7101FF" w14:textId="77777777" w:rsidTr="00D007E8">
        <w:tc>
          <w:tcPr>
            <w:tcW w:w="1555" w:type="dxa"/>
          </w:tcPr>
          <w:p w14:paraId="416CAC74" w14:textId="77777777" w:rsidR="004F317D" w:rsidRPr="00B33BB6" w:rsidRDefault="00000000">
            <w:pPr>
              <w:rPr>
                <w:rFonts w:eastAsia="Montserrat" w:cs="Arial"/>
                <w:b/>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2+</m:t>
                    </m:r>
                  </m:sub>
                </m:sSub>
              </m:oMath>
            </m:oMathPara>
          </w:p>
        </w:tc>
        <w:tc>
          <w:tcPr>
            <w:tcW w:w="5659" w:type="dxa"/>
          </w:tcPr>
          <w:p w14:paraId="0120B536" w14:textId="77777777" w:rsidR="004F317D" w:rsidRPr="00B33BB6" w:rsidRDefault="004F317D">
            <w:pPr>
              <w:rPr>
                <w:rFonts w:eastAsia="Montserrat" w:cs="Arial"/>
                <w:b/>
                <w:szCs w:val="22"/>
              </w:rPr>
            </w:pPr>
            <w:r w:rsidRPr="00B33BB6">
              <w:rPr>
                <w:rFonts w:cs="Arial"/>
                <w:szCs w:val="22"/>
              </w:rPr>
              <w:t>Calendar year after the first crediting year</w:t>
            </w:r>
          </w:p>
        </w:tc>
        <w:tc>
          <w:tcPr>
            <w:tcW w:w="1995" w:type="dxa"/>
          </w:tcPr>
          <w:p w14:paraId="5ED48EA4" w14:textId="77777777" w:rsidR="004F317D" w:rsidRPr="00B33BB6" w:rsidRDefault="004F317D">
            <w:pPr>
              <w:rPr>
                <w:rFonts w:eastAsia="Montserrat" w:cs="Arial"/>
                <w:bCs/>
                <w:szCs w:val="22"/>
              </w:rPr>
            </w:pPr>
          </w:p>
        </w:tc>
      </w:tr>
      <w:tr w:rsidR="004F317D" w:rsidRPr="00B33BB6" w14:paraId="25841911" w14:textId="77777777" w:rsidTr="00D007E8">
        <w:tc>
          <w:tcPr>
            <w:tcW w:w="1555" w:type="dxa"/>
          </w:tcPr>
          <w:p w14:paraId="59665F77" w14:textId="77777777" w:rsidR="004F317D" w:rsidRPr="00B33BB6" w:rsidRDefault="00000000">
            <w:pPr>
              <w:rPr>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y</m:t>
                    </m:r>
                  </m:e>
                  <m:sub>
                    <m:r>
                      <w:rPr>
                        <w:rFonts w:ascii="Cambria Math" w:eastAsia="Cambria Math" w:hAnsi="Cambria Math" w:cs="Arial"/>
                        <w:szCs w:val="22"/>
                      </w:rPr>
                      <m:t>1</m:t>
                    </m:r>
                  </m:sub>
                </m:sSub>
              </m:oMath>
            </m:oMathPara>
          </w:p>
        </w:tc>
        <w:tc>
          <w:tcPr>
            <w:tcW w:w="5659" w:type="dxa"/>
          </w:tcPr>
          <w:p w14:paraId="47692B2D" w14:textId="77777777" w:rsidR="004F317D" w:rsidRPr="00B33BB6" w:rsidRDefault="004F317D">
            <w:pPr>
              <w:rPr>
                <w:rFonts w:cs="Arial"/>
                <w:szCs w:val="22"/>
              </w:rPr>
            </w:pPr>
            <w:r w:rsidRPr="00B33BB6">
              <w:rPr>
                <w:rFonts w:cs="Arial"/>
                <w:szCs w:val="22"/>
              </w:rPr>
              <w:t>Calendar year of the start date of the first crediting period</w:t>
            </w:r>
          </w:p>
        </w:tc>
        <w:tc>
          <w:tcPr>
            <w:tcW w:w="1995" w:type="dxa"/>
          </w:tcPr>
          <w:p w14:paraId="28AA3A1C" w14:textId="77777777" w:rsidR="004F317D" w:rsidRPr="00B33BB6" w:rsidRDefault="004F317D">
            <w:pPr>
              <w:rPr>
                <w:rFonts w:eastAsia="Montserrat" w:cs="Arial"/>
                <w:bCs/>
                <w:szCs w:val="22"/>
              </w:rPr>
            </w:pPr>
          </w:p>
        </w:tc>
      </w:tr>
    </w:tbl>
    <w:p w14:paraId="57C2734C" w14:textId="77777777" w:rsidR="004F317D" w:rsidRPr="00B33BB6" w:rsidRDefault="004F317D" w:rsidP="00D007E8">
      <w:pPr>
        <w:ind w:left="709"/>
        <w:contextualSpacing/>
        <w:rPr>
          <w:rFonts w:eastAsia="Montserrat" w:cs="Arial"/>
          <w:szCs w:val="22"/>
        </w:rPr>
      </w:pPr>
    </w:p>
    <w:p w14:paraId="3BDF6E61" w14:textId="3AA12651" w:rsidR="004F317D" w:rsidRDefault="004F317D" w:rsidP="00D007E8">
      <w:pPr>
        <w:ind w:left="709"/>
        <w:contextualSpacing/>
      </w:pPr>
      <w:r w:rsidRPr="00B33BB6">
        <w:rPr>
          <w:rFonts w:eastAsia="Montserrat" w:cs="Arial"/>
          <w:szCs w:val="22"/>
        </w:rPr>
        <w:t>The 1% annual rate is intended to ensure that baselines remain ambitious over time, while acknowledging the economic realities of clean cooking projects, which often face significant affordability barriers. This downward adjustment for subsequent years applies to all projects, including those using the global default for baseline energy consumption.</w:t>
      </w:r>
    </w:p>
    <w:p w14:paraId="0571296E" w14:textId="119210B4" w:rsidR="00D007E8" w:rsidRPr="00D007E8" w:rsidRDefault="00EB0B36" w:rsidP="00FB1BC5">
      <w:pPr>
        <w:pStyle w:val="SDMPara"/>
        <w:rPr>
          <w:rFonts w:eastAsia="Arial"/>
          <w:b/>
          <w:color w:val="808080" w:themeColor="background1" w:themeShade="80"/>
        </w:rPr>
      </w:pPr>
      <w:r w:rsidRPr="00D007E8">
        <w:rPr>
          <w:b/>
          <w:bCs/>
          <w:color w:val="808080" w:themeColor="background1" w:themeShade="80"/>
        </w:rPr>
        <w:t>General comment</w:t>
      </w:r>
      <w:r w:rsidR="004269E7">
        <w:rPr>
          <w:b/>
          <w:bCs/>
          <w:color w:val="808080" w:themeColor="background1" w:themeShade="80"/>
        </w:rPr>
        <w:t>s</w:t>
      </w:r>
      <w:r w:rsidRPr="00D007E8">
        <w:rPr>
          <w:b/>
          <w:bCs/>
          <w:color w:val="808080" w:themeColor="background1" w:themeShade="80"/>
        </w:rPr>
        <w:t xml:space="preserve"> on the application of downward adjustment</w:t>
      </w:r>
      <w:r w:rsidR="00D007E8">
        <w:rPr>
          <w:b/>
          <w:bCs/>
          <w:color w:val="808080" w:themeColor="background1" w:themeShade="80"/>
        </w:rPr>
        <w:t xml:space="preserve">: </w:t>
      </w:r>
      <w:r w:rsidR="00FB1BC5" w:rsidRPr="00D007E8">
        <w:rPr>
          <w:rFonts w:eastAsia="Arial"/>
          <w:color w:val="808080" w:themeColor="background1" w:themeShade="80"/>
        </w:rPr>
        <w:t xml:space="preserve">In order to assure compliance with section 4.7 of the </w:t>
      </w:r>
      <w:hyperlink r:id="rId50" w:history="1">
        <w:r w:rsidR="00FB1BC5" w:rsidRPr="00753474">
          <w:rPr>
            <w:rStyle w:val="Hyperlink"/>
            <w:rFonts w:eastAsia="Arial"/>
            <w:color w:val="0700FF"/>
          </w:rPr>
          <w:t xml:space="preserve">Standard: </w:t>
        </w:r>
        <w:r w:rsidR="00FB1BC5" w:rsidRPr="00753474">
          <w:rPr>
            <w:rStyle w:val="Hyperlink"/>
            <w:rFonts w:eastAsia="Arial"/>
            <w:i/>
            <w:color w:val="0700FF"/>
          </w:rPr>
          <w:t>Application of the requirements of Chapter V.B (Methodologies) for the development and assessment of Article 6.4 mechanism methodologies</w:t>
        </w:r>
        <w:r w:rsidR="00FB1BC5" w:rsidRPr="00D007E8">
          <w:rPr>
            <w:rStyle w:val="Hyperlink"/>
            <w:rFonts w:eastAsia="Arial"/>
            <w:color w:val="808080" w:themeColor="background1" w:themeShade="80"/>
          </w:rPr>
          <w:t>,</w:t>
        </w:r>
      </w:hyperlink>
      <w:r w:rsidR="00FB1BC5" w:rsidRPr="00D007E8">
        <w:rPr>
          <w:rFonts w:eastAsia="Arial"/>
          <w:color w:val="808080" w:themeColor="background1" w:themeShade="80"/>
        </w:rPr>
        <w:t xml:space="preserve"> the CLEAR methodology requires downward adjustments applied both initially and on an annual basis over the duration of the crediting period for both CTEC and non-CTEC projects.</w:t>
      </w:r>
    </w:p>
    <w:p w14:paraId="339EA98A" w14:textId="77777777" w:rsidR="00D007E8" w:rsidRDefault="00FB1BC5" w:rsidP="00D007E8">
      <w:pPr>
        <w:pStyle w:val="SDMPara"/>
        <w:numPr>
          <w:ilvl w:val="0"/>
          <w:numId w:val="0"/>
        </w:numPr>
        <w:ind w:left="709"/>
        <w:rPr>
          <w:rFonts w:eastAsia="Arial"/>
          <w:color w:val="808080" w:themeColor="background1" w:themeShade="80"/>
        </w:rPr>
      </w:pPr>
      <w:r w:rsidRPr="00D007E8">
        <w:rPr>
          <w:rFonts w:eastAsia="Arial"/>
          <w:color w:val="808080" w:themeColor="background1" w:themeShade="80"/>
        </w:rPr>
        <w:t>The initial downward adjustment of the baseline in the calendar year of the start date of the crediting period is based on the lower bounds of the one-sided 95% confidence intervals of baseline energy consumption assessed through KPTs for all projects that measure the baseline in this way. In the case of CTEC projects that back-calculate the baseline rather than using KPTs, the initial downward adjustment is based on the lower bounds of the one-sided 95% confidence intervals of the baseline specific energy consumptions.</w:t>
      </w:r>
    </w:p>
    <w:p w14:paraId="2FFE926F" w14:textId="24AEF0FD" w:rsidR="00D007E8" w:rsidRPr="00BD378F" w:rsidRDefault="00FB1BC5" w:rsidP="00D007E8">
      <w:pPr>
        <w:pStyle w:val="SDMPara"/>
        <w:numPr>
          <w:ilvl w:val="0"/>
          <w:numId w:val="0"/>
        </w:numPr>
        <w:ind w:left="709"/>
        <w:rPr>
          <w:rFonts w:eastAsia="Arial"/>
          <w:color w:val="808080" w:themeColor="background1" w:themeShade="80"/>
        </w:rPr>
      </w:pPr>
      <w:r w:rsidRPr="00BD378F">
        <w:rPr>
          <w:rFonts w:eastAsia="Arial"/>
          <w:color w:val="808080" w:themeColor="background1" w:themeShade="80"/>
        </w:rPr>
        <w:t xml:space="preserve">To address the risk of over-crediting due to the over-estimation of use of the project technology, all non-CTEC projects not using SUMs to estimate PTDs must apply an initial 25% downward adjustment to the total number of PTDs that they can claim when calculating their baseline and project emissions. Project proponents have the option to reduce this downward adjustment to 10% by providing certain customer support actions described in the methodology and providing details of how each condition has or will be met on the </w:t>
      </w:r>
      <w:hyperlink w:anchor="A1" w:history="1">
        <w:r w:rsidRPr="00850906">
          <w:rPr>
            <w:rStyle w:val="Hyperlink"/>
            <w:rFonts w:eastAsia="Arial"/>
          </w:rPr>
          <w:t>Project Information Cover Sheet</w:t>
        </w:r>
      </w:hyperlink>
      <w:r w:rsidRPr="00BD378F">
        <w:rPr>
          <w:rFonts w:eastAsia="Arial"/>
          <w:color w:val="808080" w:themeColor="background1" w:themeShade="80"/>
        </w:rPr>
        <w:t xml:space="preserve"> during the design phase of the project. The CLEAR methodology also applies an annual downward adjustment to the baseline emissions of 1% relative to the final adjusted baseline of year 1 for each calendar year after the first crediting year.</w:t>
      </w:r>
    </w:p>
    <w:p w14:paraId="630434A1" w14:textId="77777777" w:rsidR="00D007E8" w:rsidRPr="00E22A00" w:rsidRDefault="00FB1BC5" w:rsidP="00D007E8">
      <w:pPr>
        <w:pStyle w:val="SDMPara"/>
        <w:numPr>
          <w:ilvl w:val="0"/>
          <w:numId w:val="0"/>
        </w:numPr>
        <w:ind w:left="709"/>
        <w:rPr>
          <w:rFonts w:eastAsia="Arial"/>
          <w:color w:val="808080" w:themeColor="background1" w:themeShade="80"/>
        </w:rPr>
      </w:pPr>
      <w:r w:rsidRPr="00E22A00">
        <w:rPr>
          <w:rFonts w:eastAsia="Arial"/>
          <w:color w:val="808080" w:themeColor="background1" w:themeShade="80"/>
        </w:rPr>
        <w:t>While</w:t>
      </w:r>
      <w:r w:rsidRPr="00E22A00">
        <w:rPr>
          <w:rFonts w:eastAsia="Montserrat"/>
          <w:color w:val="808080" w:themeColor="background1" w:themeShade="80"/>
        </w:rPr>
        <w:t xml:space="preserve"> the </w:t>
      </w:r>
      <w:hyperlink r:id="rId51" w:history="1">
        <w:r w:rsidRPr="00753474">
          <w:rPr>
            <w:rStyle w:val="Hyperlink"/>
            <w:rFonts w:eastAsia="Arial"/>
            <w:color w:val="0700FF"/>
          </w:rPr>
          <w:t xml:space="preserve">Article 6.4 Standard: </w:t>
        </w:r>
        <w:r w:rsidRPr="00753474">
          <w:rPr>
            <w:rStyle w:val="Hyperlink"/>
            <w:rFonts w:eastAsia="Arial"/>
            <w:i/>
            <w:color w:val="0700FF"/>
          </w:rPr>
          <w:t>Setting the baseline in mechanism methodologies</w:t>
        </w:r>
      </w:hyperlink>
      <w:r w:rsidRPr="00E22A00">
        <w:rPr>
          <w:rFonts w:eastAsia="Arial"/>
          <w:color w:val="808080" w:themeColor="background1" w:themeShade="80"/>
        </w:rPr>
        <w:t xml:space="preserve"> calls for a minimum initial downward adjustment of 10% of the expected emissions reductions for all sectors, CLEAR proposes in the case of cooking projects an initial minimum of 5%. This approach maintains the intended safeguard function of the 10% requirement because the CLEAR methodology ensures that the original baseline itself, before the application of any downward adjustment, is already </w:t>
      </w:r>
      <w:r w:rsidRPr="00E22A00">
        <w:rPr>
          <w:color w:val="808080" w:themeColor="background1" w:themeShade="80"/>
        </w:rPr>
        <w:t xml:space="preserve">based on rigorous accurate measurement and conservative assumptions. </w:t>
      </w:r>
      <w:r w:rsidRPr="00E22A00">
        <w:rPr>
          <w:rFonts w:eastAsia="Arial"/>
          <w:color w:val="808080" w:themeColor="background1" w:themeShade="80"/>
        </w:rPr>
        <w:t>CLEAR’s proposed 5% instead of 10% reflects a prioritization of accuracy over undifferentiated conservatism, given the direct measurement requirements already in place as well as the multiple safeguards in the methodology that mitigate baseline-related risks.</w:t>
      </w:r>
    </w:p>
    <w:p w14:paraId="61F172FC" w14:textId="77777777" w:rsidR="00D007E8" w:rsidRDefault="00FB1BC5" w:rsidP="00D007E8">
      <w:pPr>
        <w:pStyle w:val="SDMPara"/>
        <w:numPr>
          <w:ilvl w:val="0"/>
          <w:numId w:val="0"/>
        </w:numPr>
        <w:ind w:left="709"/>
        <w:rPr>
          <w:color w:val="808080" w:themeColor="background1" w:themeShade="80"/>
        </w:rPr>
      </w:pPr>
      <w:r w:rsidRPr="00E22A00">
        <w:rPr>
          <w:rFonts w:eastAsia="Arial"/>
          <w:color w:val="808080" w:themeColor="background1" w:themeShade="80"/>
        </w:rPr>
        <w:t xml:space="preserve">Under CLEAR, baseline energy consumption values are established through direct field measurements using KPTs, conservative default energy consumption values that represent the minimum level of service, or metered data. Where measurements are used, rigorous sampling protocols require 95% confidence </w:t>
      </w:r>
      <w:r w:rsidRPr="00E22A00">
        <w:rPr>
          <w:color w:val="808080" w:themeColor="background1" w:themeShade="80"/>
        </w:rPr>
        <w:t>with</w:t>
      </w:r>
      <w:r w:rsidRPr="00E22A00">
        <w:rPr>
          <w:rStyle w:val="apple-converted-space"/>
          <w:color w:val="808080" w:themeColor="background1" w:themeShade="80"/>
        </w:rPr>
        <w:t> </w:t>
      </w:r>
      <w:r w:rsidRPr="00850906">
        <w:rPr>
          <w:rStyle w:val="Strong"/>
          <w:b w:val="0"/>
          <w:bCs w:val="0"/>
          <w:color w:val="808080" w:themeColor="background1" w:themeShade="80"/>
        </w:rPr>
        <w:t>±10% precision</w:t>
      </w:r>
      <w:r w:rsidRPr="00E22A00">
        <w:rPr>
          <w:color w:val="808080" w:themeColor="background1" w:themeShade="80"/>
        </w:rPr>
        <w:t>, with adjustments for design effects in cluster sampling.</w:t>
      </w:r>
    </w:p>
    <w:p w14:paraId="5761A450" w14:textId="41BFAE50" w:rsidR="00D007E8" w:rsidRDefault="00FB1BC5" w:rsidP="00D007E8">
      <w:pPr>
        <w:pStyle w:val="SDMPara"/>
        <w:numPr>
          <w:ilvl w:val="0"/>
          <w:numId w:val="0"/>
        </w:numPr>
        <w:ind w:left="709"/>
        <w:rPr>
          <w:color w:val="808080" w:themeColor="background1" w:themeShade="80"/>
        </w:rPr>
      </w:pPr>
      <w:r w:rsidRPr="00E22A00">
        <w:rPr>
          <w:rFonts w:eastAsia="Arial"/>
          <w:color w:val="808080" w:themeColor="background1" w:themeShade="80"/>
        </w:rPr>
        <w:t xml:space="preserve">When the ex-ante measurement of any parameter fails to meet the 95/10 precision guideline, project proponents have the option to undertake additional sampling until the 95/10 threshold is met. If they do not, they must apply the conservative bound of the </w:t>
      </w:r>
      <w:r w:rsidRPr="00E22A00">
        <w:rPr>
          <w:rFonts w:eastAsia="Arial"/>
          <w:color w:val="808080" w:themeColor="background1" w:themeShade="80"/>
        </w:rPr>
        <w:lastRenderedPageBreak/>
        <w:t>confidence interval (</w:t>
      </w:r>
      <w:r w:rsidRPr="00934A9C">
        <w:rPr>
          <w:rFonts w:eastAsia="Arial"/>
          <w:color w:val="808080" w:themeColor="background1" w:themeShade="80"/>
        </w:rPr>
        <w:t xml:space="preserve">see </w:t>
      </w:r>
      <w:hyperlink w:anchor="A10" w:history="1">
        <w:r w:rsidRPr="00934A9C">
          <w:rPr>
            <w:rStyle w:val="Hyperlink"/>
            <w:rFonts w:eastAsia="Arial"/>
          </w:rPr>
          <w:t>Appendix 10</w:t>
        </w:r>
      </w:hyperlink>
      <w:r w:rsidRPr="00E22A00">
        <w:rPr>
          <w:rFonts w:eastAsia="Arial"/>
          <w:color w:val="808080" w:themeColor="background1" w:themeShade="80"/>
        </w:rPr>
        <w:t xml:space="preserve"> for guidance), always selecting the bound that yields lower baseline emissions estimates.</w:t>
      </w:r>
      <w:r w:rsidRPr="00E22A00">
        <w:rPr>
          <w:color w:val="808080" w:themeColor="background1" w:themeShade="80"/>
        </w:rPr>
        <w:t xml:space="preserve"> These provisions ensure that the measured baseline is statistically robust, conservative in estimation, and protected against key sources of over-crediting risk from the outset.</w:t>
      </w:r>
    </w:p>
    <w:p w14:paraId="57E967E7" w14:textId="77777777" w:rsidR="00D007E8" w:rsidRPr="00E22A00" w:rsidRDefault="00FB1BC5" w:rsidP="00D007E8">
      <w:pPr>
        <w:pStyle w:val="SDMPara"/>
        <w:numPr>
          <w:ilvl w:val="0"/>
          <w:numId w:val="0"/>
        </w:numPr>
        <w:ind w:left="709"/>
        <w:rPr>
          <w:color w:val="808080" w:themeColor="background1" w:themeShade="80"/>
        </w:rPr>
      </w:pPr>
      <w:r w:rsidRPr="00E22A00">
        <w:rPr>
          <w:color w:val="808080" w:themeColor="background1" w:themeShade="80"/>
        </w:rPr>
        <w:t>In addition, where defaults are applied, they are set at intentionally conservative levels. For example, the default thermal efficiency for a three-stone fire is set at</w:t>
      </w:r>
      <w:r w:rsidRPr="00E22A00">
        <w:rPr>
          <w:rStyle w:val="apple-converted-space"/>
          <w:rFonts w:hint="eastAsia"/>
          <w:color w:val="808080" w:themeColor="background1" w:themeShade="80"/>
        </w:rPr>
        <w:t> </w:t>
      </w:r>
      <w:r w:rsidRPr="00E22A00">
        <w:rPr>
          <w:rStyle w:val="Strong"/>
          <w:color w:val="808080" w:themeColor="background1" w:themeShade="80"/>
        </w:rPr>
        <w:t>15%</w:t>
      </w:r>
      <w:r w:rsidRPr="00E22A00">
        <w:rPr>
          <w:color w:val="808080" w:themeColor="background1" w:themeShade="80"/>
        </w:rPr>
        <w:t>, which is higher (more efficient) than many values reported in the literature. By assuming a more efficient baseline cookstove, the methodology produces a lower estimated baseline fuel consumption and therefore lower baseline emissions.</w:t>
      </w:r>
    </w:p>
    <w:p w14:paraId="3043F6C4" w14:textId="77777777" w:rsidR="00FB1BC5" w:rsidRPr="00E22A00" w:rsidRDefault="00FB1BC5" w:rsidP="00D007E8">
      <w:pPr>
        <w:pStyle w:val="SDMPara"/>
        <w:numPr>
          <w:ilvl w:val="0"/>
          <w:numId w:val="0"/>
        </w:numPr>
        <w:ind w:left="709"/>
        <w:rPr>
          <w:color w:val="808080" w:themeColor="background1" w:themeShade="80"/>
        </w:rPr>
      </w:pPr>
      <w:r w:rsidRPr="00E22A00">
        <w:rPr>
          <w:color w:val="808080" w:themeColor="background1" w:themeShade="80"/>
        </w:rPr>
        <w:t>On top of this conservative baseline determination, the CLEAR methodology adds</w:t>
      </w:r>
      <w:r w:rsidRPr="00E22A00">
        <w:rPr>
          <w:rStyle w:val="apple-converted-space"/>
          <w:color w:val="808080" w:themeColor="background1" w:themeShade="80"/>
        </w:rPr>
        <w:t> </w:t>
      </w:r>
      <w:r w:rsidRPr="00E22A00">
        <w:rPr>
          <w:rStyle w:val="Strong"/>
          <w:color w:val="808080" w:themeColor="background1" w:themeShade="80"/>
        </w:rPr>
        <w:t>further layers of conservatism</w:t>
      </w:r>
      <w:r w:rsidRPr="00E22A00">
        <w:rPr>
          <w:rStyle w:val="apple-converted-space"/>
          <w:color w:val="808080" w:themeColor="background1" w:themeShade="80"/>
        </w:rPr>
        <w:t> </w:t>
      </w:r>
      <w:r w:rsidRPr="00E22A00">
        <w:rPr>
          <w:color w:val="808080" w:themeColor="background1" w:themeShade="80"/>
        </w:rPr>
        <w:t>to safeguard against over-crediting, including:</w:t>
      </w:r>
    </w:p>
    <w:p w14:paraId="3A5E7B9E" w14:textId="77777777" w:rsidR="00FB1BC5" w:rsidRPr="00E22A00" w:rsidRDefault="00FB1BC5" w:rsidP="00620061">
      <w:pPr>
        <w:pStyle w:val="NormalWeb"/>
        <w:numPr>
          <w:ilvl w:val="0"/>
          <w:numId w:val="44"/>
        </w:numPr>
        <w:rPr>
          <w:rFonts w:ascii="Arial" w:hAnsi="Arial" w:cs="Arial"/>
          <w:color w:val="808080" w:themeColor="background1" w:themeShade="80"/>
          <w:sz w:val="22"/>
          <w:szCs w:val="22"/>
        </w:rPr>
      </w:pPr>
      <w:r w:rsidRPr="00E22A00">
        <w:rPr>
          <w:rFonts w:ascii="Arial" w:hAnsi="Arial" w:cs="Arial"/>
          <w:color w:val="808080" w:themeColor="background1" w:themeShade="80"/>
          <w:sz w:val="22"/>
          <w:szCs w:val="22"/>
        </w:rPr>
        <w:t xml:space="preserve">In the first monitoring period, all projects (except those using the global default baseline) must assess their baseline measurements for three possible over-crediting risks: mismatches between baseline and project household sizes; mismatches between baseline and project fuel use patterns; and monitored fuel consumption values that do not meet the 95/10 rule. </w:t>
      </w:r>
    </w:p>
    <w:p w14:paraId="55B94200" w14:textId="617ED241" w:rsidR="00FB1BC5" w:rsidRPr="00E22A00" w:rsidRDefault="00FB1BC5" w:rsidP="00FB1BC5">
      <w:pPr>
        <w:pStyle w:val="NormalWeb"/>
        <w:spacing w:before="0" w:beforeAutospacing="0"/>
        <w:ind w:left="720"/>
        <w:rPr>
          <w:rFonts w:ascii="Arial" w:hAnsi="Arial" w:cs="Arial"/>
          <w:color w:val="808080" w:themeColor="background1" w:themeShade="80"/>
          <w:sz w:val="22"/>
          <w:szCs w:val="22"/>
        </w:rPr>
      </w:pPr>
      <w:r w:rsidRPr="00E22A00">
        <w:rPr>
          <w:rFonts w:ascii="Arial" w:hAnsi="Arial" w:cs="Arial"/>
          <w:color w:val="808080" w:themeColor="background1" w:themeShade="80"/>
          <w:sz w:val="22"/>
          <w:szCs w:val="22"/>
        </w:rPr>
        <w:t xml:space="preserve">Each of these conditions requires a </w:t>
      </w:r>
      <w:r w:rsidRPr="00753474">
        <w:rPr>
          <w:rFonts w:ascii="Arial" w:hAnsi="Arial" w:cs="Arial"/>
          <w:color w:val="808080" w:themeColor="background1" w:themeShade="80"/>
          <w:sz w:val="22"/>
          <w:szCs w:val="22"/>
        </w:rPr>
        <w:t>downward adjustment, as described in</w:t>
      </w:r>
      <w:r w:rsidRPr="00753474">
        <w:rPr>
          <w:rFonts w:ascii="Arial" w:hAnsi="Arial" w:cs="Arial"/>
          <w:color w:val="A6A6A6" w:themeColor="background1" w:themeShade="A6"/>
          <w:sz w:val="22"/>
          <w:szCs w:val="22"/>
        </w:rPr>
        <w:t xml:space="preserve"> </w:t>
      </w:r>
      <w:hyperlink w:anchor="S1021" w:history="1">
        <w:r w:rsidR="00BF4202" w:rsidRPr="00753474">
          <w:rPr>
            <w:rStyle w:val="Hyperlink"/>
            <w:rFonts w:ascii="Arial" w:hAnsi="Arial" w:cs="Arial"/>
            <w:sz w:val="22"/>
            <w:szCs w:val="22"/>
          </w:rPr>
          <w:t>S</w:t>
        </w:r>
        <w:r w:rsidRPr="00753474">
          <w:rPr>
            <w:rStyle w:val="Hyperlink"/>
            <w:rFonts w:ascii="Arial" w:hAnsi="Arial" w:cs="Arial"/>
            <w:sz w:val="22"/>
            <w:szCs w:val="22"/>
          </w:rPr>
          <w:t xml:space="preserve">ection </w:t>
        </w:r>
        <w:r w:rsidR="006C12EA" w:rsidRPr="00753474">
          <w:rPr>
            <w:rStyle w:val="Hyperlink"/>
            <w:rFonts w:ascii="Arial" w:hAnsi="Arial" w:cs="Arial"/>
            <w:sz w:val="22"/>
            <w:szCs w:val="22"/>
          </w:rPr>
          <w:t>10.2.1</w:t>
        </w:r>
        <w:r w:rsidRPr="00753474">
          <w:rPr>
            <w:rStyle w:val="Hyperlink"/>
            <w:rFonts w:ascii="Arial" w:hAnsi="Arial" w:cs="Arial"/>
            <w:sz w:val="22"/>
            <w:szCs w:val="22"/>
          </w:rPr>
          <w:t xml:space="preserve"> (Identification of the baseline scenario).</w:t>
        </w:r>
      </w:hyperlink>
    </w:p>
    <w:p w14:paraId="3F25DF87" w14:textId="77777777" w:rsidR="00FB1BC5" w:rsidRPr="00E22A00" w:rsidRDefault="008678E7" w:rsidP="00620061">
      <w:pPr>
        <w:pStyle w:val="NormalWeb"/>
        <w:numPr>
          <w:ilvl w:val="0"/>
          <w:numId w:val="44"/>
        </w:numPr>
        <w:rPr>
          <w:rFonts w:ascii="Arial" w:hAnsi="Arial" w:cs="Arial"/>
          <w:color w:val="808080" w:themeColor="background1" w:themeShade="80"/>
          <w:sz w:val="22"/>
          <w:szCs w:val="22"/>
        </w:rPr>
      </w:pPr>
      <w:r w:rsidRPr="00E22A00">
        <w:rPr>
          <w:rFonts w:ascii="Arial" w:hAnsi="Arial" w:cs="Arial"/>
          <w:color w:val="808080" w:themeColor="background1" w:themeShade="80"/>
          <w:sz w:val="22"/>
          <w:szCs w:val="22"/>
        </w:rPr>
        <w:t xml:space="preserve">A </w:t>
      </w:r>
      <w:r w:rsidR="00FB1BC5" w:rsidRPr="00E22A00">
        <w:rPr>
          <w:rFonts w:ascii="Arial" w:hAnsi="Arial" w:cs="Arial"/>
          <w:color w:val="808080" w:themeColor="background1" w:themeShade="80"/>
          <w:sz w:val="22"/>
          <w:szCs w:val="22"/>
        </w:rPr>
        <w:t>downward adjustment to emission reduction to account for potential over-crediting due to the Hawthorne effect for non-CTEC project of 25% of what the KPT-based estimate would be, or the percentage obtained by measuring this effect directly with SUMs, comparing cookstove use during the KPT to the month before or after.</w:t>
      </w:r>
    </w:p>
    <w:p w14:paraId="746F8C33" w14:textId="34F9B214" w:rsidR="00503391" w:rsidRPr="00B32448" w:rsidRDefault="00FB1BC5" w:rsidP="004269E7">
      <w:pPr>
        <w:spacing w:before="60" w:after="60"/>
        <w:ind w:left="709"/>
        <w:rPr>
          <w:rFonts w:cs="Arial"/>
          <w:color w:val="808080" w:themeColor="background1" w:themeShade="80"/>
          <w:szCs w:val="22"/>
        </w:rPr>
      </w:pPr>
      <w:r w:rsidRPr="00E22A00">
        <w:rPr>
          <w:rFonts w:cs="Arial"/>
          <w:color w:val="808080" w:themeColor="background1" w:themeShade="80"/>
          <w:szCs w:val="22"/>
          <w:lang w:val="en-US"/>
        </w:rPr>
        <w:t>These combined safeguards provide a level of conservatism at least equivalent to that of a 10% minimum downward adjustment applied to a baseline that was not subject to the same rigorous statis</w:t>
      </w:r>
      <w:r w:rsidRPr="00E22A00">
        <w:rPr>
          <w:color w:val="808080" w:themeColor="background1" w:themeShade="80"/>
        </w:rPr>
        <w:t>t</w:t>
      </w:r>
      <w:proofErr w:type="spellStart"/>
      <w:r w:rsidRPr="00E22A00">
        <w:rPr>
          <w:rFonts w:cs="Arial"/>
          <w:color w:val="808080" w:themeColor="background1" w:themeShade="80"/>
          <w:szCs w:val="22"/>
          <w:lang w:val="en-US"/>
        </w:rPr>
        <w:t>ical</w:t>
      </w:r>
      <w:proofErr w:type="spellEnd"/>
      <w:r w:rsidRPr="00E22A00">
        <w:rPr>
          <w:rFonts w:cs="Arial"/>
          <w:color w:val="808080" w:themeColor="background1" w:themeShade="80"/>
          <w:szCs w:val="22"/>
          <w:lang w:val="en-US"/>
        </w:rPr>
        <w:t xml:space="preserve"> requirements. The 5% minimum for cooking projects under CLEAR therefore preserves environmental integrity while avoiding excessive over-conservatism that could compromise project </w:t>
      </w:r>
      <w:r w:rsidRPr="00E22A00">
        <w:rPr>
          <w:rFonts w:cs="Arial"/>
          <w:color w:val="808080" w:themeColor="background1" w:themeShade="80"/>
          <w:szCs w:val="22"/>
        </w:rPr>
        <w:t xml:space="preserve">financial </w:t>
      </w:r>
      <w:r w:rsidRPr="00E22A00">
        <w:rPr>
          <w:rFonts w:cs="Arial"/>
          <w:color w:val="808080" w:themeColor="background1" w:themeShade="80"/>
          <w:szCs w:val="22"/>
          <w:lang w:val="en-US"/>
        </w:rPr>
        <w:t>viability in a sector with high monitoring costs and slim revenue margins.</w:t>
      </w:r>
    </w:p>
    <w:p w14:paraId="57C3BC9A" w14:textId="77777777" w:rsidR="007B211A" w:rsidRDefault="007B211A" w:rsidP="007B211A">
      <w:pPr>
        <w:pStyle w:val="SDMHead2"/>
      </w:pPr>
      <w:bookmarkStart w:id="61" w:name="_Toc203294057"/>
      <w:bookmarkStart w:id="62" w:name="S104"/>
      <w:r>
        <w:t>Identification of the conservative BAU scenario</w:t>
      </w:r>
      <w:bookmarkEnd w:id="61"/>
      <w:bookmarkEnd w:id="62"/>
    </w:p>
    <w:p w14:paraId="4B1B8539" w14:textId="77777777" w:rsidR="004269E7" w:rsidRPr="00B33BB6" w:rsidRDefault="009B3F64" w:rsidP="009B3F64">
      <w:pPr>
        <w:pStyle w:val="SDMPara"/>
        <w:spacing w:before="240" w:after="240"/>
        <w:rPr>
          <w:rFonts w:eastAsia="Arial Nova"/>
        </w:rPr>
      </w:pPr>
      <w:r w:rsidRPr="004269E7">
        <w:rPr>
          <w:rFonts w:eastAsia="Arial Nova"/>
        </w:rPr>
        <w:t xml:space="preserve">The CLEAR methodology considers the business-as-usual (BAU) scenario as the continuation of the prevailing cooking technologies and fuel consumption patterns in the absence of the project activity. </w:t>
      </w:r>
    </w:p>
    <w:p w14:paraId="79D2C08F" w14:textId="77777777" w:rsidR="004269E7" w:rsidRPr="00B33BB6" w:rsidRDefault="009B3F64" w:rsidP="004269E7">
      <w:pPr>
        <w:pStyle w:val="SDMPara"/>
        <w:spacing w:before="240" w:after="240"/>
        <w:rPr>
          <w:rFonts w:eastAsia="Arial Nova"/>
        </w:rPr>
      </w:pPr>
      <w:r w:rsidRPr="004269E7">
        <w:rPr>
          <w:rFonts w:eastAsia="Arial Nova"/>
        </w:rPr>
        <w:t>The BAU scenario is identified through a rigorous, conservative process using direct measurement and contextual validation:</w:t>
      </w:r>
    </w:p>
    <w:p w14:paraId="25321A86" w14:textId="77777777" w:rsidR="004269E7" w:rsidRPr="00B33BB6" w:rsidRDefault="009B3F64" w:rsidP="004269E7">
      <w:pPr>
        <w:pStyle w:val="SDMSubPara1"/>
        <w:spacing w:before="240" w:after="240"/>
        <w:rPr>
          <w:rFonts w:eastAsia="Arial Nova"/>
        </w:rPr>
      </w:pPr>
      <w:r w:rsidRPr="004269E7">
        <w:rPr>
          <w:rFonts w:eastAsia="Arial Nova"/>
          <w:b/>
        </w:rPr>
        <w:t>Baseline survey and literature review</w:t>
      </w:r>
      <w:r w:rsidRPr="004269E7">
        <w:br/>
      </w:r>
      <w:r w:rsidRPr="004269E7">
        <w:rPr>
          <w:rFonts w:eastAsia="Arial Nova"/>
        </w:rPr>
        <w:t>Project proponents conduct a baseline scenario survey within the target population to determine the dominant baseline cooking technologies, fuel types, stacking patterns, and household size. Where feasible, this is cross-checked with appropriate national or regional datasets or published literature.</w:t>
      </w:r>
    </w:p>
    <w:p w14:paraId="0E3041CD" w14:textId="77777777" w:rsidR="004269E7" w:rsidRPr="00B33BB6" w:rsidRDefault="009B3F64" w:rsidP="004269E7">
      <w:pPr>
        <w:pStyle w:val="SDMSubPara1"/>
        <w:spacing w:before="240" w:after="240"/>
        <w:rPr>
          <w:rFonts w:eastAsia="Arial Nova"/>
        </w:rPr>
      </w:pPr>
      <w:r w:rsidRPr="004269E7">
        <w:rPr>
          <w:rFonts w:eastAsia="Arial Nova"/>
          <w:b/>
        </w:rPr>
        <w:lastRenderedPageBreak/>
        <w:t>Assessment against legal and policy context</w:t>
      </w:r>
      <w:r w:rsidRPr="00B33BB6">
        <w:br/>
      </w:r>
      <w:r w:rsidRPr="004269E7">
        <w:rPr>
          <w:rFonts w:eastAsia="Arial Nova"/>
        </w:rPr>
        <w:t>The identified BAU scenario is reviewed for consistency with legal requirements and relevant government policies. Scenarios that violate or constrain applicable policies are excluded unless clear justification is provided that the applicable policy is not enforced, in which case the project may apply a BAU scenario that reflects actual observed conditions.</w:t>
      </w:r>
    </w:p>
    <w:p w14:paraId="6C591502" w14:textId="77777777" w:rsidR="004269E7" w:rsidRPr="00B33BB6" w:rsidRDefault="009B3F64" w:rsidP="004269E7">
      <w:pPr>
        <w:pStyle w:val="SDMSubPara1"/>
        <w:spacing w:before="240" w:after="240"/>
        <w:rPr>
          <w:rFonts w:eastAsia="Arial Nova"/>
        </w:rPr>
      </w:pPr>
      <w:r w:rsidRPr="004269E7">
        <w:rPr>
          <w:rFonts w:eastAsia="Arial Nova"/>
          <w:b/>
        </w:rPr>
        <w:t>Adjusting for changes periodically</w:t>
      </w:r>
      <w:r w:rsidRPr="00B33BB6">
        <w:br/>
      </w:r>
      <w:r w:rsidRPr="004269E7">
        <w:rPr>
          <w:rFonts w:eastAsia="Arial Nova"/>
        </w:rPr>
        <w:t>CLEAR uses a robust, conservative approach to define baselines through direct measurement, including KPTs or back-calculation based on tracked fuel consumption and CCTs. During the first usage survey, project households are asked retrospective questions to assess alignment with the originally defined baseline scenario. If material discrepancies are found—defined as more than a 10% difference in fuel mix or household size—conservative adjustments are required, either by not claiming emissions reductions from non-conforming households or adjusting baseline estimates downward (see section below for specific quantitative guidance). Subsequent usage surveys identify changes over the course of the crediting period.</w:t>
      </w:r>
    </w:p>
    <w:p w14:paraId="3087EF21" w14:textId="77777777" w:rsidR="009B3F64" w:rsidRPr="004269E7" w:rsidRDefault="009B3F64" w:rsidP="004269E7">
      <w:pPr>
        <w:pStyle w:val="SDMSubPara1"/>
        <w:spacing w:before="240" w:after="240"/>
        <w:rPr>
          <w:rFonts w:eastAsia="Arial Nova"/>
        </w:rPr>
      </w:pPr>
      <w:r w:rsidRPr="004269E7">
        <w:rPr>
          <w:rFonts w:eastAsia="Arial Nova"/>
          <w:b/>
        </w:rPr>
        <w:t>Alignment with crediting periods</w:t>
      </w:r>
      <w:r w:rsidRPr="004269E7">
        <w:br/>
      </w:r>
      <w:r w:rsidRPr="004269E7">
        <w:rPr>
          <w:rFonts w:eastAsia="Arial Nova"/>
        </w:rPr>
        <w:t>The BAU scenario must be reassessed at the start of each crediting period (no more than 5 years), ensuring that the baseline remains current and continues to reflect the most accurate and conservative estimate of what would have occurred in the absence of the project.</w:t>
      </w:r>
    </w:p>
    <w:p w14:paraId="3E07D360" w14:textId="2DB66272" w:rsidR="007D7E1C" w:rsidRDefault="009B3F64" w:rsidP="004269E7">
      <w:pPr>
        <w:pStyle w:val="SDMPara"/>
        <w:pBdr>
          <w:top w:val="nil"/>
          <w:left w:val="nil"/>
          <w:bottom w:val="nil"/>
          <w:right w:val="nil"/>
          <w:between w:val="nil"/>
        </w:pBdr>
        <w:tabs>
          <w:tab w:val="left" w:pos="510"/>
        </w:tabs>
        <w:spacing w:before="60" w:after="60"/>
      </w:pPr>
      <w:r w:rsidRPr="004269E7">
        <w:rPr>
          <w:rFonts w:eastAsia="Arial Nova"/>
        </w:rPr>
        <w:t>In the CLEAR methodology, the BAU scenario is in most cases equivalent to the baseline scenario, with adjustments made to the baseline scenario for any changes in the target population, if necessary. However, the methodology also allows for the use of global defaults for the baseline scenario. In this case, the BAU and baseline scenarios are different. The process for determining the BAU scenario follows the same steps as for establishing the baseline scenario.</w:t>
      </w:r>
    </w:p>
    <w:p w14:paraId="7308A880" w14:textId="6F0D35C8" w:rsidR="000A55C8" w:rsidRDefault="000A55C8" w:rsidP="000A55C8">
      <w:pPr>
        <w:pStyle w:val="SDMHead3"/>
      </w:pPr>
      <w:r>
        <w:t>Calculation of the conservative BAU emissions</w:t>
      </w:r>
    </w:p>
    <w:p w14:paraId="30247F04" w14:textId="77777777" w:rsidR="006D2E50" w:rsidRDefault="006D2E50" w:rsidP="006D2E50">
      <w:pPr>
        <w:rPr>
          <w:rFonts w:eastAsia="Arial Nova" w:cs="Arial"/>
          <w:szCs w:val="22"/>
        </w:rPr>
      </w:pPr>
    </w:p>
    <w:p w14:paraId="0562F6CE" w14:textId="3E7194F3" w:rsidR="004269E7" w:rsidRPr="007A0C5D" w:rsidRDefault="006D2E50" w:rsidP="006D2E50">
      <w:pPr>
        <w:pStyle w:val="SDMPara"/>
        <w:contextualSpacing/>
        <w:rPr>
          <w:rFonts w:eastAsia="Montserrat"/>
        </w:rPr>
      </w:pPr>
      <w:r w:rsidRPr="004269E7">
        <w:rPr>
          <w:rFonts w:eastAsia="Arial Nova"/>
        </w:rPr>
        <w:t xml:space="preserve">BAU emissions are calculated using the same methodological approach and parameters as the baseline emissions. The equations, assumptions, and justifications applied are identical and are detailed in </w:t>
      </w:r>
      <w:hyperlink w:anchor="S1022" w:history="1">
        <w:r w:rsidRPr="00753474">
          <w:rPr>
            <w:rStyle w:val="Hyperlink"/>
            <w:rFonts w:eastAsia="Arial Nova"/>
          </w:rPr>
          <w:t xml:space="preserve">section </w:t>
        </w:r>
        <w:r w:rsidR="006C12EA" w:rsidRPr="00753474">
          <w:rPr>
            <w:rStyle w:val="Hyperlink"/>
            <w:rFonts w:eastAsia="Arial Nova"/>
          </w:rPr>
          <w:t>10.2.2</w:t>
        </w:r>
      </w:hyperlink>
      <w:r w:rsidRPr="00753474">
        <w:rPr>
          <w:rFonts w:eastAsia="Arial Nova"/>
        </w:rPr>
        <w:t>.</w:t>
      </w:r>
      <w:r w:rsidR="00734C66" w:rsidRPr="00753474">
        <w:rPr>
          <w:rFonts w:eastAsia="Arial Nova"/>
        </w:rPr>
        <w:t xml:space="preserve"> </w:t>
      </w:r>
      <w:r w:rsidR="00734C66" w:rsidRPr="00753474">
        <w:rPr>
          <w:rFonts w:eastAsia="Montserrat"/>
        </w:rPr>
        <w:t>The</w:t>
      </w:r>
      <w:r w:rsidR="00734C66" w:rsidRPr="004269E7">
        <w:rPr>
          <w:rFonts w:eastAsia="Montserrat"/>
        </w:rPr>
        <w:t xml:space="preserve"> conservative BAU emissions </w:t>
      </w:r>
      <m:oMath>
        <m:sSub>
          <m:sSubPr>
            <m:ctrlPr>
              <w:rPr>
                <w:rFonts w:ascii="Cambria Math" w:eastAsia="Cambria Math" w:hAnsi="Cambria Math"/>
                <w:i/>
              </w:rPr>
            </m:ctrlPr>
          </m:sSubPr>
          <m:e>
            <m:r>
              <w:rPr>
                <w:rFonts w:ascii="Cambria Math" w:eastAsia="Cambria Math" w:hAnsi="Cambria Math"/>
              </w:rPr>
              <m:t xml:space="preserve"> (BAU</m:t>
            </m:r>
          </m:e>
          <m:sub>
            <m:r>
              <w:rPr>
                <w:rFonts w:ascii="Cambria Math" w:eastAsia="Cambria Math" w:hAnsi="Cambria Math"/>
              </w:rPr>
              <m:t>cons,y</m:t>
            </m:r>
          </m:sub>
        </m:sSub>
        <m:r>
          <w:rPr>
            <w:rFonts w:ascii="Cambria Math" w:eastAsia="Cambria Math" w:hAnsi="Cambria Math"/>
          </w:rPr>
          <m:t>)</m:t>
        </m:r>
      </m:oMath>
      <w:r w:rsidR="00734C66" w:rsidRPr="004269E7">
        <w:rPr>
          <w:rFonts w:eastAsia="Montserrat"/>
        </w:rPr>
        <w:t xml:space="preserve"> are taken to be minimum downward adjusted baseline emissions calculated for the first crediting year (</w:t>
      </w:r>
      <m:oMath>
        <m:sSub>
          <m:sSubPr>
            <m:ctrlPr>
              <w:rPr>
                <w:rFonts w:ascii="Cambria Math" w:eastAsia="Cambria Math" w:hAnsi="Cambria Math"/>
                <w:i/>
              </w:rPr>
            </m:ctrlPr>
          </m:sSubPr>
          <m:e>
            <m:r>
              <w:rPr>
                <w:rFonts w:ascii="Cambria Math" w:eastAsia="Cambria Math" w:hAnsi="Cambria Math"/>
              </w:rPr>
              <m:t>BE</m:t>
            </m:r>
          </m:e>
          <m:sub>
            <m:r>
              <w:rPr>
                <w:rFonts w:ascii="Cambria Math" w:eastAsia="Cambria Math" w:hAnsi="Cambria Math"/>
              </w:rPr>
              <m:t>adj,min,y1</m:t>
            </m:r>
          </m:sub>
        </m:sSub>
        <m:r>
          <w:rPr>
            <w:rFonts w:ascii="Cambria Math" w:eastAsia="Cambria Math" w:hAnsi="Cambria Math"/>
          </w:rPr>
          <m:t>)</m:t>
        </m:r>
      </m:oMath>
      <w:r w:rsidR="00734C66" w:rsidRPr="004269E7">
        <w:rPr>
          <w:rFonts w:eastAsia="Montserrat"/>
        </w:rPr>
        <w:t xml:space="preserve">. </w:t>
      </w:r>
    </w:p>
    <w:p w14:paraId="40A2ED77" w14:textId="77777777" w:rsidR="004269E7" w:rsidRPr="006D2E50" w:rsidRDefault="004269E7" w:rsidP="004269E7">
      <w:pPr>
        <w:pStyle w:val="SDMPara"/>
        <w:numPr>
          <w:ilvl w:val="0"/>
          <w:numId w:val="0"/>
        </w:numPr>
        <w:ind w:left="709"/>
        <w:contextualSpacing/>
        <w:rPr>
          <w:rFonts w:eastAsia="Arial Nova"/>
        </w:rPr>
      </w:pPr>
    </w:p>
    <w:p w14:paraId="457CC3A6" w14:textId="0D46B1A8" w:rsidR="004269E7" w:rsidRPr="00753474" w:rsidRDefault="006D2E50" w:rsidP="004269E7">
      <w:pPr>
        <w:pStyle w:val="SDMPara"/>
        <w:contextualSpacing/>
        <w:rPr>
          <w:rFonts w:eastAsia="Arial Nova"/>
        </w:rPr>
      </w:pPr>
      <w:r w:rsidRPr="004269E7">
        <w:rPr>
          <w:rFonts w:eastAsia="Arial Nova"/>
        </w:rPr>
        <w:t xml:space="preserve">For projects with KPT baselines, project proponents must also identify any mismatch between values documented during the baseline scenario and those reported by actual project households, as </w:t>
      </w:r>
      <w:r w:rsidRPr="00753474">
        <w:rPr>
          <w:rFonts w:eastAsia="Arial Nova"/>
        </w:rPr>
        <w:t xml:space="preserve">described in </w:t>
      </w:r>
      <w:hyperlink w:anchor="S1021" w:history="1">
        <w:r w:rsidRPr="00753474">
          <w:rPr>
            <w:rStyle w:val="Hyperlink"/>
            <w:rFonts w:eastAsia="Arial Nova"/>
          </w:rPr>
          <w:t xml:space="preserve">section </w:t>
        </w:r>
        <w:r w:rsidR="00E83E3B" w:rsidRPr="00753474">
          <w:rPr>
            <w:rStyle w:val="Hyperlink"/>
            <w:rFonts w:eastAsia="Arial Nova"/>
          </w:rPr>
          <w:t>10.2.1</w:t>
        </w:r>
        <w:r w:rsidRPr="00753474">
          <w:rPr>
            <w:rStyle w:val="Hyperlink"/>
            <w:rFonts w:eastAsia="Arial Nova"/>
          </w:rPr>
          <w:t>.</w:t>
        </w:r>
      </w:hyperlink>
      <w:r w:rsidRPr="00753474">
        <w:rPr>
          <w:rFonts w:eastAsia="Arial Nova"/>
        </w:rPr>
        <w:t xml:space="preserve"> </w:t>
      </w:r>
    </w:p>
    <w:p w14:paraId="5E6A93D7" w14:textId="77777777" w:rsidR="004269E7" w:rsidRPr="00753474" w:rsidRDefault="004269E7" w:rsidP="004269E7">
      <w:pPr>
        <w:pStyle w:val="ListParagraph"/>
        <w:rPr>
          <w:rFonts w:eastAsia="Arial Nova" w:cs="Arial"/>
          <w:szCs w:val="22"/>
        </w:rPr>
      </w:pPr>
    </w:p>
    <w:p w14:paraId="2CFE2F3F" w14:textId="39B68575" w:rsidR="008678E7" w:rsidRDefault="006D2E50" w:rsidP="004269E7">
      <w:pPr>
        <w:pStyle w:val="SDMPara"/>
        <w:contextualSpacing/>
      </w:pPr>
      <w:r w:rsidRPr="00753474">
        <w:rPr>
          <w:rFonts w:eastAsia="Arial Nova"/>
        </w:rPr>
        <w:t>For CTEC projects that back-calculate</w:t>
      </w:r>
      <w:r w:rsidRPr="004269E7">
        <w:rPr>
          <w:rFonts w:eastAsia="Arial Nova"/>
        </w:rPr>
        <w:t xml:space="preserve"> their baseline, the proportion of cooking on baseline technologies is assessed periodically (at least every other year) during the project. As such, the monitoring directly accounts for changes in the baseline associated with “business-as-usual” trends.</w:t>
      </w:r>
    </w:p>
    <w:p w14:paraId="70EEC7F3" w14:textId="6BFA904A" w:rsidR="00A32B17" w:rsidRDefault="006B30A7">
      <w:pPr>
        <w:pStyle w:val="SDMHead2"/>
      </w:pPr>
      <w:r>
        <w:lastRenderedPageBreak/>
        <w:t>Comparison of the downward adjusted baseline and the conservative business-as-usual baseline</w:t>
      </w:r>
    </w:p>
    <w:p w14:paraId="72C30240" w14:textId="77777777" w:rsidR="00D33741" w:rsidRDefault="00D33741" w:rsidP="00D33741">
      <w:pPr>
        <w:contextualSpacing/>
        <w:rPr>
          <w:rFonts w:eastAsia="Montserrat" w:cs="Arial"/>
          <w:szCs w:val="22"/>
        </w:rPr>
      </w:pPr>
    </w:p>
    <w:p w14:paraId="6F1AA9EE" w14:textId="600D214A" w:rsidR="00D33741" w:rsidRPr="004269E7" w:rsidRDefault="00D33741" w:rsidP="004269E7">
      <w:pPr>
        <w:pStyle w:val="SDMPara"/>
        <w:contextualSpacing/>
        <w:rPr>
          <w:rFonts w:eastAsia="Montserrat"/>
        </w:rPr>
      </w:pPr>
      <w:r w:rsidRPr="004269E7">
        <w:rPr>
          <w:rFonts w:eastAsia="Montserrat"/>
        </w:rPr>
        <w:t xml:space="preserve">In the CLEAR methodology, the BAU scenario is in most cases equivalent to the baseline scenario, because baseline emissions are typically derived from historical energy consumption data. These data reflect actual household usage patterns and the impacts of enforced policies. In such cases, the difference between baseline emissions and BAU emissions is zero and therefore does not require calculation by project proponents. </w:t>
      </w:r>
    </w:p>
    <w:p w14:paraId="6CF60A7E" w14:textId="77777777" w:rsidR="00D33741" w:rsidRPr="00B33BB6" w:rsidRDefault="00D33741" w:rsidP="00D33741">
      <w:pPr>
        <w:contextualSpacing/>
        <w:rPr>
          <w:rFonts w:eastAsia="Montserrat" w:cs="Arial"/>
          <w:szCs w:val="22"/>
        </w:rPr>
      </w:pPr>
    </w:p>
    <w:p w14:paraId="35FD675B" w14:textId="77777777" w:rsidR="00D33741" w:rsidRPr="004269E7" w:rsidRDefault="00D33741" w:rsidP="004269E7">
      <w:pPr>
        <w:pStyle w:val="SDMPara"/>
        <w:contextualSpacing/>
        <w:rPr>
          <w:rFonts w:eastAsia="Montserrat"/>
        </w:rPr>
      </w:pPr>
      <w:r w:rsidRPr="004269E7">
        <w:rPr>
          <w:rFonts w:eastAsia="Montserrat"/>
        </w:rPr>
        <w:t>However, the methodology also allows for the use of global default energy consumption values for the baseline scenario. Where this approach is used, the BAU and baseline emissions diverge. In these cases, the baseline emissions are presumed to be lower than the BAU emissions, as the default values reflect the minimum level of energy service.</w:t>
      </w:r>
    </w:p>
    <w:p w14:paraId="5572D0F8" w14:textId="77777777" w:rsidR="00D33741" w:rsidRPr="00B33BB6" w:rsidRDefault="00D33741" w:rsidP="00D33741">
      <w:pPr>
        <w:contextualSpacing/>
        <w:rPr>
          <w:rFonts w:eastAsia="Montserrat" w:cs="Arial"/>
          <w:szCs w:val="22"/>
        </w:rPr>
      </w:pPr>
    </w:p>
    <w:p w14:paraId="30C79BCD" w14:textId="77777777" w:rsidR="004269E7" w:rsidRPr="004269E7" w:rsidRDefault="00D33741" w:rsidP="004269E7">
      <w:pPr>
        <w:pStyle w:val="SDMPara"/>
        <w:spacing w:after="240"/>
        <w:contextualSpacing/>
        <w:rPr>
          <w:rFonts w:eastAsia="Montserrat"/>
        </w:rPr>
      </w:pPr>
      <w:r w:rsidRPr="004269E7">
        <w:rPr>
          <w:rFonts w:eastAsia="Montserrat"/>
        </w:rPr>
        <w:t xml:space="preserve">For all projects, the baseline for each calendar year shall be set as the lower of two values: </w:t>
      </w:r>
    </w:p>
    <w:p w14:paraId="74B0DBEA" w14:textId="77777777" w:rsidR="004269E7" w:rsidRPr="00B33BB6" w:rsidRDefault="00D33741" w:rsidP="004269E7">
      <w:pPr>
        <w:pStyle w:val="SDMSubPara1"/>
        <w:spacing w:after="240"/>
        <w:contextualSpacing/>
        <w:rPr>
          <w:rFonts w:eastAsia="Montserrat"/>
        </w:rPr>
      </w:pPr>
      <w:r w:rsidRPr="004269E7">
        <w:rPr>
          <w:rFonts w:eastAsia="Montserrat"/>
        </w:rPr>
        <w:t>the final downward adjusted baseline emissions for year y</w:t>
      </w:r>
      <w:r w:rsidRPr="004269E7">
        <w:t xml:space="preserve"> (</w:t>
      </w:r>
      <m:oMath>
        <m:sSub>
          <m:sSubPr>
            <m:ctrlPr>
              <w:rPr>
                <w:rFonts w:ascii="Cambria Math" w:eastAsia="Cambria Math" w:hAnsi="Cambria Math"/>
                <w:i/>
              </w:rPr>
            </m:ctrlPr>
          </m:sSubPr>
          <m:e>
            <m:r>
              <w:rPr>
                <w:rFonts w:ascii="Cambria Math" w:eastAsia="Cambria Math" w:hAnsi="Cambria Math"/>
              </w:rPr>
              <m:t>BE</m:t>
            </m:r>
          </m:e>
          <m:sub>
            <m:r>
              <w:rPr>
                <w:rFonts w:ascii="Cambria Math" w:eastAsia="Cambria Math" w:hAnsi="Cambria Math"/>
              </w:rPr>
              <m:t>final,y</m:t>
            </m:r>
          </m:sub>
        </m:sSub>
        <m:r>
          <w:rPr>
            <w:rFonts w:ascii="Cambria Math" w:eastAsia="Cambria Math" w:hAnsi="Cambria Math"/>
          </w:rPr>
          <m:t>)</m:t>
        </m:r>
      </m:oMath>
      <w:r w:rsidRPr="004269E7">
        <w:t>; and</w:t>
      </w:r>
    </w:p>
    <w:p w14:paraId="31EFBC8F" w14:textId="0FA9CF23" w:rsidR="00D33741" w:rsidRPr="004269E7" w:rsidRDefault="00D33741" w:rsidP="00D33741">
      <w:pPr>
        <w:pStyle w:val="SDMSubPara1"/>
        <w:spacing w:after="240"/>
        <w:contextualSpacing/>
        <w:rPr>
          <w:rFonts w:eastAsia="Montserrat"/>
        </w:rPr>
      </w:pPr>
      <w:r w:rsidRPr="004269E7">
        <w:rPr>
          <w:rFonts w:eastAsia="Montserrat"/>
        </w:rPr>
        <w:t>the conservative BAU emissions</w:t>
      </w:r>
      <m:oMath>
        <m:sSub>
          <m:sSubPr>
            <m:ctrlPr>
              <w:rPr>
                <w:rFonts w:ascii="Cambria Math" w:eastAsia="Cambria Math" w:hAnsi="Cambria Math"/>
                <w:i/>
              </w:rPr>
            </m:ctrlPr>
          </m:sSubPr>
          <m:e>
            <m:r>
              <w:rPr>
                <w:rFonts w:ascii="Cambria Math" w:eastAsia="Cambria Math" w:hAnsi="Cambria Math"/>
              </w:rPr>
              <m:t xml:space="preserve"> (BAU</m:t>
            </m:r>
          </m:e>
          <m:sub>
            <m:r>
              <w:rPr>
                <w:rFonts w:ascii="Cambria Math" w:eastAsia="Cambria Math" w:hAnsi="Cambria Math"/>
              </w:rPr>
              <m:t>cons,y</m:t>
            </m:r>
          </m:sub>
        </m:sSub>
        <m:r>
          <w:rPr>
            <w:rFonts w:ascii="Cambria Math" w:eastAsia="Cambria Math" w:hAnsi="Cambria Math"/>
          </w:rPr>
          <m:t>)</m:t>
        </m:r>
      </m:oMath>
      <w:r w:rsidRPr="004269E7">
        <w:rPr>
          <w:rFonts w:eastAsia="Montserrat"/>
        </w:rPr>
        <w:t>.</w:t>
      </w:r>
    </w:p>
    <w:p w14:paraId="35441693" w14:textId="33C37322" w:rsidR="00533CCB" w:rsidRPr="004269E7" w:rsidRDefault="00D33741" w:rsidP="004269E7">
      <w:pPr>
        <w:pStyle w:val="SDMPara"/>
        <w:contextualSpacing/>
        <w:rPr>
          <w:rFonts w:eastAsia="Montserrat"/>
        </w:rPr>
      </w:pPr>
      <w:r w:rsidRPr="004269E7">
        <w:rPr>
          <w:rFonts w:eastAsia="Montserrat"/>
        </w:rPr>
        <w:t xml:space="preserve">The conservative BAU emissions </w:t>
      </w:r>
      <m:oMath>
        <m:sSub>
          <m:sSubPr>
            <m:ctrlPr>
              <w:rPr>
                <w:rFonts w:ascii="Cambria Math" w:eastAsia="Cambria Math" w:hAnsi="Cambria Math"/>
                <w:i/>
              </w:rPr>
            </m:ctrlPr>
          </m:sSubPr>
          <m:e>
            <m:r>
              <w:rPr>
                <w:rFonts w:ascii="Cambria Math" w:eastAsia="Cambria Math" w:hAnsi="Cambria Math"/>
              </w:rPr>
              <m:t xml:space="preserve"> (BAU</m:t>
            </m:r>
          </m:e>
          <m:sub>
            <m:r>
              <w:rPr>
                <w:rFonts w:ascii="Cambria Math" w:eastAsia="Cambria Math" w:hAnsi="Cambria Math"/>
              </w:rPr>
              <m:t>cons,y</m:t>
            </m:r>
          </m:sub>
        </m:sSub>
        <m:r>
          <w:rPr>
            <w:rFonts w:ascii="Cambria Math" w:eastAsia="Cambria Math" w:hAnsi="Cambria Math"/>
          </w:rPr>
          <m:t>)</m:t>
        </m:r>
      </m:oMath>
      <w:r w:rsidRPr="004269E7">
        <w:rPr>
          <w:rFonts w:eastAsia="Montserrat"/>
        </w:rPr>
        <w:t xml:space="preserve"> are taken to be minimum downward adjusted baseline emissions calculated for the first crediting year (</w:t>
      </w:r>
      <m:oMath>
        <m:sSub>
          <m:sSubPr>
            <m:ctrlPr>
              <w:rPr>
                <w:rFonts w:ascii="Cambria Math" w:eastAsia="Cambria Math" w:hAnsi="Cambria Math"/>
                <w:i/>
              </w:rPr>
            </m:ctrlPr>
          </m:sSubPr>
          <m:e>
            <m:r>
              <w:rPr>
                <w:rFonts w:ascii="Cambria Math" w:eastAsia="Cambria Math" w:hAnsi="Cambria Math"/>
              </w:rPr>
              <m:t>BE</m:t>
            </m:r>
          </m:e>
          <m:sub>
            <m:r>
              <w:rPr>
                <w:rFonts w:ascii="Cambria Math" w:eastAsia="Cambria Math" w:hAnsi="Cambria Math"/>
              </w:rPr>
              <m:t>adj,min,y1</m:t>
            </m:r>
          </m:sub>
        </m:sSub>
        <m:r>
          <w:rPr>
            <w:rFonts w:ascii="Cambria Math" w:eastAsia="Cambria Math" w:hAnsi="Cambria Math"/>
          </w:rPr>
          <m:t>)</m:t>
        </m:r>
      </m:oMath>
      <w:r w:rsidRPr="004269E7">
        <w:rPr>
          <w:rFonts w:eastAsia="Montserrat"/>
        </w:rPr>
        <w:t xml:space="preserve">. </w:t>
      </w:r>
    </w:p>
    <w:p w14:paraId="554303F0" w14:textId="2AAFF5D2" w:rsidR="004E66D4" w:rsidRDefault="004E66D4" w:rsidP="00620061">
      <w:pPr>
        <w:pStyle w:val="SDMHead1"/>
        <w:numPr>
          <w:ilvl w:val="0"/>
          <w:numId w:val="18"/>
        </w:numPr>
      </w:pPr>
      <w:r>
        <w:t>Activity scenario</w:t>
      </w:r>
    </w:p>
    <w:p w14:paraId="702C3CF9" w14:textId="3BB1C74C" w:rsidR="004E66D4" w:rsidRDefault="004E66D4" w:rsidP="005141E4">
      <w:pPr>
        <w:pStyle w:val="SDMHead2"/>
      </w:pPr>
      <w:bookmarkStart w:id="63" w:name="S111"/>
      <w:r>
        <w:t>Calculation</w:t>
      </w:r>
      <w:bookmarkEnd w:id="63"/>
      <w:r>
        <w:t xml:space="preserve"> of activity emissions</w:t>
      </w:r>
    </w:p>
    <w:p w14:paraId="24F024A4" w14:textId="4585D6F6" w:rsidR="00E50FCC" w:rsidRPr="00E50FCC" w:rsidRDefault="00E50FCC" w:rsidP="00420B43">
      <w:pPr>
        <w:pStyle w:val="SDMPara"/>
        <w:rPr>
          <w:rFonts w:eastAsia="Montserrat"/>
          <w:b/>
          <w:color w:val="000000" w:themeColor="text1"/>
        </w:rPr>
      </w:pPr>
      <w:r w:rsidRPr="00420B43">
        <w:rPr>
          <w:rFonts w:eastAsia="Montserrat"/>
          <w:color w:val="000000" w:themeColor="text1"/>
        </w:rPr>
        <w:t xml:space="preserve">The following text describes the calculations for project emissions in accordance with the three CLEAR approaches: CTEC projects </w:t>
      </w:r>
      <w:proofErr w:type="gramStart"/>
      <w:r w:rsidRPr="00420B43">
        <w:rPr>
          <w:rFonts w:eastAsia="Montserrat"/>
          <w:color w:val="000000" w:themeColor="text1"/>
        </w:rPr>
        <w:t>back-calculating</w:t>
      </w:r>
      <w:proofErr w:type="gramEnd"/>
      <w:r w:rsidRPr="00420B43">
        <w:rPr>
          <w:rFonts w:eastAsia="Montserrat"/>
          <w:color w:val="000000" w:themeColor="text1"/>
        </w:rPr>
        <w:t xml:space="preserve"> the displaced baseline, CTEC projects using the KPT, and non-CTEC projects using the KPT</w:t>
      </w:r>
      <w:r w:rsidR="00420B43" w:rsidRPr="00E50FCC">
        <w:rPr>
          <w:rFonts w:eastAsia="Montserrat"/>
          <w:b/>
          <w:color w:val="000000" w:themeColor="text1"/>
        </w:rPr>
        <w:t>.</w:t>
      </w:r>
    </w:p>
    <w:p w14:paraId="607000B7" w14:textId="77777777" w:rsidR="00E50FCC" w:rsidRDefault="00E50FCC" w:rsidP="00E50FCC">
      <w:pPr>
        <w:rPr>
          <w:rFonts w:eastAsia="Montserrat"/>
          <w:lang w:val="en-US" w:eastAsia="en-US"/>
        </w:rPr>
      </w:pPr>
    </w:p>
    <w:p w14:paraId="798981A5" w14:textId="588C1104" w:rsidR="00E95A8F" w:rsidRPr="00420B43" w:rsidRDefault="005822B6" w:rsidP="00420B43">
      <w:pPr>
        <w:pStyle w:val="SDMPara"/>
        <w:rPr>
          <w:rFonts w:eastAsia="Montserrat"/>
          <w:b/>
          <w:bCs/>
          <w:lang w:val="en-US" w:eastAsia="en-US"/>
        </w:rPr>
      </w:pPr>
      <w:r w:rsidRPr="00420B43">
        <w:rPr>
          <w:rFonts w:eastAsia="Montserrat"/>
          <w:b/>
          <w:bCs/>
          <w:lang w:val="en-US" w:eastAsia="en-US"/>
        </w:rPr>
        <w:t>CTEC projects using the back-calculation approach for displaced baseline energy consumption</w:t>
      </w:r>
      <w:r w:rsidR="00420B43">
        <w:rPr>
          <w:rFonts w:eastAsia="Montserrat"/>
          <w:b/>
          <w:bCs/>
          <w:lang w:val="en-US" w:eastAsia="en-US"/>
        </w:rPr>
        <w:t xml:space="preserve">: </w:t>
      </w:r>
      <w:r w:rsidR="00E95A8F" w:rsidRPr="00420B43">
        <w:rPr>
          <w:rFonts w:eastAsia="Montserrat"/>
          <w:color w:val="000000" w:themeColor="text1"/>
        </w:rPr>
        <w:t xml:space="preserve">Project emissions for CTEC projects using the tracked energy consumption of project technology option are calculated using </w:t>
      </w:r>
      <w:r w:rsidR="00E95A8F" w:rsidRPr="00420B43">
        <w:rPr>
          <w:rFonts w:eastAsia="Montserrat"/>
        </w:rPr>
        <w:t>Equation (7)</w:t>
      </w:r>
      <w:r w:rsidR="00E95A8F" w:rsidRPr="00420B43">
        <w:rPr>
          <w:rFonts w:eastAsia="Montserrat"/>
          <w:color w:val="000000" w:themeColor="text1"/>
        </w:rPr>
        <w:t>.</w:t>
      </w:r>
    </w:p>
    <w:p w14:paraId="2B3F9E1D" w14:textId="77777777" w:rsidR="00E95A8F" w:rsidRPr="00B33BB6" w:rsidRDefault="00E95A8F" w:rsidP="00E95A8F">
      <w:pPr>
        <w:spacing w:before="240"/>
        <w:rPr>
          <w:rFonts w:eastAsia="Montserrat" w:cs="Arial"/>
          <w:b/>
          <w:szCs w:val="22"/>
        </w:rPr>
      </w:pPr>
    </w:p>
    <w:tbl>
      <w:tblPr>
        <w:tblW w:w="9214" w:type="dxa"/>
        <w:tblBorders>
          <w:top w:val="nil"/>
          <w:left w:val="nil"/>
          <w:bottom w:val="nil"/>
          <w:right w:val="nil"/>
          <w:insideH w:val="nil"/>
          <w:insideV w:val="nil"/>
        </w:tblBorders>
        <w:tblLayout w:type="fixed"/>
        <w:tblLook w:val="0400" w:firstRow="0" w:lastRow="0" w:firstColumn="0" w:lastColumn="0" w:noHBand="0" w:noVBand="1"/>
      </w:tblPr>
      <w:tblGrid>
        <w:gridCol w:w="8598"/>
        <w:gridCol w:w="616"/>
      </w:tblGrid>
      <w:tr w:rsidR="00E95A8F" w:rsidRPr="00B33BB6" w14:paraId="5EB83A2E" w14:textId="77777777">
        <w:tc>
          <w:tcPr>
            <w:tcW w:w="8598" w:type="dxa"/>
            <w:vAlign w:val="center"/>
          </w:tcPr>
          <w:p w14:paraId="42A18C16" w14:textId="77777777" w:rsidR="00E95A8F" w:rsidRPr="00B33BB6" w:rsidRDefault="00000000">
            <w:pPr>
              <w:jc w:val="center"/>
              <w:rPr>
                <w:rFonts w:eastAsia="Montserrat" w:cs="Arial"/>
                <w:sz w:val="20"/>
              </w:rPr>
            </w:pPr>
            <m:oMathPara>
              <m:oMath>
                <m:sSub>
                  <m:sSubPr>
                    <m:ctrlPr>
                      <w:rPr>
                        <w:rFonts w:ascii="Cambria Math" w:eastAsia="Cambria Math" w:hAnsi="Cambria Math" w:cs="Arial"/>
                        <w:sz w:val="20"/>
                      </w:rPr>
                    </m:ctrlPr>
                  </m:sSubPr>
                  <m:e>
                    <m:r>
                      <w:rPr>
                        <w:rFonts w:ascii="Cambria Math" w:eastAsia="Cambria Math" w:hAnsi="Cambria Math" w:cs="Arial"/>
                        <w:sz w:val="20"/>
                      </w:rPr>
                      <m:t>PE</m:t>
                    </m:r>
                  </m:e>
                  <m:sub>
                    <m:r>
                      <w:rPr>
                        <w:rFonts w:ascii="Cambria Math" w:eastAsia="Cambria Math" w:hAnsi="Cambria Math" w:cs="Arial"/>
                        <w:sz w:val="20"/>
                      </w:rPr>
                      <m:t>y</m:t>
                    </m:r>
                  </m:sub>
                </m:sSub>
                <m:r>
                  <w:rPr>
                    <w:rFonts w:ascii="Cambria Math" w:eastAsia="Cambria Math" w:hAnsi="Cambria Math" w:cs="Arial"/>
                    <w:sz w:val="20"/>
                  </w:rPr>
                  <m:t>=</m:t>
                </m:r>
                <m:nary>
                  <m:naryPr>
                    <m:chr m:val="∑"/>
                    <m:supHide m:val="1"/>
                    <m:ctrlPr>
                      <w:rPr>
                        <w:rFonts w:ascii="Cambria Math" w:eastAsia="Cambria Math" w:hAnsi="Cambria Math" w:cs="Arial"/>
                        <w:sz w:val="20"/>
                      </w:rPr>
                    </m:ctrlPr>
                  </m:naryPr>
                  <m:sub>
                    <m:r>
                      <w:rPr>
                        <w:rFonts w:ascii="Cambria Math" w:eastAsia="Cambria Math" w:hAnsi="Cambria Math" w:cs="Arial"/>
                        <w:sz w:val="20"/>
                      </w:rPr>
                      <m:t>j</m:t>
                    </m:r>
                  </m:sub>
                  <m:sup/>
                  <m:e>
                    <m:r>
                      <w:rPr>
                        <w:rFonts w:ascii="Cambria Math" w:eastAsia="Cambria Math" w:hAnsi="Cambria Math" w:cs="Arial"/>
                        <w:sz w:val="20"/>
                      </w:rPr>
                      <m:t xml:space="preserve"> </m:t>
                    </m:r>
                  </m:e>
                </m:nary>
                <m:d>
                  <m:dPr>
                    <m:ctrlPr>
                      <w:rPr>
                        <w:rFonts w:ascii="Cambria Math" w:eastAsia="Cambria Math" w:hAnsi="Cambria Math" w:cs="Arial"/>
                        <w:sz w:val="20"/>
                      </w:rPr>
                    </m:ctrlPr>
                  </m:dPr>
                  <m:e>
                    <m:sSub>
                      <m:sSubPr>
                        <m:ctrlPr>
                          <w:rPr>
                            <w:rFonts w:ascii="Cambria Math" w:eastAsia="Cambria Math" w:hAnsi="Cambria Math" w:cs="Arial"/>
                            <w:sz w:val="20"/>
                          </w:rPr>
                        </m:ctrlPr>
                      </m:sSubPr>
                      <m:e>
                        <m:r>
                          <w:rPr>
                            <w:rFonts w:ascii="Cambria Math" w:eastAsia="Cambria Math" w:hAnsi="Cambria Math" w:cs="Arial"/>
                            <w:sz w:val="20"/>
                          </w:rPr>
                          <m:t>tEC</m:t>
                        </m:r>
                      </m:e>
                      <m:sub>
                        <m:r>
                          <w:rPr>
                            <w:rFonts w:ascii="Cambria Math" w:eastAsia="Cambria Math" w:hAnsi="Cambria Math" w:cs="Arial"/>
                            <w:sz w:val="20"/>
                          </w:rPr>
                          <m:t>proj,j,y</m:t>
                        </m:r>
                      </m:sub>
                    </m:sSub>
                    <m:r>
                      <w:rPr>
                        <w:rFonts w:ascii="Cambria Math" w:eastAsia="Cambria Math" w:hAnsi="Cambria Math" w:cs="Arial"/>
                        <w:sz w:val="20"/>
                      </w:rPr>
                      <m:t>×</m:t>
                    </m:r>
                    <m:d>
                      <m:dPr>
                        <m:ctrlPr>
                          <w:rPr>
                            <w:rFonts w:ascii="Cambria Math" w:eastAsia="Cambria Math" w:hAnsi="Cambria Math" w:cs="Arial"/>
                            <w:sz w:val="20"/>
                          </w:rPr>
                        </m:ctrlPr>
                      </m:dPr>
                      <m:e>
                        <m:sSub>
                          <m:sSubPr>
                            <m:ctrlPr>
                              <w:rPr>
                                <w:rFonts w:ascii="Cambria Math" w:eastAsia="Cambria Math" w:hAnsi="Cambria Math" w:cs="Arial"/>
                                <w:i/>
                                <w:sz w:val="20"/>
                              </w:rPr>
                            </m:ctrlPr>
                          </m:sSubPr>
                          <m:e>
                            <m:r>
                              <w:rPr>
                                <w:rFonts w:ascii="Cambria Math" w:eastAsia="Cambria Math" w:hAnsi="Cambria Math" w:cs="Arial"/>
                                <w:sz w:val="20"/>
                              </w:rPr>
                              <m:t>fNRB</m:t>
                            </m:r>
                          </m:e>
                          <m:sub>
                            <m:r>
                              <w:rPr>
                                <w:rFonts w:ascii="Cambria Math" w:eastAsia="Cambria Math" w:hAnsi="Cambria Math" w:cs="Arial"/>
                                <w:sz w:val="20"/>
                              </w:rPr>
                              <m:t>i</m:t>
                            </m:r>
                          </m:sub>
                        </m:sSub>
                        <m:r>
                          <w:rPr>
                            <w:rFonts w:ascii="Cambria Math" w:eastAsia="Cambria Math" w:hAnsi="Cambria Math" w:cs="Arial"/>
                            <w:sz w:val="20"/>
                          </w:rPr>
                          <m:t>×</m:t>
                        </m:r>
                        <m:sSub>
                          <m:sSubPr>
                            <m:ctrlPr>
                              <w:rPr>
                                <w:rFonts w:ascii="Cambria Math" w:eastAsia="Cambria Math" w:hAnsi="Cambria Math" w:cs="Arial"/>
                                <w:sz w:val="20"/>
                              </w:rPr>
                            </m:ctrlPr>
                          </m:sSubPr>
                          <m:e>
                            <m:r>
                              <w:rPr>
                                <w:rFonts w:ascii="Cambria Math" w:eastAsia="Cambria Math" w:hAnsi="Cambria Math" w:cs="Arial"/>
                                <w:sz w:val="20"/>
                              </w:rPr>
                              <m:t>EF</m:t>
                            </m:r>
                          </m:e>
                          <m:sub>
                            <m:r>
                              <w:rPr>
                                <w:rFonts w:ascii="Cambria Math" w:eastAsia="Cambria Math" w:hAnsi="Cambria Math" w:cs="Arial"/>
                                <w:sz w:val="20"/>
                              </w:rPr>
                              <m:t>proj,j,CO2</m:t>
                            </m:r>
                          </m:sub>
                        </m:sSub>
                        <m:r>
                          <w:rPr>
                            <w:rFonts w:ascii="Cambria Math" w:eastAsia="Cambria Math" w:hAnsi="Cambria Math" w:cs="Arial"/>
                            <w:sz w:val="20"/>
                          </w:rPr>
                          <m:t>+</m:t>
                        </m:r>
                        <m:sSub>
                          <m:sSubPr>
                            <m:ctrlPr>
                              <w:rPr>
                                <w:rFonts w:ascii="Cambria Math" w:eastAsia="Cambria Math" w:hAnsi="Cambria Math" w:cs="Arial"/>
                                <w:sz w:val="20"/>
                              </w:rPr>
                            </m:ctrlPr>
                          </m:sSubPr>
                          <m:e>
                            <m:r>
                              <w:rPr>
                                <w:rFonts w:ascii="Cambria Math" w:eastAsia="Cambria Math" w:hAnsi="Cambria Math" w:cs="Arial"/>
                                <w:sz w:val="20"/>
                              </w:rPr>
                              <m:t>EF</m:t>
                            </m:r>
                          </m:e>
                          <m:sub>
                            <m:r>
                              <w:rPr>
                                <w:rFonts w:ascii="Cambria Math" w:eastAsia="Cambria Math" w:hAnsi="Cambria Math" w:cs="Arial"/>
                                <w:sz w:val="20"/>
                              </w:rPr>
                              <m:t>proj,j, nonCO2</m:t>
                            </m:r>
                          </m:sub>
                        </m:sSub>
                      </m:e>
                    </m:d>
                  </m:e>
                </m:d>
                <m:r>
                  <w:rPr>
                    <w:rFonts w:ascii="Cambria Math" w:eastAsia="Cambria Math" w:hAnsi="Cambria Math" w:cs="Arial"/>
                    <w:sz w:val="20"/>
                  </w:rPr>
                  <m:t>+</m:t>
                </m:r>
                <m:nary>
                  <m:naryPr>
                    <m:chr m:val="∑"/>
                    <m:supHide m:val="1"/>
                    <m:ctrlPr>
                      <w:rPr>
                        <w:rFonts w:ascii="Cambria Math" w:eastAsia="Cambria Math" w:hAnsi="Cambria Math" w:cs="Arial"/>
                        <w:sz w:val="20"/>
                      </w:rPr>
                    </m:ctrlPr>
                  </m:naryPr>
                  <m:sub>
                    <m:r>
                      <w:rPr>
                        <w:rFonts w:ascii="Cambria Math" w:eastAsia="Cambria Math" w:hAnsi="Cambria Math" w:cs="Arial"/>
                        <w:sz w:val="20"/>
                      </w:rPr>
                      <m:t>j</m:t>
                    </m:r>
                  </m:sub>
                  <m:sup/>
                  <m:e>
                    <m:r>
                      <w:rPr>
                        <w:rFonts w:ascii="Cambria Math" w:eastAsia="Cambria Math" w:hAnsi="Cambria Math" w:cs="Arial"/>
                        <w:sz w:val="20"/>
                      </w:rPr>
                      <m:t xml:space="preserve"> </m:t>
                    </m:r>
                  </m:e>
                </m:nary>
                <m:sSub>
                  <m:sSubPr>
                    <m:ctrlPr>
                      <w:rPr>
                        <w:rFonts w:ascii="Cambria Math" w:eastAsia="Cambria Math" w:hAnsi="Cambria Math" w:cs="Arial"/>
                        <w:sz w:val="20"/>
                      </w:rPr>
                    </m:ctrlPr>
                  </m:sSubPr>
                  <m:e>
                    <m:r>
                      <w:rPr>
                        <w:rFonts w:ascii="Cambria Math" w:eastAsia="Cambria Math" w:hAnsi="Cambria Math" w:cs="Arial"/>
                        <w:sz w:val="20"/>
                      </w:rPr>
                      <m:t>UE</m:t>
                    </m:r>
                  </m:e>
                  <m:sub>
                    <m:r>
                      <w:rPr>
                        <w:rFonts w:ascii="Cambria Math" w:eastAsia="Cambria Math" w:hAnsi="Cambria Math" w:cs="Arial"/>
                        <w:sz w:val="20"/>
                      </w:rPr>
                      <m:t>proj,j, y</m:t>
                    </m:r>
                  </m:sub>
                </m:sSub>
                <m:r>
                  <w:rPr>
                    <w:rFonts w:ascii="Cambria Math" w:eastAsia="Cambria Math" w:hAnsi="Cambria Math" w:cs="Arial"/>
                    <w:sz w:val="20"/>
                  </w:rPr>
                  <m:t>+</m:t>
                </m:r>
                <m:sSub>
                  <m:sSubPr>
                    <m:ctrlPr>
                      <w:rPr>
                        <w:rFonts w:ascii="Cambria Math" w:eastAsia="Cambria Math" w:hAnsi="Cambria Math" w:cs="Arial"/>
                        <w:sz w:val="20"/>
                      </w:rPr>
                    </m:ctrlPr>
                  </m:sSubPr>
                  <m:e>
                    <m:r>
                      <w:rPr>
                        <w:rFonts w:ascii="Cambria Math" w:eastAsia="Cambria Math" w:hAnsi="Cambria Math" w:cs="Arial"/>
                        <w:sz w:val="20"/>
                      </w:rPr>
                      <m:t>PE</m:t>
                    </m:r>
                  </m:e>
                  <m:sub>
                    <m:r>
                      <w:rPr>
                        <w:rFonts w:ascii="Cambria Math" w:eastAsia="Cambria Math" w:hAnsi="Cambria Math" w:cs="Arial"/>
                        <w:sz w:val="20"/>
                      </w:rPr>
                      <m:t>elec,y</m:t>
                    </m:r>
                  </m:sub>
                </m:sSub>
              </m:oMath>
            </m:oMathPara>
          </w:p>
        </w:tc>
        <w:tc>
          <w:tcPr>
            <w:tcW w:w="616" w:type="dxa"/>
            <w:vAlign w:val="center"/>
          </w:tcPr>
          <w:p w14:paraId="4A8801C2" w14:textId="77777777" w:rsidR="00E95A8F" w:rsidRPr="00B33BB6" w:rsidRDefault="00E95A8F">
            <w:pPr>
              <w:jc w:val="right"/>
              <w:rPr>
                <w:rFonts w:cs="Arial"/>
                <w:szCs w:val="22"/>
              </w:rPr>
            </w:pPr>
            <w:bookmarkStart w:id="64" w:name="e7"/>
            <w:r w:rsidRPr="00B33BB6">
              <w:rPr>
                <w:rFonts w:cs="Arial"/>
                <w:szCs w:val="22"/>
              </w:rPr>
              <w:t>(7)</w:t>
            </w:r>
            <w:bookmarkEnd w:id="64"/>
          </w:p>
        </w:tc>
      </w:tr>
    </w:tbl>
    <w:p w14:paraId="5C9CD438" w14:textId="77777777" w:rsidR="00E95A8F" w:rsidRPr="00B33BB6" w:rsidRDefault="00E95A8F" w:rsidP="00E95A8F">
      <w:pPr>
        <w:rPr>
          <w:rFonts w:eastAsia="Montserrat" w:cs="Arial"/>
          <w:szCs w:val="22"/>
        </w:rPr>
      </w:pPr>
    </w:p>
    <w:p w14:paraId="07865C90" w14:textId="77777777" w:rsidR="00E95A8F" w:rsidRPr="00B33BB6" w:rsidRDefault="00E95A8F" w:rsidP="00420B43">
      <w:pPr>
        <w:ind w:left="709"/>
        <w:rPr>
          <w:rFonts w:eastAsia="Montserrat" w:cs="Arial"/>
          <w:szCs w:val="22"/>
        </w:rPr>
      </w:pPr>
      <w:r w:rsidRPr="00B33BB6">
        <w:rPr>
          <w:rFonts w:eastAsia="Montserrat" w:cs="Arial"/>
          <w:szCs w:val="22"/>
        </w:rPr>
        <w:t>Where:</w:t>
      </w:r>
    </w:p>
    <w:p w14:paraId="4899A939" w14:textId="77777777" w:rsidR="00E95A8F" w:rsidRPr="00B33BB6" w:rsidRDefault="00E95A8F" w:rsidP="00E95A8F">
      <w:pPr>
        <w:rPr>
          <w:rFonts w:eastAsia="Montserrat" w:cs="Arial"/>
          <w:szCs w:val="22"/>
        </w:rPr>
      </w:pPr>
    </w:p>
    <w:tbl>
      <w:tblPr>
        <w:tblStyle w:val="TableGrid"/>
        <w:tblW w:w="9209" w:type="dxa"/>
        <w:tblInd w:w="596" w:type="dxa"/>
        <w:tblLook w:val="04A0" w:firstRow="1" w:lastRow="0" w:firstColumn="1" w:lastColumn="0" w:noHBand="0" w:noVBand="1"/>
      </w:tblPr>
      <w:tblGrid>
        <w:gridCol w:w="1693"/>
        <w:gridCol w:w="6403"/>
        <w:gridCol w:w="1113"/>
      </w:tblGrid>
      <w:tr w:rsidR="00E95A8F" w:rsidRPr="00B33BB6" w14:paraId="64CFBD95" w14:textId="77777777" w:rsidTr="00420B43">
        <w:tc>
          <w:tcPr>
            <w:tcW w:w="1693" w:type="dxa"/>
          </w:tcPr>
          <w:p w14:paraId="49FDD04A" w14:textId="77777777" w:rsidR="00E95A8F" w:rsidRPr="00B33BB6" w:rsidRDefault="00E95A8F">
            <w:pPr>
              <w:rPr>
                <w:rFonts w:eastAsia="Montserrat" w:cs="Arial"/>
                <w:b/>
                <w:szCs w:val="22"/>
              </w:rPr>
            </w:pPr>
            <w:r w:rsidRPr="00B33BB6">
              <w:rPr>
                <w:rFonts w:eastAsia="Montserrat" w:cs="Arial"/>
                <w:b/>
                <w:szCs w:val="22"/>
              </w:rPr>
              <w:t>Parameter</w:t>
            </w:r>
          </w:p>
        </w:tc>
        <w:tc>
          <w:tcPr>
            <w:tcW w:w="6403" w:type="dxa"/>
          </w:tcPr>
          <w:p w14:paraId="292C85E5" w14:textId="77777777" w:rsidR="00E95A8F" w:rsidRPr="00B33BB6" w:rsidRDefault="00E95A8F">
            <w:pPr>
              <w:rPr>
                <w:rFonts w:eastAsia="Montserrat" w:cs="Arial"/>
                <w:b/>
                <w:szCs w:val="22"/>
              </w:rPr>
            </w:pPr>
            <w:r w:rsidRPr="00B33BB6">
              <w:rPr>
                <w:rFonts w:eastAsia="Montserrat" w:cs="Arial"/>
                <w:b/>
                <w:szCs w:val="22"/>
              </w:rPr>
              <w:t>Description</w:t>
            </w:r>
          </w:p>
        </w:tc>
        <w:tc>
          <w:tcPr>
            <w:tcW w:w="1113" w:type="dxa"/>
          </w:tcPr>
          <w:p w14:paraId="2C1961F5" w14:textId="77777777" w:rsidR="00E95A8F" w:rsidRPr="00B33BB6" w:rsidRDefault="00E95A8F">
            <w:pPr>
              <w:rPr>
                <w:rFonts w:eastAsia="Montserrat" w:cs="Arial"/>
                <w:b/>
                <w:szCs w:val="22"/>
              </w:rPr>
            </w:pPr>
            <w:r w:rsidRPr="00B33BB6">
              <w:rPr>
                <w:rFonts w:eastAsia="Montserrat" w:cs="Arial"/>
                <w:b/>
                <w:szCs w:val="22"/>
              </w:rPr>
              <w:t>Unit</w:t>
            </w:r>
          </w:p>
        </w:tc>
      </w:tr>
      <w:tr w:rsidR="00E95A8F" w:rsidRPr="00B33BB6" w14:paraId="5276B4F8" w14:textId="77777777" w:rsidTr="00420B43">
        <w:tc>
          <w:tcPr>
            <w:tcW w:w="1693" w:type="dxa"/>
          </w:tcPr>
          <w:p w14:paraId="10A8E535"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y</m:t>
                    </m:r>
                  </m:sub>
                </m:sSub>
              </m:oMath>
            </m:oMathPara>
          </w:p>
        </w:tc>
        <w:tc>
          <w:tcPr>
            <w:tcW w:w="6403" w:type="dxa"/>
          </w:tcPr>
          <w:p w14:paraId="3A6DE132" w14:textId="77777777" w:rsidR="00E95A8F" w:rsidRPr="00B33BB6" w:rsidRDefault="00E95A8F">
            <w:pPr>
              <w:rPr>
                <w:rFonts w:eastAsia="Montserrat" w:cs="Arial"/>
                <w:szCs w:val="22"/>
              </w:rPr>
            </w:pPr>
            <w:r w:rsidRPr="00B33BB6">
              <w:rPr>
                <w:rFonts w:eastAsia="Montserrat" w:cs="Arial"/>
                <w:szCs w:val="22"/>
              </w:rPr>
              <w:t xml:space="preserve">Project emissions during year </w:t>
            </w:r>
            <w:r w:rsidRPr="00B33BB6">
              <w:rPr>
                <w:rFonts w:eastAsia="Montserrat" w:cs="Arial"/>
                <w:i/>
                <w:szCs w:val="22"/>
              </w:rPr>
              <w:t>y</w:t>
            </w:r>
          </w:p>
        </w:tc>
        <w:tc>
          <w:tcPr>
            <w:tcW w:w="1113" w:type="dxa"/>
          </w:tcPr>
          <w:p w14:paraId="246504D2"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E95A8F" w:rsidRPr="00B33BB6" w14:paraId="3BC2AF24" w14:textId="77777777" w:rsidTr="00420B43">
        <w:tc>
          <w:tcPr>
            <w:tcW w:w="1693" w:type="dxa"/>
          </w:tcPr>
          <w:p w14:paraId="2F096F47"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oMath>
            </m:oMathPara>
          </w:p>
        </w:tc>
        <w:tc>
          <w:tcPr>
            <w:tcW w:w="6403" w:type="dxa"/>
          </w:tcPr>
          <w:p w14:paraId="17FEC0D3" w14:textId="3BD50271" w:rsidR="00E95A8F" w:rsidRPr="00B33BB6" w:rsidRDefault="00E95A8F">
            <w:pPr>
              <w:rPr>
                <w:rFonts w:eastAsia="Montserrat" w:cs="Arial"/>
                <w:szCs w:val="22"/>
              </w:rPr>
            </w:pPr>
            <w:r w:rsidRPr="00B33BB6">
              <w:rPr>
                <w:rFonts w:eastAsia="Montserrat" w:cs="Arial"/>
                <w:szCs w:val="22"/>
              </w:rPr>
              <w:t xml:space="preserve">Total tracked energy consumption of project fuel </w:t>
            </w:r>
            <w:r w:rsidRPr="00B33BB6">
              <w:rPr>
                <w:rFonts w:eastAsia="Montserrat" w:cs="Arial"/>
                <w:i/>
                <w:szCs w:val="22"/>
              </w:rPr>
              <w:t xml:space="preserve">j </w:t>
            </w:r>
            <w:r w:rsidRPr="00B33BB6">
              <w:rPr>
                <w:rFonts w:eastAsia="Montserrat" w:cs="Arial"/>
                <w:szCs w:val="22"/>
              </w:rPr>
              <w:t xml:space="preserve">for CTEC projects in year </w:t>
            </w:r>
            <w:r w:rsidRPr="00B33BB6">
              <w:rPr>
                <w:rFonts w:eastAsia="Montserrat" w:cs="Arial"/>
                <w:i/>
                <w:szCs w:val="22"/>
              </w:rPr>
              <w:t xml:space="preserve">y. </w:t>
            </w:r>
            <w:r w:rsidRPr="00B33BB6">
              <w:rPr>
                <w:rFonts w:eastAsia="Montserrat" w:cs="Arial"/>
                <w:szCs w:val="22"/>
              </w:rPr>
              <w:t xml:space="preserve">Where fuels such as pellets and briquettes are made from a mix of renewable and non-renewable sources (e.g., </w:t>
            </w:r>
            <w:r w:rsidRPr="00B33BB6">
              <w:rPr>
                <w:rFonts w:eastAsia="Montserrat" w:cs="Arial"/>
                <w:szCs w:val="22"/>
              </w:rPr>
              <w:lastRenderedPageBreak/>
              <w:t xml:space="preserve">renewable agricultural waste and non-renewable wood), each source should be considered its own fuel. (See example in </w:t>
            </w:r>
            <w:hyperlink w:anchor="footnote11" w:history="1">
              <w:r w:rsidRPr="00C3324D">
                <w:rPr>
                  <w:rStyle w:val="Hyperlink"/>
                  <w:rFonts w:eastAsia="Montserrat" w:cs="Arial"/>
                  <w:szCs w:val="22"/>
                  <w:lang w:val="en-GB"/>
                </w:rPr>
                <w:t>footnote 1</w:t>
              </w:r>
              <w:r w:rsidR="000346C0" w:rsidRPr="00C3324D">
                <w:rPr>
                  <w:rStyle w:val="Hyperlink"/>
                  <w:rFonts w:eastAsia="Montserrat" w:cs="Arial"/>
                  <w:szCs w:val="22"/>
                </w:rPr>
                <w:t>1</w:t>
              </w:r>
            </w:hyperlink>
            <w:r w:rsidRPr="00C3324D">
              <w:rPr>
                <w:rFonts w:eastAsia="Montserrat" w:cs="Arial"/>
                <w:szCs w:val="22"/>
              </w:rPr>
              <w:t>)</w:t>
            </w:r>
            <w:r w:rsidRPr="00B33BB6">
              <w:rPr>
                <w:rFonts w:eastAsia="Montserrat" w:cs="Arial"/>
                <w:szCs w:val="22"/>
              </w:rPr>
              <w:br/>
            </w:r>
            <w:r w:rsidRPr="00B33BB6">
              <w:rPr>
                <w:rFonts w:eastAsia="Montserrat" w:cs="Arial"/>
                <w:szCs w:val="22"/>
              </w:rPr>
              <w:br/>
              <w:t xml:space="preserve">For any given project participant or technology, if more than half of the possible CTEC data for a monitoring period is missing, only available CTEC data may be included in emission reduction calculations. If missing CTEC data for a given project participant or technology consists of less than half of the possible data, then the project proponent may use the 25th percentile of the available tracked project energy consumption for that project participant or technology as a conservative replacement of the missing data.  </w:t>
            </w:r>
          </w:p>
        </w:tc>
        <w:tc>
          <w:tcPr>
            <w:tcW w:w="1113" w:type="dxa"/>
          </w:tcPr>
          <w:p w14:paraId="233823D0" w14:textId="77777777" w:rsidR="00E95A8F" w:rsidRPr="00B33BB6" w:rsidRDefault="00E95A8F">
            <w:pPr>
              <w:rPr>
                <w:rFonts w:eastAsia="Montserrat" w:cs="Arial"/>
                <w:szCs w:val="22"/>
              </w:rPr>
            </w:pPr>
            <w:r w:rsidRPr="00B33BB6">
              <w:rPr>
                <w:rFonts w:eastAsia="Montserrat" w:cs="Arial"/>
                <w:szCs w:val="22"/>
              </w:rPr>
              <w:lastRenderedPageBreak/>
              <w:t>TJ</w:t>
            </w:r>
          </w:p>
        </w:tc>
      </w:tr>
      <w:tr w:rsidR="00E95A8F" w:rsidRPr="00B33BB6" w14:paraId="1748A77A" w14:textId="77777777" w:rsidTr="00420B43">
        <w:tc>
          <w:tcPr>
            <w:tcW w:w="1693" w:type="dxa"/>
          </w:tcPr>
          <w:p w14:paraId="36C5C3FB" w14:textId="77777777" w:rsidR="00E95A8F"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fNRB</m:t>
                    </m:r>
                  </m:e>
                  <m:sub>
                    <m:r>
                      <w:rPr>
                        <w:rFonts w:ascii="Cambria Math" w:eastAsia="Cambria Math" w:hAnsi="Cambria Math" w:cs="Arial"/>
                        <w:szCs w:val="22"/>
                      </w:rPr>
                      <m:t>j</m:t>
                    </m:r>
                  </m:sub>
                </m:sSub>
              </m:oMath>
            </m:oMathPara>
          </w:p>
        </w:tc>
        <w:tc>
          <w:tcPr>
            <w:tcW w:w="6403" w:type="dxa"/>
          </w:tcPr>
          <w:p w14:paraId="5BFC4E19" w14:textId="77777777" w:rsidR="00E95A8F" w:rsidRPr="00B33BB6" w:rsidRDefault="00E95A8F">
            <w:pPr>
              <w:rPr>
                <w:rFonts w:eastAsia="Montserrat" w:cs="Arial"/>
                <w:szCs w:val="22"/>
              </w:rPr>
            </w:pPr>
            <w:r w:rsidRPr="00B33BB6">
              <w:rPr>
                <w:rFonts w:eastAsia="Montserrat" w:cs="Arial"/>
                <w:szCs w:val="22"/>
              </w:rPr>
              <w:t xml:space="preserve">Fraction of non-renewable woody biomass fuel </w:t>
            </w:r>
            <w:r w:rsidRPr="00B33BB6">
              <w:rPr>
                <w:rFonts w:eastAsia="Montserrat" w:cs="Arial"/>
                <w:i/>
                <w:szCs w:val="22"/>
              </w:rPr>
              <w:t>j</w:t>
            </w:r>
            <w:r w:rsidRPr="00B33BB6">
              <w:rPr>
                <w:rFonts w:eastAsia="Montserrat" w:cs="Arial"/>
                <w:szCs w:val="22"/>
              </w:rPr>
              <w:t xml:space="preserve"> consumed. This parameter varies between zero and 100% for fuelwood, charcoal, and other solid biomass fuels that are not fully renewable. When renewable biomass fuels are used (defined above), this parameter is equal to zero. When fossil fuels are used, it is equal to 100%.</w:t>
            </w:r>
          </w:p>
        </w:tc>
        <w:tc>
          <w:tcPr>
            <w:tcW w:w="1113" w:type="dxa"/>
          </w:tcPr>
          <w:p w14:paraId="794CEDB8" w14:textId="77777777" w:rsidR="00E95A8F" w:rsidRPr="00B33BB6" w:rsidRDefault="00E95A8F">
            <w:pPr>
              <w:rPr>
                <w:rFonts w:eastAsia="Montserrat" w:cs="Arial"/>
                <w:szCs w:val="22"/>
              </w:rPr>
            </w:pPr>
            <w:r w:rsidRPr="00B33BB6">
              <w:rPr>
                <w:rFonts w:eastAsia="Montserrat" w:cs="Arial"/>
                <w:szCs w:val="22"/>
              </w:rPr>
              <w:t>%</w:t>
            </w:r>
          </w:p>
        </w:tc>
      </w:tr>
      <w:tr w:rsidR="00E95A8F" w:rsidRPr="00B33BB6" w14:paraId="730E46FC" w14:textId="77777777" w:rsidTr="00420B43">
        <w:tc>
          <w:tcPr>
            <w:tcW w:w="1693" w:type="dxa"/>
          </w:tcPr>
          <w:p w14:paraId="594DC1EB" w14:textId="77777777" w:rsidR="00E95A8F" w:rsidRPr="00B33BB6" w:rsidRDefault="00000000">
            <w:pPr>
              <w:rPr>
                <w:rFonts w:eastAsia="Montserrat"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proj,j,CO2</m:t>
                    </m:r>
                  </m:sub>
                </m:sSub>
              </m:oMath>
            </m:oMathPara>
          </w:p>
        </w:tc>
        <w:tc>
          <w:tcPr>
            <w:tcW w:w="6403" w:type="dxa"/>
          </w:tcPr>
          <w:p w14:paraId="171542F8" w14:textId="77777777" w:rsidR="00E95A8F" w:rsidRPr="00B33BB6" w:rsidRDefault="00E95A8F">
            <w:pPr>
              <w:rPr>
                <w:rFonts w:eastAsia="Montserrat" w:cs="Arial"/>
                <w:szCs w:val="22"/>
              </w:rPr>
            </w:pPr>
            <w:r w:rsidRPr="00B33BB6">
              <w:rPr>
                <w:rFonts w:eastAsia="Montserrat" w:cs="Arial"/>
                <w:szCs w:val="22"/>
              </w:rPr>
              <w:t>CO</w:t>
            </w:r>
            <w:r w:rsidRPr="00B33BB6">
              <w:rPr>
                <w:rFonts w:eastAsia="Montserrat" w:cs="Arial"/>
                <w:szCs w:val="22"/>
                <w:vertAlign w:val="subscript"/>
              </w:rPr>
              <w:t>2</w:t>
            </w:r>
            <w:r w:rsidRPr="00B33BB6">
              <w:rPr>
                <w:rFonts w:eastAsia="Montserrat" w:cs="Arial"/>
                <w:szCs w:val="22"/>
              </w:rPr>
              <w:t xml:space="preserve"> emission factor for project fuel</w:t>
            </w:r>
            <w:r w:rsidRPr="00B33BB6">
              <w:rPr>
                <w:rFonts w:eastAsia="Montserrat" w:cs="Arial"/>
                <w:i/>
                <w:szCs w:val="22"/>
              </w:rPr>
              <w:t xml:space="preserve"> j</w:t>
            </w:r>
            <w:r w:rsidRPr="00B33BB6">
              <w:rPr>
                <w:rFonts w:eastAsia="Montserrat" w:cs="Arial"/>
                <w:szCs w:val="22"/>
              </w:rPr>
              <w:t xml:space="preserve"> </w:t>
            </w:r>
          </w:p>
        </w:tc>
        <w:tc>
          <w:tcPr>
            <w:tcW w:w="1113" w:type="dxa"/>
          </w:tcPr>
          <w:p w14:paraId="25B6DB78"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e/TJ</w:t>
            </w:r>
          </w:p>
        </w:tc>
      </w:tr>
      <w:tr w:rsidR="00E95A8F" w:rsidRPr="00B33BB6" w14:paraId="4838C032" w14:textId="77777777" w:rsidTr="00420B43">
        <w:tc>
          <w:tcPr>
            <w:tcW w:w="1693" w:type="dxa"/>
          </w:tcPr>
          <w:p w14:paraId="05C61AD3"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proj,j,nonCO2</m:t>
                    </m:r>
                  </m:sub>
                </m:sSub>
              </m:oMath>
            </m:oMathPara>
          </w:p>
        </w:tc>
        <w:tc>
          <w:tcPr>
            <w:tcW w:w="6403" w:type="dxa"/>
          </w:tcPr>
          <w:p w14:paraId="1BFFCC13" w14:textId="77777777" w:rsidR="00E95A8F" w:rsidRPr="00B33BB6" w:rsidRDefault="00E95A8F">
            <w:pPr>
              <w:rPr>
                <w:rFonts w:eastAsia="Montserrat" w:cs="Arial"/>
                <w:szCs w:val="22"/>
              </w:rPr>
            </w:pPr>
            <w:r w:rsidRPr="00B33BB6">
              <w:rPr>
                <w:rFonts w:eastAsia="Montserrat" w:cs="Arial"/>
                <w:szCs w:val="22"/>
              </w:rPr>
              <w:t>Non-CO</w:t>
            </w:r>
            <w:r w:rsidRPr="00B33BB6">
              <w:rPr>
                <w:rFonts w:eastAsia="Montserrat" w:cs="Arial"/>
                <w:szCs w:val="22"/>
                <w:vertAlign w:val="subscript"/>
              </w:rPr>
              <w:t>2</w:t>
            </w:r>
            <w:r w:rsidRPr="00B33BB6">
              <w:rPr>
                <w:rFonts w:eastAsia="Montserrat" w:cs="Arial"/>
                <w:szCs w:val="22"/>
              </w:rPr>
              <w:t xml:space="preserve"> emission factor for project fuel </w:t>
            </w:r>
            <w:r w:rsidRPr="00B33BB6">
              <w:rPr>
                <w:rFonts w:eastAsia="Montserrat" w:cs="Arial"/>
                <w:i/>
                <w:szCs w:val="22"/>
              </w:rPr>
              <w:t>j</w:t>
            </w:r>
            <w:r w:rsidRPr="00B33BB6">
              <w:rPr>
                <w:rFonts w:eastAsia="Montserrat" w:cs="Arial"/>
                <w:szCs w:val="22"/>
              </w:rPr>
              <w:t xml:space="preserve"> </w:t>
            </w:r>
          </w:p>
        </w:tc>
        <w:tc>
          <w:tcPr>
            <w:tcW w:w="1113" w:type="dxa"/>
          </w:tcPr>
          <w:p w14:paraId="3F44A9F4"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e/TJ</w:t>
            </w:r>
          </w:p>
        </w:tc>
      </w:tr>
      <w:tr w:rsidR="00E95A8F" w:rsidRPr="00B33BB6" w14:paraId="5EE48FD7" w14:textId="77777777" w:rsidTr="00420B43">
        <w:tc>
          <w:tcPr>
            <w:tcW w:w="1693" w:type="dxa"/>
          </w:tcPr>
          <w:p w14:paraId="44320DBD"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proj,j,y</m:t>
                    </m:r>
                  </m:sub>
                </m:sSub>
              </m:oMath>
            </m:oMathPara>
          </w:p>
        </w:tc>
        <w:tc>
          <w:tcPr>
            <w:tcW w:w="6403" w:type="dxa"/>
          </w:tcPr>
          <w:p w14:paraId="4F45E1C1" w14:textId="2BCECA79" w:rsidR="00E95A8F" w:rsidRPr="00B33BB6" w:rsidRDefault="00E95A8F">
            <w:pPr>
              <w:rPr>
                <w:rFonts w:eastAsia="Montserrat" w:cs="Arial"/>
                <w:szCs w:val="22"/>
              </w:rPr>
            </w:pPr>
            <w:r w:rsidRPr="00B33BB6">
              <w:rPr>
                <w:rFonts w:eastAsia="Montserrat" w:cs="Arial"/>
                <w:szCs w:val="22"/>
              </w:rPr>
              <w:t>Upstream emissions for project fuel</w:t>
            </w:r>
            <w:r w:rsidRPr="00B33BB6">
              <w:rPr>
                <w:rFonts w:eastAsia="Montserrat" w:cs="Arial"/>
                <w:i/>
                <w:szCs w:val="22"/>
              </w:rPr>
              <w:t xml:space="preserve"> j in year y</w:t>
            </w:r>
            <w:r w:rsidRPr="00B33BB6">
              <w:rPr>
                <w:rFonts w:eastAsia="Montserrat" w:cs="Arial"/>
                <w:szCs w:val="22"/>
              </w:rPr>
              <w:t xml:space="preserve">, determined following </w:t>
            </w:r>
            <w:r w:rsidR="00E83E3B">
              <w:rPr>
                <w:rFonts w:eastAsia="Montserrat" w:cs="Arial"/>
                <w:szCs w:val="22"/>
              </w:rPr>
              <w:t>th</w:t>
            </w:r>
            <w:r w:rsidR="00E83E3B" w:rsidRPr="00D840A1">
              <w:rPr>
                <w:rFonts w:eastAsia="Montserrat" w:cs="Arial"/>
                <w:szCs w:val="22"/>
              </w:rPr>
              <w:t xml:space="preserve">e </w:t>
            </w:r>
            <w:r w:rsidR="00D840A1" w:rsidRPr="00D840A1">
              <w:rPr>
                <w:rFonts w:eastAsia="Montserrat" w:cs="Arial"/>
                <w:szCs w:val="22"/>
              </w:rPr>
              <w:t>“</w:t>
            </w:r>
            <w:r w:rsidR="00D840A1" w:rsidRPr="00D840A1">
              <w:rPr>
                <w:rFonts w:eastAsia="Montserrat" w:cs="Arial"/>
                <w:i/>
                <w:szCs w:val="22"/>
                <w:shd w:val="clear" w:color="auto" w:fill="FFFFFF"/>
              </w:rPr>
              <w:t xml:space="preserve">Upstream Emissions </w:t>
            </w:r>
            <w:r w:rsidR="00D840A1" w:rsidRPr="00D840A1">
              <w:rPr>
                <w:rFonts w:cs="Arial"/>
                <w:i/>
                <w:iCs/>
                <w:szCs w:val="22"/>
                <w:shd w:val="clear" w:color="auto" w:fill="FFFFFF"/>
              </w:rPr>
              <w:t>for the Project Scenario”</w:t>
            </w:r>
            <w:r w:rsidR="00D840A1">
              <w:rPr>
                <w:rFonts w:eastAsia="Montserrat" w:cs="Arial"/>
                <w:szCs w:val="22"/>
              </w:rPr>
              <w:t xml:space="preserve"> </w:t>
            </w:r>
            <w:r w:rsidR="00E83E3B">
              <w:rPr>
                <w:rFonts w:eastAsia="Montserrat" w:cs="Arial"/>
                <w:szCs w:val="22"/>
              </w:rPr>
              <w:t xml:space="preserve">requirements presented </w:t>
            </w:r>
            <w:r w:rsidR="00E83E3B" w:rsidRPr="00753474">
              <w:rPr>
                <w:rFonts w:eastAsia="Montserrat" w:cs="Arial"/>
                <w:szCs w:val="22"/>
              </w:rPr>
              <w:t xml:space="preserve">in </w:t>
            </w:r>
            <w:hyperlink w:anchor="S111" w:history="1">
              <w:r w:rsidRPr="00753474">
                <w:rPr>
                  <w:rStyle w:val="Hyperlink"/>
                  <w:rFonts w:eastAsia="Montserrat" w:cs="Arial"/>
                  <w:szCs w:val="22"/>
                  <w:lang w:val="en-GB"/>
                </w:rPr>
                <w:t>s</w:t>
              </w:r>
              <w:proofErr w:type="spellStart"/>
              <w:r w:rsidRPr="00753474">
                <w:rPr>
                  <w:rStyle w:val="Hyperlink"/>
                  <w:rFonts w:eastAsia="Montserrat" w:cs="Arial"/>
                  <w:szCs w:val="22"/>
                  <w:shd w:val="clear" w:color="auto" w:fill="FFFFFF"/>
                </w:rPr>
                <w:t>ection</w:t>
              </w:r>
              <w:proofErr w:type="spellEnd"/>
              <w:r w:rsidRPr="00753474">
                <w:rPr>
                  <w:rStyle w:val="Hyperlink"/>
                  <w:rFonts w:eastAsia="Montserrat" w:cs="Arial"/>
                  <w:szCs w:val="22"/>
                  <w:shd w:val="clear" w:color="auto" w:fill="FFFFFF"/>
                </w:rPr>
                <w:t xml:space="preserve"> </w:t>
              </w:r>
              <w:r w:rsidR="00D840A1" w:rsidRPr="00753474">
                <w:rPr>
                  <w:rStyle w:val="Hyperlink"/>
                  <w:rFonts w:cs="Arial"/>
                  <w:szCs w:val="22"/>
                  <w:shd w:val="clear" w:color="auto" w:fill="FFFFFF"/>
                </w:rPr>
                <w:t>11.1.</w:t>
              </w:r>
            </w:hyperlink>
          </w:p>
        </w:tc>
        <w:tc>
          <w:tcPr>
            <w:tcW w:w="1113" w:type="dxa"/>
          </w:tcPr>
          <w:p w14:paraId="46F277A3"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E95A8F" w:rsidRPr="00B33BB6" w14:paraId="6590F586" w14:textId="77777777" w:rsidTr="00420B43">
        <w:tc>
          <w:tcPr>
            <w:tcW w:w="1693" w:type="dxa"/>
          </w:tcPr>
          <w:p w14:paraId="016F0CF7"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elec,y</m:t>
                    </m:r>
                  </m:sub>
                </m:sSub>
              </m:oMath>
            </m:oMathPara>
          </w:p>
        </w:tc>
        <w:tc>
          <w:tcPr>
            <w:tcW w:w="6403" w:type="dxa"/>
          </w:tcPr>
          <w:p w14:paraId="1C511BC0" w14:textId="77777777" w:rsidR="00E95A8F" w:rsidRPr="00B33BB6" w:rsidRDefault="00E95A8F">
            <w:pPr>
              <w:rPr>
                <w:rFonts w:eastAsia="Montserrat" w:cs="Arial"/>
                <w:szCs w:val="22"/>
              </w:rPr>
            </w:pPr>
            <w:r w:rsidRPr="00B33BB6">
              <w:rPr>
                <w:rFonts w:eastAsia="Montserrat" w:cs="Arial"/>
                <w:szCs w:val="22"/>
              </w:rPr>
              <w:t xml:space="preserve">Emissions from electric energy consumption in year </w:t>
            </w:r>
            <w:r w:rsidRPr="00B33BB6">
              <w:rPr>
                <w:rFonts w:eastAsia="Montserrat" w:cs="Arial"/>
                <w:i/>
                <w:szCs w:val="22"/>
              </w:rPr>
              <w:t>y</w:t>
            </w:r>
            <w:r w:rsidRPr="00B33BB6">
              <w:rPr>
                <w:rFonts w:eastAsia="Montserrat" w:cs="Arial"/>
                <w:szCs w:val="22"/>
              </w:rPr>
              <w:t xml:space="preserve"> </w:t>
            </w:r>
          </w:p>
        </w:tc>
        <w:tc>
          <w:tcPr>
            <w:tcW w:w="1113" w:type="dxa"/>
          </w:tcPr>
          <w:p w14:paraId="6EA25B2E"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bl>
    <w:p w14:paraId="0527F6DE" w14:textId="77777777" w:rsidR="00E95A8F" w:rsidRPr="00B33BB6" w:rsidRDefault="00E95A8F" w:rsidP="00420B43">
      <w:pPr>
        <w:spacing w:before="240"/>
        <w:ind w:left="709"/>
        <w:rPr>
          <w:rFonts w:cs="Arial"/>
          <w:szCs w:val="22"/>
        </w:rPr>
      </w:pPr>
      <w:r w:rsidRPr="00B33BB6">
        <w:rPr>
          <w:rFonts w:eastAsia="Montserrat" w:cs="Arial"/>
          <w:szCs w:val="22"/>
        </w:rPr>
        <w:t xml:space="preserve">The continuously tracked energy consumption in the project scenario is determined by continuously tracking fuel or electricity for the project technology, or from fuel sales. </w:t>
      </w:r>
    </w:p>
    <w:p w14:paraId="69364650" w14:textId="77777777" w:rsidR="00E95A8F" w:rsidRPr="00B33BB6" w:rsidRDefault="00E95A8F" w:rsidP="00420B43">
      <w:pPr>
        <w:ind w:left="709"/>
        <w:rPr>
          <w:rFonts w:cs="Arial"/>
          <w:szCs w:val="22"/>
        </w:rPr>
      </w:pPr>
      <w:r w:rsidRPr="00B33BB6">
        <w:rPr>
          <w:rFonts w:eastAsia="Montserrat" w:cs="Arial"/>
          <w:szCs w:val="22"/>
        </w:rPr>
        <w:t xml:space="preserve"> </w:t>
      </w:r>
    </w:p>
    <w:p w14:paraId="62345695" w14:textId="77777777" w:rsidR="00E95A8F" w:rsidRPr="00B33BB6" w:rsidRDefault="00E95A8F" w:rsidP="00420B43">
      <w:pPr>
        <w:ind w:left="709"/>
        <w:rPr>
          <w:rFonts w:cs="Arial"/>
          <w:szCs w:val="22"/>
        </w:rPr>
      </w:pPr>
      <w:r w:rsidRPr="00B33BB6">
        <w:rPr>
          <w:rFonts w:eastAsia="Montserrat" w:cs="Arial"/>
          <w:szCs w:val="22"/>
        </w:rPr>
        <w:t>Other, non-project cookstoves that may be in use in the project scenario are ignored, and the baseline fuel consumption calculation only includes that which is displaced by the project cookstove.</w:t>
      </w:r>
    </w:p>
    <w:p w14:paraId="0CEA8513" w14:textId="77777777" w:rsidR="00E95A8F" w:rsidRPr="00B33BB6" w:rsidRDefault="00E95A8F" w:rsidP="00420B43">
      <w:pPr>
        <w:ind w:left="709"/>
        <w:rPr>
          <w:rFonts w:cs="Arial"/>
          <w:szCs w:val="22"/>
        </w:rPr>
      </w:pPr>
      <w:r w:rsidRPr="00B33BB6">
        <w:rPr>
          <w:rFonts w:eastAsia="Montserrat" w:cs="Arial"/>
          <w:szCs w:val="22"/>
        </w:rPr>
        <w:t xml:space="preserve"> </w:t>
      </w:r>
    </w:p>
    <w:p w14:paraId="1BFFCF72" w14:textId="77777777" w:rsidR="00E95A8F" w:rsidRPr="00B33BB6" w:rsidRDefault="00E95A8F" w:rsidP="00420B43">
      <w:pPr>
        <w:ind w:left="709"/>
        <w:rPr>
          <w:rFonts w:cs="Arial"/>
          <w:szCs w:val="22"/>
        </w:rPr>
      </w:pPr>
      <w:r w:rsidRPr="00B33BB6">
        <w:rPr>
          <w:rFonts w:eastAsia="Montserrat" w:cs="Arial"/>
          <w:szCs w:val="22"/>
        </w:rPr>
        <w:t>For CTEC project cookstoves:</w:t>
      </w:r>
    </w:p>
    <w:p w14:paraId="3FC5FBF7" w14:textId="77777777" w:rsidR="00E95A8F" w:rsidRPr="00B33BB6" w:rsidRDefault="00E95A8F" w:rsidP="00E95A8F">
      <w:pPr>
        <w:rPr>
          <w:rFonts w:eastAsia="Montserrat" w:cs="Arial"/>
          <w:szCs w:val="22"/>
        </w:rPr>
      </w:pPr>
    </w:p>
    <w:tbl>
      <w:tblPr>
        <w:tblW w:w="9214" w:type="dxa"/>
        <w:tblBorders>
          <w:top w:val="nil"/>
          <w:left w:val="nil"/>
          <w:bottom w:val="nil"/>
          <w:right w:val="nil"/>
          <w:insideH w:val="nil"/>
          <w:insideV w:val="nil"/>
        </w:tblBorders>
        <w:tblLayout w:type="fixed"/>
        <w:tblLook w:val="0400" w:firstRow="0" w:lastRow="0" w:firstColumn="0" w:lastColumn="0" w:noHBand="0" w:noVBand="1"/>
      </w:tblPr>
      <w:tblGrid>
        <w:gridCol w:w="8598"/>
        <w:gridCol w:w="616"/>
      </w:tblGrid>
      <w:tr w:rsidR="00E95A8F" w:rsidRPr="00B33BB6" w14:paraId="120D9742" w14:textId="77777777">
        <w:tc>
          <w:tcPr>
            <w:tcW w:w="8598" w:type="dxa"/>
            <w:vAlign w:val="center"/>
          </w:tcPr>
          <w:p w14:paraId="29600B5F" w14:textId="77777777" w:rsidR="00E95A8F" w:rsidRPr="00B33BB6" w:rsidRDefault="00000000">
            <w:pPr>
              <w:jc w:val="cente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r>
                  <w:rPr>
                    <w:rFonts w:ascii="Cambria Math" w:eastAsia="Cambria Math" w:hAnsi="Cambria Math" w:cs="Arial"/>
                    <w:szCs w:val="22"/>
                  </w:rPr>
                  <m:t xml:space="preserve">= </m:t>
                </m:r>
                <m:nary>
                  <m:naryPr>
                    <m:chr m:val="∑"/>
                    <m:limLoc m:val="undOvr"/>
                    <m:supHide m:val="1"/>
                    <m:ctrlPr>
                      <w:rPr>
                        <w:rFonts w:ascii="Cambria Math" w:eastAsia="Cambria Math" w:hAnsi="Cambria Math" w:cs="Arial"/>
                        <w:i/>
                        <w:szCs w:val="22"/>
                      </w:rPr>
                    </m:ctrlPr>
                  </m:naryPr>
                  <m:sub>
                    <m:r>
                      <w:rPr>
                        <w:rFonts w:ascii="Cambria Math" w:eastAsia="Cambria Math" w:hAnsi="Cambria Math" w:cs="Arial"/>
                        <w:szCs w:val="22"/>
                      </w:rPr>
                      <m:t>h</m:t>
                    </m:r>
                  </m:sub>
                  <m:sup/>
                  <m:e>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proj,j,h,y</m:t>
                        </m:r>
                      </m:sub>
                    </m:sSub>
                  </m:e>
                </m:nary>
              </m:oMath>
            </m:oMathPara>
          </w:p>
        </w:tc>
        <w:tc>
          <w:tcPr>
            <w:tcW w:w="616" w:type="dxa"/>
            <w:vAlign w:val="center"/>
          </w:tcPr>
          <w:p w14:paraId="64A110C7" w14:textId="77777777" w:rsidR="00E95A8F" w:rsidRPr="00B33BB6" w:rsidRDefault="00E95A8F">
            <w:pPr>
              <w:jc w:val="right"/>
              <w:rPr>
                <w:rFonts w:cs="Arial"/>
                <w:szCs w:val="22"/>
              </w:rPr>
            </w:pPr>
            <w:bookmarkStart w:id="65" w:name="e8"/>
            <w:r w:rsidRPr="00B33BB6">
              <w:rPr>
                <w:rFonts w:cs="Arial"/>
                <w:szCs w:val="22"/>
              </w:rPr>
              <w:t>(8)</w:t>
            </w:r>
            <w:bookmarkEnd w:id="65"/>
          </w:p>
        </w:tc>
      </w:tr>
    </w:tbl>
    <w:p w14:paraId="2E708735" w14:textId="77777777" w:rsidR="00E95A8F" w:rsidRPr="00B33BB6" w:rsidRDefault="00E95A8F" w:rsidP="00420B43">
      <w:pPr>
        <w:ind w:left="709"/>
        <w:rPr>
          <w:rFonts w:eastAsia="Montserrat" w:cs="Arial"/>
          <w:szCs w:val="22"/>
        </w:rPr>
      </w:pPr>
      <w:r w:rsidRPr="00B33BB6">
        <w:rPr>
          <w:rFonts w:eastAsia="Montserrat" w:cs="Arial"/>
          <w:szCs w:val="22"/>
        </w:rPr>
        <w:t>Where:</w:t>
      </w:r>
    </w:p>
    <w:p w14:paraId="2DFFD9FE" w14:textId="77777777" w:rsidR="00E95A8F" w:rsidRPr="00B33BB6" w:rsidRDefault="00E95A8F" w:rsidP="00E95A8F">
      <w:pPr>
        <w:rPr>
          <w:rFonts w:eastAsia="Montserrat" w:cs="Arial"/>
          <w:szCs w:val="22"/>
        </w:rPr>
      </w:pPr>
    </w:p>
    <w:tbl>
      <w:tblPr>
        <w:tblStyle w:val="TableGrid"/>
        <w:tblW w:w="9209" w:type="dxa"/>
        <w:tblInd w:w="596" w:type="dxa"/>
        <w:tblLook w:val="04A0" w:firstRow="1" w:lastRow="0" w:firstColumn="1" w:lastColumn="0" w:noHBand="0" w:noVBand="1"/>
      </w:tblPr>
      <w:tblGrid>
        <w:gridCol w:w="1653"/>
        <w:gridCol w:w="6139"/>
        <w:gridCol w:w="1417"/>
      </w:tblGrid>
      <w:tr w:rsidR="00E95A8F" w:rsidRPr="00B33BB6" w14:paraId="05017F7C" w14:textId="77777777" w:rsidTr="00420B43">
        <w:tc>
          <w:tcPr>
            <w:tcW w:w="1653" w:type="dxa"/>
          </w:tcPr>
          <w:p w14:paraId="4B5AA1AA" w14:textId="77777777" w:rsidR="00E95A8F" w:rsidRPr="00B33BB6" w:rsidRDefault="00E95A8F">
            <w:pPr>
              <w:rPr>
                <w:rFonts w:eastAsia="Montserrat" w:cs="Arial"/>
                <w:b/>
                <w:szCs w:val="22"/>
              </w:rPr>
            </w:pPr>
            <w:r w:rsidRPr="00B33BB6">
              <w:rPr>
                <w:rFonts w:eastAsia="Montserrat" w:cs="Arial"/>
                <w:b/>
                <w:szCs w:val="22"/>
              </w:rPr>
              <w:t>Parameter</w:t>
            </w:r>
          </w:p>
        </w:tc>
        <w:tc>
          <w:tcPr>
            <w:tcW w:w="6139" w:type="dxa"/>
          </w:tcPr>
          <w:p w14:paraId="6EF8E008" w14:textId="77777777" w:rsidR="00E95A8F" w:rsidRPr="00B33BB6" w:rsidRDefault="00E95A8F">
            <w:pPr>
              <w:rPr>
                <w:rFonts w:eastAsia="Montserrat" w:cs="Arial"/>
                <w:b/>
                <w:szCs w:val="22"/>
              </w:rPr>
            </w:pPr>
            <w:r w:rsidRPr="00B33BB6">
              <w:rPr>
                <w:rFonts w:eastAsia="Montserrat" w:cs="Arial"/>
                <w:b/>
                <w:szCs w:val="22"/>
              </w:rPr>
              <w:t>Description</w:t>
            </w:r>
          </w:p>
        </w:tc>
        <w:tc>
          <w:tcPr>
            <w:tcW w:w="1417" w:type="dxa"/>
          </w:tcPr>
          <w:p w14:paraId="5CB7749C" w14:textId="77777777" w:rsidR="00E95A8F" w:rsidRPr="00B33BB6" w:rsidRDefault="00E95A8F">
            <w:pPr>
              <w:rPr>
                <w:rFonts w:eastAsia="Montserrat" w:cs="Arial"/>
                <w:b/>
                <w:szCs w:val="22"/>
              </w:rPr>
            </w:pPr>
            <w:r w:rsidRPr="00B33BB6">
              <w:rPr>
                <w:rFonts w:eastAsia="Montserrat" w:cs="Arial"/>
                <w:b/>
                <w:szCs w:val="22"/>
              </w:rPr>
              <w:t>Unit</w:t>
            </w:r>
          </w:p>
        </w:tc>
      </w:tr>
      <w:tr w:rsidR="00E95A8F" w:rsidRPr="00B33BB6" w14:paraId="01CB5702" w14:textId="77777777" w:rsidTr="00420B43">
        <w:tc>
          <w:tcPr>
            <w:tcW w:w="1653" w:type="dxa"/>
          </w:tcPr>
          <w:p w14:paraId="2584605C" w14:textId="77777777" w:rsidR="00E95A8F"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oMath>
            </m:oMathPara>
          </w:p>
        </w:tc>
        <w:tc>
          <w:tcPr>
            <w:tcW w:w="6139" w:type="dxa"/>
          </w:tcPr>
          <w:p w14:paraId="6271789F" w14:textId="77777777" w:rsidR="00E95A8F" w:rsidRPr="00B33BB6" w:rsidRDefault="00E95A8F">
            <w:pPr>
              <w:rPr>
                <w:rFonts w:eastAsia="Montserrat" w:cs="Arial"/>
                <w:b/>
                <w:szCs w:val="22"/>
              </w:rPr>
            </w:pPr>
            <w:r w:rsidRPr="00B33BB6">
              <w:rPr>
                <w:rFonts w:eastAsia="Montserrat" w:cs="Arial"/>
                <w:szCs w:val="22"/>
              </w:rPr>
              <w:t xml:space="preserve">Total tracked energy consumption of project fuel </w:t>
            </w:r>
            <w:r w:rsidRPr="00B33BB6">
              <w:rPr>
                <w:rFonts w:eastAsia="Montserrat" w:cs="Arial"/>
                <w:i/>
                <w:szCs w:val="22"/>
              </w:rPr>
              <w:t xml:space="preserve">j </w:t>
            </w:r>
            <w:r w:rsidRPr="00B33BB6">
              <w:rPr>
                <w:rFonts w:eastAsia="Montserrat" w:cs="Arial"/>
                <w:szCs w:val="22"/>
              </w:rPr>
              <w:t xml:space="preserve">for CTEC projects in year </w:t>
            </w:r>
            <w:r w:rsidRPr="00B33BB6">
              <w:rPr>
                <w:rFonts w:eastAsia="Montserrat" w:cs="Arial"/>
                <w:i/>
                <w:szCs w:val="22"/>
              </w:rPr>
              <w:t>y</w:t>
            </w:r>
            <w:r w:rsidRPr="00B33BB6">
              <w:rPr>
                <w:rFonts w:eastAsia="Montserrat" w:cs="Arial"/>
                <w:szCs w:val="22"/>
              </w:rPr>
              <w:t xml:space="preserve"> </w:t>
            </w:r>
          </w:p>
        </w:tc>
        <w:tc>
          <w:tcPr>
            <w:tcW w:w="1417" w:type="dxa"/>
          </w:tcPr>
          <w:p w14:paraId="362D4560" w14:textId="77777777" w:rsidR="00E95A8F" w:rsidRPr="00B33BB6" w:rsidRDefault="00E95A8F">
            <w:pPr>
              <w:rPr>
                <w:rFonts w:eastAsia="Montserrat" w:cs="Arial"/>
                <w:b/>
                <w:szCs w:val="22"/>
              </w:rPr>
            </w:pPr>
            <w:r w:rsidRPr="00B33BB6">
              <w:rPr>
                <w:rFonts w:eastAsia="Montserrat" w:cs="Arial"/>
                <w:szCs w:val="22"/>
              </w:rPr>
              <w:t>TJ</w:t>
            </w:r>
          </w:p>
        </w:tc>
      </w:tr>
      <w:tr w:rsidR="00E95A8F" w:rsidRPr="00B33BB6" w14:paraId="574E2C27" w14:textId="77777777" w:rsidTr="00420B43">
        <w:tc>
          <w:tcPr>
            <w:tcW w:w="1653" w:type="dxa"/>
          </w:tcPr>
          <w:p w14:paraId="70D5A71D"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proj,j,h,y</m:t>
                    </m:r>
                  </m:sub>
                </m:sSub>
              </m:oMath>
            </m:oMathPara>
          </w:p>
        </w:tc>
        <w:tc>
          <w:tcPr>
            <w:tcW w:w="6139" w:type="dxa"/>
          </w:tcPr>
          <w:p w14:paraId="4F78F700" w14:textId="77777777" w:rsidR="00E95A8F" w:rsidRPr="00B33BB6" w:rsidRDefault="00E95A8F">
            <w:pPr>
              <w:rPr>
                <w:rFonts w:eastAsia="Montserrat" w:cs="Arial"/>
                <w:szCs w:val="22"/>
              </w:rPr>
            </w:pPr>
            <w:r w:rsidRPr="00B33BB6">
              <w:rPr>
                <w:rFonts w:eastAsia="Montserrat" w:cs="Arial"/>
                <w:szCs w:val="22"/>
              </w:rPr>
              <w:t xml:space="preserve">Tracked energy consumption of project fuel </w:t>
            </w:r>
            <w:r w:rsidRPr="00B33BB6">
              <w:rPr>
                <w:rFonts w:eastAsia="Montserrat" w:cs="Arial"/>
                <w:i/>
                <w:szCs w:val="22"/>
              </w:rPr>
              <w:t>j</w:t>
            </w:r>
            <w:r w:rsidRPr="00B33BB6">
              <w:rPr>
                <w:rFonts w:eastAsia="Montserrat" w:cs="Arial"/>
                <w:szCs w:val="22"/>
              </w:rPr>
              <w:t xml:space="preserve"> in project household </w:t>
            </w:r>
            <w:r w:rsidRPr="00B33BB6">
              <w:rPr>
                <w:rFonts w:eastAsia="Montserrat" w:cs="Arial"/>
                <w:i/>
                <w:szCs w:val="22"/>
              </w:rPr>
              <w:t>h</w:t>
            </w:r>
            <w:r w:rsidRPr="00B33BB6">
              <w:rPr>
                <w:rFonts w:eastAsia="Montserrat" w:cs="Arial"/>
                <w:szCs w:val="22"/>
              </w:rPr>
              <w:t xml:space="preserve"> in year </w:t>
            </w:r>
            <w:r w:rsidRPr="00B33BB6">
              <w:rPr>
                <w:rFonts w:eastAsia="Montserrat" w:cs="Arial"/>
                <w:i/>
                <w:szCs w:val="22"/>
              </w:rPr>
              <w:t>y</w:t>
            </w:r>
            <w:r w:rsidRPr="00B33BB6">
              <w:rPr>
                <w:rFonts w:eastAsia="Montserrat" w:cs="Arial"/>
                <w:szCs w:val="22"/>
              </w:rPr>
              <w:t xml:space="preserve"> </w:t>
            </w:r>
          </w:p>
        </w:tc>
        <w:tc>
          <w:tcPr>
            <w:tcW w:w="1417" w:type="dxa"/>
          </w:tcPr>
          <w:p w14:paraId="6EA8A851" w14:textId="77777777" w:rsidR="00E95A8F" w:rsidRPr="00B33BB6" w:rsidRDefault="00E95A8F">
            <w:pPr>
              <w:rPr>
                <w:rFonts w:eastAsia="Montserrat" w:cs="Arial"/>
                <w:szCs w:val="22"/>
              </w:rPr>
            </w:pPr>
            <w:r w:rsidRPr="00B33BB6">
              <w:rPr>
                <w:rFonts w:eastAsia="Montserrat" w:cs="Arial"/>
                <w:szCs w:val="22"/>
              </w:rPr>
              <w:t>TJ</w:t>
            </w:r>
          </w:p>
        </w:tc>
      </w:tr>
      <w:tr w:rsidR="00E95A8F" w:rsidRPr="00B33BB6" w14:paraId="65B997B8" w14:textId="77777777" w:rsidTr="00420B43">
        <w:tc>
          <w:tcPr>
            <w:tcW w:w="1653" w:type="dxa"/>
          </w:tcPr>
          <w:p w14:paraId="6D00B041" w14:textId="77777777" w:rsidR="00E95A8F" w:rsidRPr="00B33BB6" w:rsidRDefault="0001396C">
            <w:pPr>
              <w:rPr>
                <w:rFonts w:cs="Arial"/>
                <w:szCs w:val="22"/>
              </w:rPr>
            </w:pPr>
            <m:oMathPara>
              <m:oMath>
                <m:r>
                  <w:rPr>
                    <w:rFonts w:ascii="Cambria Math" w:eastAsia="Montserrat" w:hAnsi="Cambria Math" w:cs="Arial"/>
                    <w:szCs w:val="22"/>
                  </w:rPr>
                  <m:t>h</m:t>
                </m:r>
              </m:oMath>
            </m:oMathPara>
          </w:p>
        </w:tc>
        <w:tc>
          <w:tcPr>
            <w:tcW w:w="6139" w:type="dxa"/>
          </w:tcPr>
          <w:p w14:paraId="4E769085" w14:textId="77777777" w:rsidR="00E95A8F" w:rsidRPr="00B33BB6" w:rsidRDefault="00E95A8F">
            <w:pPr>
              <w:rPr>
                <w:rFonts w:eastAsia="Montserrat" w:cs="Arial"/>
                <w:szCs w:val="22"/>
              </w:rPr>
            </w:pPr>
            <w:r w:rsidRPr="00B33BB6">
              <w:rPr>
                <w:rFonts w:eastAsia="Montserrat" w:cs="Arial"/>
                <w:szCs w:val="22"/>
              </w:rPr>
              <w:t>Project households</w:t>
            </w:r>
          </w:p>
        </w:tc>
        <w:tc>
          <w:tcPr>
            <w:tcW w:w="1417" w:type="dxa"/>
          </w:tcPr>
          <w:p w14:paraId="35930F2A" w14:textId="77777777" w:rsidR="00E95A8F" w:rsidRPr="00B33BB6" w:rsidRDefault="00E95A8F">
            <w:pPr>
              <w:rPr>
                <w:rFonts w:eastAsia="Montserrat" w:cs="Arial"/>
                <w:szCs w:val="22"/>
              </w:rPr>
            </w:pPr>
            <w:r w:rsidRPr="00B33BB6">
              <w:rPr>
                <w:rFonts w:eastAsia="Montserrat" w:cs="Arial"/>
                <w:szCs w:val="22"/>
              </w:rPr>
              <w:t>Number</w:t>
            </w:r>
          </w:p>
        </w:tc>
      </w:tr>
    </w:tbl>
    <w:p w14:paraId="1BFE6967" w14:textId="77777777" w:rsidR="00E95A8F" w:rsidRPr="00B33BB6" w:rsidRDefault="00E95A8F" w:rsidP="00E95A8F">
      <w:pPr>
        <w:rPr>
          <w:rFonts w:eastAsia="Montserrat" w:cs="Arial"/>
          <w:szCs w:val="22"/>
        </w:rPr>
      </w:pPr>
    </w:p>
    <w:p w14:paraId="0A1E5C0E" w14:textId="3DFB6E78" w:rsidR="00E95A8F" w:rsidRPr="00B33BB6" w:rsidRDefault="00E95A8F" w:rsidP="00420B43">
      <w:pPr>
        <w:ind w:left="709"/>
        <w:rPr>
          <w:rFonts w:eastAsia="Montserrat" w:cs="Arial"/>
          <w:szCs w:val="22"/>
        </w:rPr>
      </w:pPr>
      <w:r w:rsidRPr="00B33BB6">
        <w:rPr>
          <w:rFonts w:eastAsia="Montserrat" w:cs="Arial"/>
          <w:szCs w:val="22"/>
        </w:rPr>
        <w:t xml:space="preserve">For </w:t>
      </w:r>
      <w:r w:rsidRPr="00B33BB6">
        <w:rPr>
          <w:rFonts w:eastAsia="Montserrat" w:cs="Arial"/>
          <w:b/>
          <w:szCs w:val="22"/>
        </w:rPr>
        <w:t>project energy sources other than electricity</w:t>
      </w:r>
      <w:r w:rsidRPr="00B33BB6">
        <w:rPr>
          <w:rFonts w:eastAsia="Montserrat" w:cs="Arial"/>
          <w:szCs w:val="22"/>
        </w:rPr>
        <w:t xml:space="preserve">, </w:t>
      </w:r>
      <w:r w:rsidRPr="003A1A70">
        <w:rPr>
          <w:rFonts w:eastAsia="Montserrat" w:cs="Arial"/>
          <w:szCs w:val="22"/>
        </w:rPr>
        <w:t xml:space="preserve">use </w:t>
      </w:r>
      <w:hyperlink w:anchor="e1" w:history="1">
        <w:r w:rsidRPr="003A1A70">
          <w:rPr>
            <w:rStyle w:val="Hyperlink"/>
            <w:rFonts w:eastAsia="Montserrat" w:cs="Arial"/>
            <w:szCs w:val="22"/>
          </w:rPr>
          <w:t>Equation (1)</w:t>
        </w:r>
      </w:hyperlink>
      <w:r w:rsidRPr="003A1A70">
        <w:rPr>
          <w:rFonts w:eastAsia="Montserrat" w:cs="Arial"/>
          <w:szCs w:val="22"/>
        </w:rPr>
        <w:t xml:space="preserve"> to</w:t>
      </w:r>
      <w:r w:rsidRPr="00B33BB6">
        <w:rPr>
          <w:rFonts w:eastAsia="Montserrat" w:cs="Arial"/>
          <w:szCs w:val="22"/>
        </w:rPr>
        <w:t xml:space="preserve"> convert fuel masses to fuel energy. </w:t>
      </w:r>
    </w:p>
    <w:p w14:paraId="49BE2B13" w14:textId="77777777" w:rsidR="00E95A8F" w:rsidRPr="00B33BB6" w:rsidRDefault="00E95A8F" w:rsidP="00420B43">
      <w:pPr>
        <w:ind w:left="709"/>
        <w:rPr>
          <w:rFonts w:eastAsia="Montserrat" w:cs="Arial"/>
          <w:b/>
          <w:szCs w:val="22"/>
        </w:rPr>
      </w:pPr>
    </w:p>
    <w:p w14:paraId="1F875544" w14:textId="77777777" w:rsidR="00E95A8F" w:rsidRPr="00B33BB6" w:rsidRDefault="00E95A8F" w:rsidP="00420B43">
      <w:pPr>
        <w:ind w:left="709"/>
        <w:rPr>
          <w:rFonts w:eastAsia="Montserrat" w:cs="Arial"/>
          <w:szCs w:val="22"/>
        </w:rPr>
      </w:pPr>
      <w:r w:rsidRPr="00B33BB6">
        <w:rPr>
          <w:rFonts w:eastAsia="Montserrat" w:cs="Arial"/>
          <w:szCs w:val="22"/>
        </w:rPr>
        <w:lastRenderedPageBreak/>
        <w:t xml:space="preserve">If the </w:t>
      </w:r>
      <w:r w:rsidRPr="00B33BB6">
        <w:rPr>
          <w:rFonts w:eastAsia="Montserrat" w:cs="Arial"/>
          <w:b/>
          <w:szCs w:val="22"/>
        </w:rPr>
        <w:t>project cookstove uses electricity</w:t>
      </w:r>
      <w:r w:rsidRPr="00B33BB6">
        <w:rPr>
          <w:rFonts w:eastAsia="Montserrat" w:cs="Arial"/>
          <w:szCs w:val="22"/>
        </w:rPr>
        <w:t>, coming from either the national grid or an off-grid system(s) using renewable or non-renewable energy sources, its project emissions and electricity consumption must be calculated using Equation (9) and Equation (10)</w:t>
      </w:r>
      <w:r w:rsidRPr="00B33BB6">
        <w:rPr>
          <w:rFonts w:cs="Arial"/>
          <w:szCs w:val="22"/>
        </w:rPr>
        <w:t>, and/or Equation (11)</w:t>
      </w:r>
      <w:r w:rsidRPr="00B33BB6">
        <w:rPr>
          <w:rFonts w:eastAsia="Montserrat" w:cs="Arial"/>
          <w:szCs w:val="22"/>
        </w:rPr>
        <w:t>.</w:t>
      </w:r>
    </w:p>
    <w:p w14:paraId="25DED19E" w14:textId="77777777" w:rsidR="00E95A8F" w:rsidRPr="00B33BB6" w:rsidRDefault="00E95A8F" w:rsidP="00E95A8F">
      <w:pPr>
        <w:rPr>
          <w:rFonts w:eastAsia="Montserrat" w:cs="Arial"/>
          <w:szCs w:val="22"/>
        </w:rPr>
      </w:pPr>
    </w:p>
    <w:tbl>
      <w:tblPr>
        <w:tblW w:w="9214" w:type="dxa"/>
        <w:tblInd w:w="601" w:type="dxa"/>
        <w:tblBorders>
          <w:top w:val="nil"/>
          <w:left w:val="nil"/>
          <w:bottom w:val="nil"/>
          <w:right w:val="nil"/>
          <w:insideH w:val="nil"/>
          <w:insideV w:val="nil"/>
        </w:tblBorders>
        <w:tblLayout w:type="fixed"/>
        <w:tblLook w:val="0400" w:firstRow="0" w:lastRow="0" w:firstColumn="0" w:lastColumn="0" w:noHBand="0" w:noVBand="1"/>
      </w:tblPr>
      <w:tblGrid>
        <w:gridCol w:w="8598"/>
        <w:gridCol w:w="616"/>
      </w:tblGrid>
      <w:tr w:rsidR="00E95A8F" w:rsidRPr="00B33BB6" w14:paraId="05975261" w14:textId="77777777" w:rsidTr="00753474">
        <w:tc>
          <w:tcPr>
            <w:tcW w:w="8598" w:type="dxa"/>
          </w:tcPr>
          <w:p w14:paraId="701C71E9" w14:textId="77777777" w:rsidR="00E95A8F" w:rsidRPr="00B33BB6" w:rsidRDefault="00000000">
            <w:pPr>
              <w:jc w:val="center"/>
              <w:rPr>
                <w:rFonts w:eastAsia="Cambria Math" w:cs="Arial"/>
                <w:sz w:val="20"/>
              </w:rPr>
            </w:pPr>
            <m:oMath>
              <m:sSub>
                <m:sSubPr>
                  <m:ctrlPr>
                    <w:rPr>
                      <w:rFonts w:ascii="Cambria Math" w:eastAsia="Cambria Math" w:hAnsi="Cambria Math" w:cs="Arial"/>
                      <w:sz w:val="20"/>
                    </w:rPr>
                  </m:ctrlPr>
                </m:sSubPr>
                <m:e>
                  <m:r>
                    <w:rPr>
                      <w:rFonts w:ascii="Cambria Math" w:eastAsia="Cambria Math" w:hAnsi="Cambria Math" w:cs="Arial"/>
                      <w:sz w:val="20"/>
                    </w:rPr>
                    <m:t>PE</m:t>
                  </m:r>
                </m:e>
                <m:sub>
                  <m:r>
                    <w:rPr>
                      <w:rFonts w:ascii="Cambria Math" w:eastAsia="Cambria Math" w:hAnsi="Cambria Math" w:cs="Arial"/>
                      <w:sz w:val="20"/>
                    </w:rPr>
                    <m:t>elec,y</m:t>
                  </m:r>
                </m:sub>
              </m:sSub>
              <m:r>
                <w:rPr>
                  <w:rFonts w:ascii="Cambria Math" w:eastAsia="Cambria Math" w:hAnsi="Cambria Math" w:cs="Arial"/>
                  <w:sz w:val="20"/>
                </w:rPr>
                <m:t>=</m:t>
              </m:r>
              <m:sSup>
                <m:sSupPr>
                  <m:ctrlPr>
                    <w:rPr>
                      <w:rFonts w:ascii="Cambria Math" w:eastAsia="Cambria Math" w:hAnsi="Cambria Math" w:cs="Arial"/>
                      <w:sz w:val="20"/>
                    </w:rPr>
                  </m:ctrlPr>
                </m:sSupPr>
                <m:e>
                  <m:r>
                    <w:rPr>
                      <w:rFonts w:ascii="Cambria Math" w:eastAsia="Cambria Math" w:hAnsi="Cambria Math" w:cs="Arial"/>
                      <w:sz w:val="20"/>
                    </w:rPr>
                    <m:t>10</m:t>
                  </m:r>
                </m:e>
                <m:sup>
                  <m:r>
                    <w:rPr>
                      <w:rFonts w:ascii="Cambria Math" w:eastAsia="Cambria Math" w:hAnsi="Cambria Math" w:cs="Arial"/>
                      <w:sz w:val="20"/>
                    </w:rPr>
                    <m:t>-6</m:t>
                  </m:r>
                </m:sup>
              </m:sSup>
              <m:r>
                <w:rPr>
                  <w:rFonts w:ascii="Cambria Math" w:eastAsia="Cambria Math" w:hAnsi="Cambria Math" w:cs="Arial"/>
                  <w:sz w:val="20"/>
                </w:rPr>
                <m:t>×[</m:t>
              </m:r>
              <m:f>
                <m:fPr>
                  <m:ctrlPr>
                    <w:rPr>
                      <w:rFonts w:ascii="Cambria Math" w:eastAsia="Cambria Math" w:hAnsi="Cambria Math" w:cs="Arial"/>
                      <w:i/>
                      <w:sz w:val="20"/>
                    </w:rPr>
                  </m:ctrlPr>
                </m:fPr>
                <m:num>
                  <m:sSub>
                    <m:sSubPr>
                      <m:ctrlPr>
                        <w:rPr>
                          <w:rFonts w:ascii="Cambria Math" w:eastAsia="Cambria Math" w:hAnsi="Cambria Math" w:cs="Arial"/>
                          <w:sz w:val="20"/>
                        </w:rPr>
                      </m:ctrlPr>
                    </m:sSubPr>
                    <m:e>
                      <m:r>
                        <w:rPr>
                          <w:rFonts w:ascii="Cambria Math" w:eastAsia="Cambria Math" w:hAnsi="Cambria Math" w:cs="Arial"/>
                          <w:sz w:val="20"/>
                        </w:rPr>
                        <m:t>tEC</m:t>
                      </m:r>
                    </m:e>
                    <m:sub>
                      <m:r>
                        <w:rPr>
                          <w:rFonts w:ascii="Cambria Math" w:eastAsia="Cambria Math" w:hAnsi="Cambria Math" w:cs="Arial"/>
                          <w:sz w:val="20"/>
                        </w:rPr>
                        <m:t>proj,grid,y</m:t>
                      </m:r>
                    </m:sub>
                  </m:sSub>
                  <m:r>
                    <w:rPr>
                      <w:rFonts w:ascii="Cambria Math" w:eastAsia="Cambria Math" w:hAnsi="Cambria Math" w:cs="Arial"/>
                      <w:sz w:val="20"/>
                    </w:rPr>
                    <m:t>×</m:t>
                  </m:r>
                  <m:sSub>
                    <m:sSubPr>
                      <m:ctrlPr>
                        <w:rPr>
                          <w:rFonts w:ascii="Cambria Math" w:eastAsia="Cambria Math" w:hAnsi="Cambria Math" w:cs="Arial"/>
                          <w:sz w:val="20"/>
                        </w:rPr>
                      </m:ctrlPr>
                    </m:sSubPr>
                    <m:e>
                      <m:r>
                        <w:rPr>
                          <w:rFonts w:ascii="Cambria Math" w:eastAsia="Cambria Math" w:hAnsi="Cambria Math" w:cs="Arial"/>
                          <w:sz w:val="20"/>
                        </w:rPr>
                        <m:t>EF</m:t>
                      </m:r>
                    </m:e>
                    <m:sub>
                      <m:r>
                        <w:rPr>
                          <w:rFonts w:ascii="Cambria Math" w:eastAsia="Cambria Math" w:hAnsi="Cambria Math" w:cs="Arial"/>
                          <w:sz w:val="20"/>
                        </w:rPr>
                        <m:t>proj,grid,y</m:t>
                      </m:r>
                    </m:sub>
                  </m:sSub>
                </m:num>
                <m:den>
                  <m:r>
                    <w:rPr>
                      <w:rFonts w:ascii="Cambria Math" w:eastAsia="Cambria Math" w:hAnsi="Cambria Math" w:cs="Arial"/>
                      <w:sz w:val="20"/>
                    </w:rPr>
                    <m:t>1-</m:t>
                  </m:r>
                  <m:sSub>
                    <m:sSubPr>
                      <m:ctrlPr>
                        <w:rPr>
                          <w:rFonts w:ascii="Cambria Math" w:eastAsia="Cambria Math" w:hAnsi="Cambria Math" w:cs="Arial"/>
                          <w:i/>
                          <w:sz w:val="20"/>
                        </w:rPr>
                      </m:ctrlPr>
                    </m:sSubPr>
                    <m:e>
                      <m:r>
                        <w:rPr>
                          <w:rFonts w:ascii="Cambria Math" w:eastAsia="Cambria Math" w:hAnsi="Cambria Math" w:cs="Arial"/>
                          <w:sz w:val="20"/>
                        </w:rPr>
                        <m:t>TDL</m:t>
                      </m:r>
                    </m:e>
                    <m:sub>
                      <m:r>
                        <w:rPr>
                          <w:rFonts w:ascii="Cambria Math" w:eastAsia="Cambria Math" w:hAnsi="Cambria Math" w:cs="Arial"/>
                          <w:sz w:val="20"/>
                        </w:rPr>
                        <m:t>y</m:t>
                      </m:r>
                    </m:sub>
                  </m:sSub>
                </m:den>
              </m:f>
              <m:r>
                <w:rPr>
                  <w:rFonts w:ascii="Cambria Math" w:eastAsia="Cambria Math" w:hAnsi="Cambria Math" w:cs="Arial"/>
                  <w:sz w:val="20"/>
                </w:rPr>
                <m:t>+</m:t>
              </m:r>
              <m:d>
                <m:dPr>
                  <m:ctrlPr>
                    <w:rPr>
                      <w:rFonts w:ascii="Cambria Math" w:eastAsia="Cambria Math" w:hAnsi="Cambria Math" w:cs="Arial"/>
                      <w:sz w:val="20"/>
                    </w:rPr>
                  </m:ctrlPr>
                </m:dPr>
                <m:e>
                  <m:sSub>
                    <m:sSubPr>
                      <m:ctrlPr>
                        <w:rPr>
                          <w:rFonts w:ascii="Cambria Math" w:eastAsia="Cambria Math" w:hAnsi="Cambria Math" w:cs="Arial"/>
                          <w:sz w:val="20"/>
                        </w:rPr>
                      </m:ctrlPr>
                    </m:sSubPr>
                    <m:e>
                      <m:r>
                        <w:rPr>
                          <w:rFonts w:ascii="Cambria Math" w:eastAsia="Cambria Math" w:hAnsi="Cambria Math" w:cs="Arial"/>
                          <w:sz w:val="20"/>
                        </w:rPr>
                        <m:t>tEC</m:t>
                      </m:r>
                    </m:e>
                    <m:sub>
                      <m:r>
                        <w:rPr>
                          <w:rFonts w:ascii="Cambria Math" w:eastAsia="Cambria Math" w:hAnsi="Cambria Math" w:cs="Arial"/>
                          <w:sz w:val="20"/>
                        </w:rPr>
                        <m:t>proj,offgrid,y</m:t>
                      </m:r>
                    </m:sub>
                  </m:sSub>
                  <m:r>
                    <w:rPr>
                      <w:rFonts w:ascii="Cambria Math" w:eastAsia="Cambria Math" w:hAnsi="Cambria Math" w:cs="Arial"/>
                      <w:sz w:val="20"/>
                    </w:rPr>
                    <m:t>×</m:t>
                  </m:r>
                  <m:nary>
                    <m:naryPr>
                      <m:chr m:val="∑"/>
                      <m:supHide m:val="1"/>
                      <m:ctrlPr>
                        <w:rPr>
                          <w:rFonts w:ascii="Cambria Math" w:eastAsia="Cambria Math" w:hAnsi="Cambria Math" w:cs="Arial"/>
                          <w:sz w:val="20"/>
                        </w:rPr>
                      </m:ctrlPr>
                    </m:naryPr>
                    <m:sub>
                      <m:r>
                        <w:rPr>
                          <w:rFonts w:ascii="Cambria Math" w:eastAsia="Cambria Math" w:hAnsi="Cambria Math" w:cs="Arial"/>
                          <w:sz w:val="20"/>
                        </w:rPr>
                        <m:t>k</m:t>
                      </m:r>
                    </m:sub>
                    <m:sup/>
                    <m:e>
                      <m:r>
                        <w:rPr>
                          <w:rFonts w:ascii="Cambria Math" w:eastAsia="Cambria Math" w:hAnsi="Cambria Math" w:cs="Arial"/>
                          <w:sz w:val="20"/>
                        </w:rPr>
                        <m:t xml:space="preserve"> </m:t>
                      </m:r>
                    </m:e>
                  </m:nary>
                  <m:sSub>
                    <m:sSubPr>
                      <m:ctrlPr>
                        <w:rPr>
                          <w:rFonts w:ascii="Cambria Math" w:eastAsia="Cambria Math" w:hAnsi="Cambria Math" w:cs="Arial"/>
                          <w:sz w:val="20"/>
                        </w:rPr>
                      </m:ctrlPr>
                    </m:sSubPr>
                    <m:e>
                      <m:sSub>
                        <m:sSubPr>
                          <m:ctrlPr>
                            <w:rPr>
                              <w:rFonts w:ascii="Cambria Math" w:eastAsia="Cambria Math" w:hAnsi="Cambria Math" w:cs="Arial"/>
                              <w:sz w:val="20"/>
                            </w:rPr>
                          </m:ctrlPr>
                        </m:sSubPr>
                        <m:e>
                          <m:r>
                            <w:rPr>
                              <w:rFonts w:ascii="Cambria Math" w:eastAsia="Cambria Math" w:hAnsi="Cambria Math" w:cs="Arial"/>
                              <w:sz w:val="20"/>
                            </w:rPr>
                            <m:t>f</m:t>
                          </m:r>
                        </m:e>
                        <m:sub>
                          <m:r>
                            <w:rPr>
                              <w:rFonts w:ascii="Cambria Math" w:eastAsia="Cambria Math" w:hAnsi="Cambria Math" w:cs="Arial"/>
                              <w:sz w:val="20"/>
                            </w:rPr>
                            <m:t>k,y</m:t>
                          </m:r>
                        </m:sub>
                      </m:sSub>
                      <m:r>
                        <w:rPr>
                          <w:rFonts w:ascii="Cambria Math" w:eastAsia="Cambria Math" w:hAnsi="Cambria Math" w:cs="Arial"/>
                          <w:sz w:val="20"/>
                        </w:rPr>
                        <m:t>×EF</m:t>
                      </m:r>
                    </m:e>
                    <m:sub>
                      <m:r>
                        <w:rPr>
                          <w:rFonts w:ascii="Cambria Math" w:eastAsia="Cambria Math" w:hAnsi="Cambria Math" w:cs="Arial"/>
                          <w:sz w:val="20"/>
                        </w:rPr>
                        <m:t>proj,offgrid,k</m:t>
                      </m:r>
                    </m:sub>
                  </m:sSub>
                </m:e>
              </m:d>
            </m:oMath>
            <w:r w:rsidR="00E95A8F" w:rsidRPr="00B33BB6">
              <w:rPr>
                <w:rFonts w:eastAsia="Cambria Math" w:cs="Arial"/>
                <w:sz w:val="20"/>
              </w:rPr>
              <w:t>]</w:t>
            </w:r>
          </w:p>
          <w:p w14:paraId="0E4AFDD8" w14:textId="77777777" w:rsidR="00E95A8F" w:rsidRPr="00B33BB6" w:rsidRDefault="00E95A8F">
            <w:pPr>
              <w:rPr>
                <w:rFonts w:cs="Arial"/>
                <w:szCs w:val="22"/>
              </w:rPr>
            </w:pPr>
          </w:p>
        </w:tc>
        <w:tc>
          <w:tcPr>
            <w:tcW w:w="616" w:type="dxa"/>
          </w:tcPr>
          <w:p w14:paraId="6DF9073B" w14:textId="77777777" w:rsidR="00E95A8F" w:rsidRPr="00B33BB6" w:rsidRDefault="00E95A8F">
            <w:pPr>
              <w:jc w:val="right"/>
              <w:rPr>
                <w:rFonts w:cs="Arial"/>
                <w:szCs w:val="22"/>
              </w:rPr>
            </w:pPr>
            <w:bookmarkStart w:id="66" w:name="e9"/>
            <w:r w:rsidRPr="00B33BB6">
              <w:rPr>
                <w:rFonts w:cs="Arial"/>
                <w:szCs w:val="22"/>
              </w:rPr>
              <w:t>(9)</w:t>
            </w:r>
            <w:bookmarkEnd w:id="66"/>
          </w:p>
        </w:tc>
      </w:tr>
    </w:tbl>
    <w:p w14:paraId="194014F4" w14:textId="77777777" w:rsidR="00E95A8F" w:rsidRPr="00B33BB6" w:rsidRDefault="00E95A8F" w:rsidP="00420B43">
      <w:pPr>
        <w:ind w:left="1418"/>
        <w:rPr>
          <w:rFonts w:eastAsia="Montserrat" w:cs="Arial"/>
          <w:szCs w:val="22"/>
        </w:rPr>
      </w:pPr>
      <w:r w:rsidRPr="00B33BB6">
        <w:rPr>
          <w:rFonts w:eastAsia="Montserrat" w:cs="Arial"/>
          <w:szCs w:val="22"/>
        </w:rPr>
        <w:t>Where:</w:t>
      </w:r>
    </w:p>
    <w:p w14:paraId="4A709395" w14:textId="77777777" w:rsidR="00E95A8F" w:rsidRPr="00B33BB6" w:rsidRDefault="00E95A8F" w:rsidP="00420B43">
      <w:pPr>
        <w:ind w:left="709"/>
        <w:rPr>
          <w:rFonts w:eastAsia="Montserrat" w:cs="Arial"/>
          <w:szCs w:val="22"/>
        </w:rPr>
      </w:pPr>
    </w:p>
    <w:tbl>
      <w:tblPr>
        <w:tblStyle w:val="TableGrid"/>
        <w:tblW w:w="9209" w:type="dxa"/>
        <w:tblInd w:w="709" w:type="dxa"/>
        <w:tblLook w:val="04A0" w:firstRow="1" w:lastRow="0" w:firstColumn="1" w:lastColumn="0" w:noHBand="0" w:noVBand="1"/>
      </w:tblPr>
      <w:tblGrid>
        <w:gridCol w:w="1750"/>
        <w:gridCol w:w="5826"/>
        <w:gridCol w:w="1633"/>
      </w:tblGrid>
      <w:tr w:rsidR="00E95A8F" w:rsidRPr="00B33BB6" w14:paraId="05D838A6" w14:textId="77777777" w:rsidTr="00420B43">
        <w:tc>
          <w:tcPr>
            <w:tcW w:w="1750" w:type="dxa"/>
          </w:tcPr>
          <w:p w14:paraId="5BDA84C8" w14:textId="77777777" w:rsidR="00E95A8F" w:rsidRPr="00B33BB6" w:rsidRDefault="00E95A8F">
            <w:pPr>
              <w:rPr>
                <w:rFonts w:eastAsia="Montserrat" w:cs="Arial"/>
                <w:b/>
                <w:szCs w:val="22"/>
              </w:rPr>
            </w:pPr>
            <w:r w:rsidRPr="00B33BB6">
              <w:rPr>
                <w:rFonts w:eastAsia="Montserrat" w:cs="Arial"/>
                <w:b/>
                <w:szCs w:val="22"/>
              </w:rPr>
              <w:t>Parameter</w:t>
            </w:r>
          </w:p>
        </w:tc>
        <w:tc>
          <w:tcPr>
            <w:tcW w:w="5826" w:type="dxa"/>
          </w:tcPr>
          <w:p w14:paraId="6924DBB3" w14:textId="77777777" w:rsidR="00E95A8F" w:rsidRPr="00B33BB6" w:rsidRDefault="00E95A8F">
            <w:pPr>
              <w:rPr>
                <w:rFonts w:eastAsia="Montserrat" w:cs="Arial"/>
                <w:b/>
                <w:szCs w:val="22"/>
              </w:rPr>
            </w:pPr>
            <w:r w:rsidRPr="00B33BB6">
              <w:rPr>
                <w:rFonts w:eastAsia="Montserrat" w:cs="Arial"/>
                <w:b/>
                <w:szCs w:val="22"/>
              </w:rPr>
              <w:t>Description</w:t>
            </w:r>
          </w:p>
        </w:tc>
        <w:tc>
          <w:tcPr>
            <w:tcW w:w="1633" w:type="dxa"/>
          </w:tcPr>
          <w:p w14:paraId="460D4336" w14:textId="77777777" w:rsidR="00E95A8F" w:rsidRPr="00B33BB6" w:rsidRDefault="00E95A8F">
            <w:pPr>
              <w:rPr>
                <w:rFonts w:eastAsia="Montserrat" w:cs="Arial"/>
                <w:b/>
                <w:szCs w:val="22"/>
              </w:rPr>
            </w:pPr>
            <w:r w:rsidRPr="00B33BB6">
              <w:rPr>
                <w:rFonts w:eastAsia="Montserrat" w:cs="Arial"/>
                <w:b/>
                <w:szCs w:val="22"/>
              </w:rPr>
              <w:t>Unit</w:t>
            </w:r>
          </w:p>
        </w:tc>
      </w:tr>
      <w:tr w:rsidR="00E95A8F" w:rsidRPr="00B33BB6" w14:paraId="359D065C" w14:textId="77777777" w:rsidTr="00420B43">
        <w:tc>
          <w:tcPr>
            <w:tcW w:w="1750" w:type="dxa"/>
          </w:tcPr>
          <w:p w14:paraId="5301FD76" w14:textId="77777777" w:rsidR="00E95A8F"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elec,y</m:t>
                    </m:r>
                  </m:sub>
                </m:sSub>
              </m:oMath>
            </m:oMathPara>
          </w:p>
        </w:tc>
        <w:tc>
          <w:tcPr>
            <w:tcW w:w="5826" w:type="dxa"/>
          </w:tcPr>
          <w:p w14:paraId="0E658ACF" w14:textId="77777777" w:rsidR="00E95A8F" w:rsidRPr="00B33BB6" w:rsidRDefault="00E95A8F">
            <w:pPr>
              <w:rPr>
                <w:rFonts w:eastAsia="Montserrat" w:cs="Arial"/>
                <w:b/>
                <w:szCs w:val="22"/>
              </w:rPr>
            </w:pPr>
            <w:r w:rsidRPr="00B33BB6">
              <w:rPr>
                <w:rFonts w:eastAsia="Montserrat" w:cs="Arial"/>
                <w:szCs w:val="22"/>
              </w:rPr>
              <w:t xml:space="preserve">Emissions from electric energy consumption in year </w:t>
            </w:r>
            <w:r w:rsidRPr="00B33BB6">
              <w:rPr>
                <w:rFonts w:eastAsia="Montserrat" w:cs="Arial"/>
                <w:i/>
                <w:szCs w:val="22"/>
              </w:rPr>
              <w:t>y</w:t>
            </w:r>
            <w:r w:rsidRPr="00B33BB6">
              <w:rPr>
                <w:rFonts w:eastAsia="Montserrat" w:cs="Arial"/>
                <w:szCs w:val="22"/>
              </w:rPr>
              <w:t xml:space="preserve"> </w:t>
            </w:r>
          </w:p>
        </w:tc>
        <w:tc>
          <w:tcPr>
            <w:tcW w:w="1633" w:type="dxa"/>
          </w:tcPr>
          <w:p w14:paraId="688AF319" w14:textId="77777777" w:rsidR="00E95A8F" w:rsidRPr="00B33BB6" w:rsidRDefault="00E95A8F">
            <w:pPr>
              <w:rPr>
                <w:rFonts w:eastAsia="Montserrat" w:cs="Arial"/>
                <w:b/>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 xml:space="preserve">e </w:t>
            </w:r>
          </w:p>
        </w:tc>
      </w:tr>
      <w:tr w:rsidR="00E95A8F" w:rsidRPr="00B33BB6" w14:paraId="675CA57E" w14:textId="77777777" w:rsidTr="00420B43">
        <w:tc>
          <w:tcPr>
            <w:tcW w:w="1750" w:type="dxa"/>
          </w:tcPr>
          <w:p w14:paraId="6409D00F" w14:textId="77777777" w:rsidR="00E95A8F" w:rsidRPr="00B33BB6" w:rsidRDefault="0001396C">
            <w:pPr>
              <w:rPr>
                <w:rFonts w:eastAsia="Cambria Math" w:cs="Arial"/>
                <w:szCs w:val="22"/>
              </w:rPr>
            </w:pPr>
            <m:oMathPara>
              <m:oMath>
                <m:r>
                  <w:rPr>
                    <w:rFonts w:ascii="Cambria Math" w:eastAsia="Cambria Math" w:hAnsi="Cambria Math" w:cs="Arial"/>
                    <w:szCs w:val="22"/>
                  </w:rPr>
                  <m:t>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proj,grid,y</m:t>
                    </m:r>
                  </m:sub>
                </m:sSub>
              </m:oMath>
            </m:oMathPara>
          </w:p>
          <w:p w14:paraId="677FCB14" w14:textId="77777777" w:rsidR="00E95A8F" w:rsidRPr="00B33BB6" w:rsidRDefault="00E95A8F">
            <w:pPr>
              <w:rPr>
                <w:rFonts w:eastAsia="Montserrat" w:cs="Arial"/>
                <w:szCs w:val="22"/>
              </w:rPr>
            </w:pPr>
          </w:p>
        </w:tc>
        <w:tc>
          <w:tcPr>
            <w:tcW w:w="5826" w:type="dxa"/>
          </w:tcPr>
          <w:p w14:paraId="2C9EB33B" w14:textId="77777777" w:rsidR="00E95A8F" w:rsidRPr="00B33BB6" w:rsidRDefault="00E95A8F">
            <w:pPr>
              <w:rPr>
                <w:rFonts w:eastAsia="Montserrat" w:cs="Arial"/>
                <w:szCs w:val="22"/>
              </w:rPr>
            </w:pPr>
            <w:r w:rsidRPr="00B33BB6">
              <w:rPr>
                <w:rFonts w:eastAsia="Montserrat" w:cs="Arial"/>
                <w:szCs w:val="22"/>
              </w:rPr>
              <w:t>Tracked grid electricity consumption for cooking</w:t>
            </w:r>
          </w:p>
        </w:tc>
        <w:tc>
          <w:tcPr>
            <w:tcW w:w="1633" w:type="dxa"/>
          </w:tcPr>
          <w:p w14:paraId="5F4EA6AA" w14:textId="77777777" w:rsidR="00E95A8F" w:rsidRPr="00B33BB6" w:rsidRDefault="00E95A8F">
            <w:pPr>
              <w:rPr>
                <w:rFonts w:eastAsia="Montserrat" w:cs="Arial"/>
                <w:szCs w:val="22"/>
              </w:rPr>
            </w:pPr>
            <w:r w:rsidRPr="00B33BB6">
              <w:rPr>
                <w:rFonts w:eastAsia="Montserrat" w:cs="Arial"/>
                <w:szCs w:val="22"/>
              </w:rPr>
              <w:t>kWh</w:t>
            </w:r>
          </w:p>
        </w:tc>
      </w:tr>
      <w:tr w:rsidR="00E95A8F" w:rsidRPr="00B33BB6" w14:paraId="78448ACB" w14:textId="77777777" w:rsidTr="00420B43">
        <w:tc>
          <w:tcPr>
            <w:tcW w:w="1750" w:type="dxa"/>
          </w:tcPr>
          <w:p w14:paraId="6845B587"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proj,grid,y</m:t>
                    </m:r>
                  </m:sub>
                </m:sSub>
              </m:oMath>
            </m:oMathPara>
          </w:p>
        </w:tc>
        <w:tc>
          <w:tcPr>
            <w:tcW w:w="5826" w:type="dxa"/>
          </w:tcPr>
          <w:p w14:paraId="5551E551" w14:textId="21A95460" w:rsidR="00E95A8F" w:rsidRPr="00EC6930" w:rsidRDefault="00E95A8F">
            <w:pPr>
              <w:rPr>
                <w:rFonts w:eastAsia="Montserrat" w:cs="Arial"/>
                <w:szCs w:val="22"/>
              </w:rPr>
            </w:pPr>
            <w:r w:rsidRPr="00EC6930">
              <w:rPr>
                <w:rFonts w:eastAsia="Montserrat" w:cs="Arial"/>
                <w:szCs w:val="22"/>
              </w:rPr>
              <w:t xml:space="preserve">Country-specific marginal grid emission factor in year </w:t>
            </w:r>
            <w:r w:rsidRPr="00EC6930">
              <w:rPr>
                <w:rFonts w:eastAsia="Montserrat" w:cs="Arial"/>
                <w:i/>
                <w:szCs w:val="22"/>
              </w:rPr>
              <w:t>y</w:t>
            </w:r>
            <w:r w:rsidRPr="00EC6930">
              <w:rPr>
                <w:rFonts w:eastAsia="Montserrat" w:cs="Arial"/>
                <w:szCs w:val="22"/>
              </w:rPr>
              <w:t xml:space="preserve">. See </w:t>
            </w:r>
            <w:hyperlink w:anchor="A2" w:history="1">
              <w:r w:rsidRPr="00EC6930">
                <w:rPr>
                  <w:rStyle w:val="Hyperlink"/>
                  <w:rFonts w:eastAsia="Montserrat" w:cs="Arial"/>
                  <w:szCs w:val="22"/>
                  <w:lang w:val="en-GB"/>
                </w:rPr>
                <w:t xml:space="preserve">Appendix 2: </w:t>
              </w:r>
              <w:r w:rsidRPr="00EC6930">
                <w:rPr>
                  <w:rStyle w:val="Hyperlink"/>
                  <w:rFonts w:eastAsia="Montserrat" w:cs="Arial"/>
                  <w:i/>
                  <w:szCs w:val="22"/>
                </w:rPr>
                <w:t>Grid Emission Factors</w:t>
              </w:r>
            </w:hyperlink>
            <w:r w:rsidRPr="00EC6930">
              <w:rPr>
                <w:rFonts w:eastAsia="Montserrat" w:cs="Arial"/>
                <w:szCs w:val="22"/>
              </w:rPr>
              <w:t xml:space="preserve"> </w:t>
            </w:r>
          </w:p>
        </w:tc>
        <w:tc>
          <w:tcPr>
            <w:tcW w:w="1633" w:type="dxa"/>
          </w:tcPr>
          <w:p w14:paraId="41D73622" w14:textId="77777777" w:rsidR="00E95A8F" w:rsidRPr="00B33BB6" w:rsidRDefault="00E95A8F">
            <w:pPr>
              <w:rPr>
                <w:rFonts w:eastAsia="Montserrat" w:cs="Arial"/>
                <w:szCs w:val="22"/>
              </w:rPr>
            </w:pPr>
            <w:r w:rsidRPr="00B33BB6">
              <w:rPr>
                <w:rFonts w:eastAsia="Montserrat" w:cs="Arial"/>
                <w:szCs w:val="22"/>
              </w:rPr>
              <w:t>gCO</w:t>
            </w:r>
            <w:r w:rsidRPr="00B33BB6">
              <w:rPr>
                <w:rFonts w:eastAsia="Montserrat" w:cs="Arial"/>
                <w:szCs w:val="22"/>
                <w:vertAlign w:val="subscript"/>
              </w:rPr>
              <w:t>2</w:t>
            </w:r>
            <w:r w:rsidRPr="00B33BB6">
              <w:rPr>
                <w:rFonts w:eastAsia="Montserrat" w:cs="Arial"/>
                <w:szCs w:val="22"/>
              </w:rPr>
              <w:t>e/kWh</w:t>
            </w:r>
          </w:p>
        </w:tc>
      </w:tr>
      <w:tr w:rsidR="00E95A8F" w:rsidRPr="00B33BB6" w14:paraId="3FB80B01" w14:textId="77777777" w:rsidTr="00420B43">
        <w:tc>
          <w:tcPr>
            <w:tcW w:w="1750" w:type="dxa"/>
          </w:tcPr>
          <w:p w14:paraId="788D82C8"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proj,offgrid,y</m:t>
                    </m:r>
                  </m:sub>
                </m:sSub>
              </m:oMath>
            </m:oMathPara>
          </w:p>
        </w:tc>
        <w:tc>
          <w:tcPr>
            <w:tcW w:w="5826" w:type="dxa"/>
          </w:tcPr>
          <w:p w14:paraId="67DF2837" w14:textId="77777777" w:rsidR="00E95A8F" w:rsidRPr="00EC6930" w:rsidRDefault="00E95A8F">
            <w:pPr>
              <w:rPr>
                <w:rFonts w:eastAsia="Montserrat" w:cs="Arial"/>
                <w:szCs w:val="22"/>
              </w:rPr>
            </w:pPr>
            <w:r w:rsidRPr="00EC6930">
              <w:rPr>
                <w:rFonts w:eastAsia="Montserrat" w:cs="Arial"/>
                <w:szCs w:val="22"/>
              </w:rPr>
              <w:t xml:space="preserve">Tracked off-grid electricity consumption for cooking in year y </w:t>
            </w:r>
          </w:p>
        </w:tc>
        <w:tc>
          <w:tcPr>
            <w:tcW w:w="1633" w:type="dxa"/>
          </w:tcPr>
          <w:p w14:paraId="7716C608" w14:textId="77777777" w:rsidR="00E95A8F" w:rsidRPr="00B33BB6" w:rsidRDefault="00E95A8F">
            <w:pPr>
              <w:rPr>
                <w:rFonts w:eastAsia="Montserrat" w:cs="Arial"/>
                <w:szCs w:val="22"/>
              </w:rPr>
            </w:pPr>
            <w:r w:rsidRPr="00B33BB6">
              <w:rPr>
                <w:rFonts w:eastAsia="Montserrat" w:cs="Arial"/>
                <w:szCs w:val="22"/>
              </w:rPr>
              <w:t>kWh</w:t>
            </w:r>
          </w:p>
        </w:tc>
      </w:tr>
      <w:tr w:rsidR="00E95A8F" w:rsidRPr="00B33BB6" w14:paraId="69216CC7" w14:textId="77777777" w:rsidTr="00420B43">
        <w:tc>
          <w:tcPr>
            <w:tcW w:w="1750" w:type="dxa"/>
          </w:tcPr>
          <w:p w14:paraId="128B06FF"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f</m:t>
                    </m:r>
                  </m:e>
                  <m:sub>
                    <m:r>
                      <w:rPr>
                        <w:rFonts w:ascii="Cambria Math" w:eastAsia="Cambria Math" w:hAnsi="Cambria Math" w:cs="Arial"/>
                        <w:szCs w:val="22"/>
                      </w:rPr>
                      <m:t>k,y</m:t>
                    </m:r>
                  </m:sub>
                </m:sSub>
              </m:oMath>
            </m:oMathPara>
          </w:p>
        </w:tc>
        <w:tc>
          <w:tcPr>
            <w:tcW w:w="5826" w:type="dxa"/>
          </w:tcPr>
          <w:p w14:paraId="7A98321C" w14:textId="77777777" w:rsidR="00E95A8F" w:rsidRPr="00EC6930" w:rsidRDefault="00E95A8F">
            <w:pPr>
              <w:rPr>
                <w:rFonts w:eastAsia="Montserrat" w:cs="Arial"/>
                <w:szCs w:val="22"/>
              </w:rPr>
            </w:pPr>
            <w:r w:rsidRPr="00EC6930">
              <w:rPr>
                <w:rFonts w:eastAsia="Montserrat" w:cs="Arial"/>
                <w:szCs w:val="22"/>
              </w:rPr>
              <w:t xml:space="preserve">Fraction of off-grid electricity provided by source </w:t>
            </w:r>
            <w:r w:rsidRPr="00EC6930">
              <w:rPr>
                <w:rFonts w:eastAsia="Montserrat" w:cs="Arial"/>
                <w:i/>
                <w:szCs w:val="22"/>
              </w:rPr>
              <w:t>k</w:t>
            </w:r>
            <w:r w:rsidRPr="00EC6930">
              <w:rPr>
                <w:rFonts w:eastAsia="Montserrat" w:cs="Arial"/>
                <w:szCs w:val="22"/>
              </w:rPr>
              <w:t xml:space="preserve"> in year </w:t>
            </w:r>
            <w:r w:rsidRPr="00EC6930">
              <w:rPr>
                <w:rFonts w:eastAsia="Montserrat" w:cs="Arial"/>
                <w:i/>
                <w:szCs w:val="22"/>
              </w:rPr>
              <w:t>y</w:t>
            </w:r>
          </w:p>
        </w:tc>
        <w:tc>
          <w:tcPr>
            <w:tcW w:w="1633" w:type="dxa"/>
          </w:tcPr>
          <w:p w14:paraId="3BC75555" w14:textId="77777777" w:rsidR="00E95A8F" w:rsidRPr="00B33BB6" w:rsidRDefault="00E95A8F">
            <w:pPr>
              <w:rPr>
                <w:rFonts w:eastAsia="Montserrat" w:cs="Arial"/>
                <w:szCs w:val="22"/>
              </w:rPr>
            </w:pPr>
            <w:r w:rsidRPr="00B33BB6">
              <w:rPr>
                <w:rFonts w:eastAsia="Montserrat" w:cs="Arial"/>
                <w:szCs w:val="22"/>
              </w:rPr>
              <w:t>%</w:t>
            </w:r>
          </w:p>
        </w:tc>
      </w:tr>
      <w:tr w:rsidR="00E95A8F" w:rsidRPr="00B33BB6" w14:paraId="3717400B" w14:textId="77777777" w:rsidTr="00420B43">
        <w:tc>
          <w:tcPr>
            <w:tcW w:w="1750" w:type="dxa"/>
          </w:tcPr>
          <w:p w14:paraId="4256F266"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proj,offgrid,k</m:t>
                    </m:r>
                  </m:sub>
                </m:sSub>
              </m:oMath>
            </m:oMathPara>
          </w:p>
        </w:tc>
        <w:tc>
          <w:tcPr>
            <w:tcW w:w="5826" w:type="dxa"/>
          </w:tcPr>
          <w:p w14:paraId="1C9E004F" w14:textId="51DDF656" w:rsidR="00E95A8F" w:rsidRPr="00EC6930" w:rsidRDefault="00E95A8F">
            <w:pPr>
              <w:rPr>
                <w:rFonts w:eastAsia="Montserrat" w:cs="Arial"/>
                <w:szCs w:val="22"/>
              </w:rPr>
            </w:pPr>
            <w:r w:rsidRPr="00EC6930">
              <w:rPr>
                <w:rFonts w:eastAsia="Montserrat" w:cs="Arial"/>
                <w:szCs w:val="22"/>
              </w:rPr>
              <w:t xml:space="preserve">Off-grid emission factor for source </w:t>
            </w:r>
            <w:r w:rsidRPr="00EC6930">
              <w:rPr>
                <w:rFonts w:eastAsia="Montserrat" w:cs="Arial"/>
                <w:i/>
                <w:szCs w:val="22"/>
              </w:rPr>
              <w:t>k</w:t>
            </w:r>
            <w:r w:rsidRPr="00EC6930">
              <w:rPr>
                <w:rFonts w:eastAsia="Montserrat" w:cs="Arial"/>
                <w:szCs w:val="22"/>
              </w:rPr>
              <w:t xml:space="preserve">. This is a technology-specific value provided in </w:t>
            </w:r>
            <w:hyperlink w:anchor="A3" w:history="1">
              <w:r w:rsidRPr="00EC6930">
                <w:rPr>
                  <w:rStyle w:val="Hyperlink"/>
                  <w:rFonts w:eastAsia="Montserrat" w:cs="Arial"/>
                  <w:szCs w:val="22"/>
                  <w:lang w:val="en-GB"/>
                </w:rPr>
                <w:t xml:space="preserve">Appendix 3: </w:t>
              </w:r>
              <w:r w:rsidRPr="00EC6930">
                <w:rPr>
                  <w:rStyle w:val="Hyperlink"/>
                  <w:rFonts w:eastAsia="Montserrat" w:cs="Arial"/>
                  <w:i/>
                  <w:szCs w:val="22"/>
                </w:rPr>
                <w:t>Off-Grid Emission Factors for Select Technologies</w:t>
              </w:r>
            </w:hyperlink>
            <w:r w:rsidRPr="00EC6930">
              <w:rPr>
                <w:rFonts w:eastAsia="Montserrat" w:cs="Arial"/>
                <w:szCs w:val="22"/>
              </w:rPr>
              <w:t xml:space="preserve"> </w:t>
            </w:r>
          </w:p>
        </w:tc>
        <w:tc>
          <w:tcPr>
            <w:tcW w:w="1633" w:type="dxa"/>
          </w:tcPr>
          <w:p w14:paraId="747E9496" w14:textId="77777777" w:rsidR="00E95A8F" w:rsidRPr="00B33BB6" w:rsidRDefault="00E95A8F">
            <w:pPr>
              <w:rPr>
                <w:rFonts w:eastAsia="Montserrat" w:cs="Arial"/>
                <w:szCs w:val="22"/>
              </w:rPr>
            </w:pPr>
            <w:r w:rsidRPr="00B33BB6">
              <w:rPr>
                <w:rFonts w:eastAsia="Montserrat" w:cs="Arial"/>
                <w:szCs w:val="22"/>
              </w:rPr>
              <w:t>gCO</w:t>
            </w:r>
            <w:r w:rsidRPr="00B33BB6">
              <w:rPr>
                <w:rFonts w:eastAsia="Montserrat" w:cs="Arial"/>
                <w:szCs w:val="22"/>
                <w:vertAlign w:val="subscript"/>
              </w:rPr>
              <w:t>2</w:t>
            </w:r>
            <w:r w:rsidRPr="00B33BB6">
              <w:rPr>
                <w:rFonts w:eastAsia="Montserrat" w:cs="Arial"/>
                <w:szCs w:val="22"/>
              </w:rPr>
              <w:t>e/kWh</w:t>
            </w:r>
          </w:p>
        </w:tc>
      </w:tr>
      <w:tr w:rsidR="00E95A8F" w:rsidRPr="00B33BB6" w14:paraId="4E6390DD" w14:textId="77777777" w:rsidTr="00420B43">
        <w:tc>
          <w:tcPr>
            <w:tcW w:w="1750" w:type="dxa"/>
          </w:tcPr>
          <w:p w14:paraId="1200C216"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TDL</m:t>
                    </m:r>
                  </m:e>
                  <m:sub>
                    <m:r>
                      <w:rPr>
                        <w:rFonts w:ascii="Cambria Math" w:eastAsia="Cambria Math" w:hAnsi="Cambria Math" w:cs="Arial"/>
                        <w:szCs w:val="22"/>
                      </w:rPr>
                      <m:t>y</m:t>
                    </m:r>
                  </m:sub>
                </m:sSub>
              </m:oMath>
            </m:oMathPara>
          </w:p>
        </w:tc>
        <w:tc>
          <w:tcPr>
            <w:tcW w:w="5826" w:type="dxa"/>
          </w:tcPr>
          <w:p w14:paraId="42228289" w14:textId="77777777" w:rsidR="00E95A8F" w:rsidRPr="00EC6930" w:rsidRDefault="00E95A8F">
            <w:pPr>
              <w:rPr>
                <w:rFonts w:eastAsia="Montserrat" w:cs="Arial"/>
                <w:szCs w:val="22"/>
              </w:rPr>
            </w:pPr>
            <w:r w:rsidRPr="00EC6930">
              <w:rPr>
                <w:rFonts w:eastAsia="Montserrat" w:cs="Arial"/>
                <w:szCs w:val="22"/>
              </w:rPr>
              <w:t xml:space="preserve">Average technical T&amp;D losses for providing electricity in year </w:t>
            </w:r>
            <w:r w:rsidRPr="00EC6930">
              <w:rPr>
                <w:rFonts w:eastAsia="Montserrat" w:cs="Arial"/>
                <w:i/>
                <w:szCs w:val="22"/>
              </w:rPr>
              <w:t>y</w:t>
            </w:r>
            <w:r w:rsidRPr="00EC6930">
              <w:rPr>
                <w:rFonts w:eastAsia="Montserrat" w:cs="Arial"/>
                <w:szCs w:val="22"/>
              </w:rPr>
              <w:t xml:space="preserve"> </w:t>
            </w:r>
          </w:p>
        </w:tc>
        <w:tc>
          <w:tcPr>
            <w:tcW w:w="1633" w:type="dxa"/>
          </w:tcPr>
          <w:p w14:paraId="40F6929E" w14:textId="77777777" w:rsidR="00E95A8F" w:rsidRPr="00B33BB6" w:rsidRDefault="00E95A8F">
            <w:pPr>
              <w:rPr>
                <w:rFonts w:eastAsia="Montserrat" w:cs="Arial"/>
                <w:szCs w:val="22"/>
              </w:rPr>
            </w:pPr>
            <w:r w:rsidRPr="00B33BB6">
              <w:rPr>
                <w:rFonts w:eastAsia="Montserrat" w:cs="Arial"/>
                <w:szCs w:val="22"/>
              </w:rPr>
              <w:t>%</w:t>
            </w:r>
          </w:p>
        </w:tc>
      </w:tr>
      <w:tr w:rsidR="00E95A8F" w:rsidRPr="00B33BB6" w14:paraId="0C0937A8" w14:textId="77777777" w:rsidTr="00420B43">
        <w:tc>
          <w:tcPr>
            <w:tcW w:w="1750" w:type="dxa"/>
          </w:tcPr>
          <w:p w14:paraId="5CB9437A" w14:textId="77777777" w:rsidR="00E95A8F" w:rsidRPr="00B33BB6" w:rsidRDefault="00000000">
            <w:pPr>
              <w:rPr>
                <w:rFonts w:eastAsia="Montserrat" w:cs="Arial"/>
                <w:szCs w:val="22"/>
              </w:rPr>
            </w:pPr>
            <m:oMathPara>
              <m:oMath>
                <m:sSup>
                  <m:sSupPr>
                    <m:ctrlPr>
                      <w:rPr>
                        <w:rFonts w:ascii="Cambria Math" w:eastAsia="Cambria Math" w:hAnsi="Cambria Math" w:cs="Arial"/>
                        <w:szCs w:val="22"/>
                      </w:rPr>
                    </m:ctrlPr>
                  </m:sSupPr>
                  <m:e>
                    <m:r>
                      <w:rPr>
                        <w:rFonts w:ascii="Cambria Math" w:eastAsia="Cambria Math" w:hAnsi="Cambria Math" w:cs="Arial"/>
                        <w:szCs w:val="22"/>
                      </w:rPr>
                      <m:t>10</m:t>
                    </m:r>
                  </m:e>
                  <m:sup>
                    <m:r>
                      <w:rPr>
                        <w:rFonts w:ascii="Cambria Math" w:eastAsia="Cambria Math" w:hAnsi="Cambria Math" w:cs="Arial"/>
                        <w:szCs w:val="22"/>
                      </w:rPr>
                      <m:t>-6</m:t>
                    </m:r>
                  </m:sup>
                </m:sSup>
              </m:oMath>
            </m:oMathPara>
          </w:p>
        </w:tc>
        <w:tc>
          <w:tcPr>
            <w:tcW w:w="5826" w:type="dxa"/>
          </w:tcPr>
          <w:p w14:paraId="4A5E8D51" w14:textId="77777777" w:rsidR="00E95A8F" w:rsidRPr="00B33BB6" w:rsidRDefault="00E95A8F">
            <w:pPr>
              <w:rPr>
                <w:rFonts w:eastAsia="Montserrat" w:cs="Arial"/>
                <w:szCs w:val="22"/>
              </w:rPr>
            </w:pPr>
            <w:r w:rsidRPr="00B33BB6">
              <w:rPr>
                <w:rFonts w:eastAsia="Montserrat" w:cs="Arial"/>
                <w:szCs w:val="22"/>
              </w:rPr>
              <w:t>Unit conversion for grams CO</w:t>
            </w:r>
            <w:r w:rsidRPr="00B33BB6">
              <w:rPr>
                <w:rFonts w:eastAsia="Montserrat" w:cs="Arial"/>
                <w:szCs w:val="22"/>
                <w:vertAlign w:val="subscript"/>
              </w:rPr>
              <w:t>2</w:t>
            </w:r>
            <w:r w:rsidRPr="00B33BB6">
              <w:rPr>
                <w:rFonts w:eastAsia="Montserrat" w:cs="Arial"/>
                <w:szCs w:val="22"/>
              </w:rPr>
              <w:t xml:space="preserve">e to </w:t>
            </w:r>
            <w:proofErr w:type="spellStart"/>
            <w:r w:rsidRPr="00B33BB6">
              <w:rPr>
                <w:rFonts w:eastAsia="Montserrat" w:cs="Arial"/>
                <w:szCs w:val="22"/>
              </w:rPr>
              <w:t>tonnes</w:t>
            </w:r>
            <w:proofErr w:type="spellEnd"/>
            <w:r w:rsidRPr="00B33BB6">
              <w:rPr>
                <w:rFonts w:eastAsia="Montserrat" w:cs="Arial"/>
                <w:szCs w:val="22"/>
              </w:rPr>
              <w:t xml:space="preserve"> CO</w:t>
            </w:r>
            <w:r w:rsidRPr="00B33BB6">
              <w:rPr>
                <w:rFonts w:eastAsia="Montserrat" w:cs="Arial"/>
                <w:szCs w:val="22"/>
                <w:vertAlign w:val="subscript"/>
              </w:rPr>
              <w:t>2</w:t>
            </w:r>
            <w:r w:rsidRPr="00B33BB6">
              <w:rPr>
                <w:rFonts w:eastAsia="Montserrat" w:cs="Arial"/>
                <w:szCs w:val="22"/>
              </w:rPr>
              <w:t xml:space="preserve">e </w:t>
            </w:r>
          </w:p>
        </w:tc>
        <w:tc>
          <w:tcPr>
            <w:tcW w:w="1633" w:type="dxa"/>
          </w:tcPr>
          <w:p w14:paraId="286028C8" w14:textId="77777777" w:rsidR="00E95A8F" w:rsidRPr="00B33BB6" w:rsidRDefault="00E95A8F">
            <w:pPr>
              <w:rPr>
                <w:rFonts w:eastAsia="Montserrat" w:cs="Arial"/>
                <w:szCs w:val="22"/>
              </w:rPr>
            </w:pPr>
          </w:p>
        </w:tc>
      </w:tr>
    </w:tbl>
    <w:p w14:paraId="58A8E7F2" w14:textId="77777777" w:rsidR="00E95A8F" w:rsidRPr="00B33BB6" w:rsidRDefault="00E95A8F" w:rsidP="00420B43">
      <w:pPr>
        <w:ind w:left="709"/>
        <w:rPr>
          <w:rFonts w:eastAsia="Montserrat" w:cs="Arial"/>
          <w:szCs w:val="22"/>
        </w:rPr>
      </w:pPr>
    </w:p>
    <w:p w14:paraId="62D7066E" w14:textId="77777777" w:rsidR="00E95A8F" w:rsidRPr="00B33BB6" w:rsidRDefault="00E95A8F" w:rsidP="00420B43">
      <w:pPr>
        <w:ind w:left="709"/>
        <w:rPr>
          <w:rFonts w:eastAsia="Montserrat" w:cs="Arial"/>
          <w:szCs w:val="22"/>
        </w:rPr>
      </w:pPr>
      <w:r w:rsidRPr="00B33BB6">
        <w:rPr>
          <w:rFonts w:eastAsia="Montserrat" w:cs="Arial"/>
          <w:szCs w:val="22"/>
        </w:rPr>
        <w:t>Electricity consumption shall be measured, using calibrated equipment</w:t>
      </w:r>
      <w:r w:rsidRPr="00B33BB6">
        <w:rPr>
          <w:rStyle w:val="FootnoteReference"/>
          <w:rFonts w:eastAsia="Montserrat" w:cs="Arial"/>
          <w:szCs w:val="22"/>
        </w:rPr>
        <w:footnoteReference w:id="17"/>
      </w:r>
      <w:r w:rsidRPr="00B33BB6">
        <w:rPr>
          <w:rFonts w:eastAsia="Montserrat" w:cs="Arial"/>
          <w:szCs w:val="22"/>
        </w:rPr>
        <w:t xml:space="preserve"> such as a built-in or external power meter, from all </w:t>
      </w:r>
      <w:proofErr w:type="gramStart"/>
      <w:r w:rsidRPr="00B33BB6">
        <w:rPr>
          <w:rFonts w:eastAsia="Montserrat" w:cs="Arial"/>
          <w:szCs w:val="22"/>
        </w:rPr>
        <w:t>project</w:t>
      </w:r>
      <w:proofErr w:type="gramEnd"/>
      <w:r w:rsidRPr="00B33BB6">
        <w:rPr>
          <w:rFonts w:eastAsia="Montserrat" w:cs="Arial"/>
          <w:szCs w:val="22"/>
        </w:rPr>
        <w:t xml:space="preserve"> electric cookstoves using Equation (10) and/or Equation (11).</w:t>
      </w:r>
    </w:p>
    <w:p w14:paraId="6E1E89CB" w14:textId="77777777" w:rsidR="00E95A8F" w:rsidRPr="00B33BB6" w:rsidRDefault="00E95A8F" w:rsidP="00E95A8F">
      <w:pPr>
        <w:rPr>
          <w:rFonts w:eastAsia="Montserrat" w:cs="Arial"/>
          <w:szCs w:val="22"/>
        </w:rPr>
      </w:pPr>
      <w:r w:rsidRPr="00B33BB6">
        <w:rPr>
          <w:rFonts w:eastAsia="Montserrat" w:cs="Arial"/>
          <w:szCs w:val="22"/>
        </w:rPr>
        <w:t xml:space="preserve"> </w:t>
      </w:r>
    </w:p>
    <w:tbl>
      <w:tblPr>
        <w:tblW w:w="9830" w:type="dxa"/>
        <w:tblLayout w:type="fixed"/>
        <w:tblLook w:val="0400" w:firstRow="0" w:lastRow="0" w:firstColumn="0" w:lastColumn="0" w:noHBand="0" w:noVBand="1"/>
      </w:tblPr>
      <w:tblGrid>
        <w:gridCol w:w="8598"/>
        <w:gridCol w:w="616"/>
        <w:gridCol w:w="616"/>
      </w:tblGrid>
      <w:tr w:rsidR="00E95A8F" w:rsidRPr="00B33BB6" w14:paraId="7D834A24" w14:textId="77777777">
        <w:tc>
          <w:tcPr>
            <w:tcW w:w="8598" w:type="dxa"/>
          </w:tcPr>
          <w:p w14:paraId="249916CD" w14:textId="77777777" w:rsidR="00E95A8F" w:rsidRPr="00B33BB6" w:rsidRDefault="00000000">
            <w:pPr>
              <w:jc w:val="cente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proj,grid,y</m:t>
                    </m:r>
                  </m:sub>
                </m:sSub>
                <m:r>
                  <w:rPr>
                    <w:rFonts w:ascii="Cambria Math" w:eastAsia="Cambria Math" w:hAnsi="Cambria Math" w:cs="Arial"/>
                    <w:szCs w:val="22"/>
                  </w:rPr>
                  <m:t>=</m:t>
                </m:r>
                <m:nary>
                  <m:naryPr>
                    <m:chr m:val="∑"/>
                    <m:supHide m:val="1"/>
                    <m:ctrlPr>
                      <w:rPr>
                        <w:rFonts w:ascii="Cambria Math" w:eastAsia="Cambria Math" w:hAnsi="Cambria Math" w:cs="Arial"/>
                        <w:szCs w:val="22"/>
                      </w:rPr>
                    </m:ctrlPr>
                  </m:naryPr>
                  <m:sub>
                    <m:r>
                      <w:rPr>
                        <w:rFonts w:ascii="Cambria Math" w:eastAsia="Cambria Math" w:hAnsi="Cambria Math" w:cs="Arial"/>
                        <w:szCs w:val="22"/>
                      </w:rPr>
                      <m:t>h</m:t>
                    </m:r>
                  </m:sub>
                  <m:sup/>
                  <m:e>
                    <m:r>
                      <w:rPr>
                        <w:rFonts w:ascii="Cambria Math" w:eastAsia="Cambria Math" w:hAnsi="Cambria Math" w:cs="Arial"/>
                        <w:szCs w:val="22"/>
                      </w:rPr>
                      <m:t xml:space="preserve"> </m:t>
                    </m:r>
                  </m:e>
                </m:nary>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proj,grid,h,y</m:t>
                    </m:r>
                  </m:sub>
                </m:sSub>
              </m:oMath>
            </m:oMathPara>
          </w:p>
        </w:tc>
        <w:tc>
          <w:tcPr>
            <w:tcW w:w="616" w:type="dxa"/>
          </w:tcPr>
          <w:p w14:paraId="200C7916" w14:textId="77777777" w:rsidR="00E95A8F" w:rsidRPr="00B33BB6" w:rsidRDefault="00E95A8F">
            <w:pPr>
              <w:jc w:val="right"/>
              <w:rPr>
                <w:rFonts w:cs="Arial"/>
                <w:szCs w:val="22"/>
              </w:rPr>
            </w:pPr>
            <w:bookmarkStart w:id="67" w:name="e10"/>
            <w:r w:rsidRPr="00B33BB6">
              <w:rPr>
                <w:rFonts w:cs="Arial"/>
                <w:szCs w:val="22"/>
              </w:rPr>
              <w:t>(10)</w:t>
            </w:r>
            <w:bookmarkEnd w:id="67"/>
          </w:p>
        </w:tc>
        <w:tc>
          <w:tcPr>
            <w:tcW w:w="616" w:type="dxa"/>
          </w:tcPr>
          <w:p w14:paraId="198E06D4" w14:textId="77777777" w:rsidR="00E95A8F" w:rsidRPr="00B33BB6" w:rsidRDefault="00E95A8F">
            <w:pPr>
              <w:jc w:val="right"/>
              <w:rPr>
                <w:rFonts w:cs="Arial"/>
                <w:szCs w:val="22"/>
              </w:rPr>
            </w:pPr>
          </w:p>
          <w:p w14:paraId="78A8B194" w14:textId="77777777" w:rsidR="00E95A8F" w:rsidRPr="00B33BB6" w:rsidRDefault="00E95A8F">
            <w:pPr>
              <w:jc w:val="right"/>
              <w:rPr>
                <w:rFonts w:cs="Arial"/>
                <w:szCs w:val="22"/>
              </w:rPr>
            </w:pPr>
          </w:p>
          <w:p w14:paraId="7AB16E4D" w14:textId="77777777" w:rsidR="00E95A8F" w:rsidRPr="00B33BB6" w:rsidRDefault="00E95A8F">
            <w:pPr>
              <w:jc w:val="right"/>
              <w:rPr>
                <w:rFonts w:cs="Arial"/>
                <w:szCs w:val="22"/>
              </w:rPr>
            </w:pPr>
          </w:p>
          <w:p w14:paraId="03E183A0" w14:textId="77777777" w:rsidR="00E95A8F" w:rsidRPr="00B33BB6" w:rsidRDefault="00E95A8F">
            <w:pPr>
              <w:rPr>
                <w:rFonts w:cs="Arial"/>
                <w:szCs w:val="22"/>
              </w:rPr>
            </w:pPr>
          </w:p>
        </w:tc>
      </w:tr>
      <w:tr w:rsidR="00E95A8F" w:rsidRPr="00B33BB6" w14:paraId="23D787BB" w14:textId="77777777">
        <w:tc>
          <w:tcPr>
            <w:tcW w:w="8598" w:type="dxa"/>
          </w:tcPr>
          <w:p w14:paraId="30C0500C" w14:textId="77777777" w:rsidR="00E95A8F" w:rsidRPr="00B33BB6" w:rsidRDefault="0001396C">
            <w:pPr>
              <w:jc w:val="center"/>
              <w:rPr>
                <w:rFonts w:eastAsia="Cambria Math" w:cs="Arial"/>
                <w:szCs w:val="22"/>
              </w:rPr>
            </w:pPr>
            <m:oMathPara>
              <m:oMath>
                <m:r>
                  <w:rPr>
                    <w:rFonts w:ascii="Cambria Math" w:eastAsia="Cambria Math" w:hAnsi="Cambria Math" w:cs="Arial"/>
                    <w:szCs w:val="22"/>
                  </w:rPr>
                  <m:t xml:space="preserve"> </m:t>
                </m:r>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proj,offgrid,y</m:t>
                    </m:r>
                  </m:sub>
                </m:sSub>
                <m:r>
                  <w:rPr>
                    <w:rFonts w:ascii="Cambria Math" w:eastAsia="Cambria Math" w:hAnsi="Cambria Math" w:cs="Arial"/>
                    <w:szCs w:val="22"/>
                  </w:rPr>
                  <m:t>=</m:t>
                </m:r>
                <m:nary>
                  <m:naryPr>
                    <m:chr m:val="∑"/>
                    <m:supHide m:val="1"/>
                    <m:ctrlPr>
                      <w:rPr>
                        <w:rFonts w:ascii="Cambria Math" w:eastAsia="Cambria Math" w:hAnsi="Cambria Math" w:cs="Arial"/>
                        <w:szCs w:val="22"/>
                      </w:rPr>
                    </m:ctrlPr>
                  </m:naryPr>
                  <m:sub>
                    <m:r>
                      <w:rPr>
                        <w:rFonts w:ascii="Cambria Math" w:eastAsia="Cambria Math" w:hAnsi="Cambria Math" w:cs="Arial"/>
                        <w:szCs w:val="22"/>
                      </w:rPr>
                      <m:t>h</m:t>
                    </m:r>
                  </m:sub>
                  <m:sup/>
                  <m:e>
                    <m:r>
                      <w:rPr>
                        <w:rFonts w:ascii="Cambria Math" w:eastAsia="Cambria Math" w:hAnsi="Cambria Math" w:cs="Arial"/>
                        <w:szCs w:val="22"/>
                      </w:rPr>
                      <m:t xml:space="preserve"> </m:t>
                    </m:r>
                  </m:e>
                </m:nary>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proj,offgrid,h,y</m:t>
                    </m:r>
                  </m:sub>
                </m:sSub>
              </m:oMath>
            </m:oMathPara>
          </w:p>
        </w:tc>
        <w:tc>
          <w:tcPr>
            <w:tcW w:w="616" w:type="dxa"/>
          </w:tcPr>
          <w:p w14:paraId="5CCBB7B2" w14:textId="77777777" w:rsidR="00E95A8F" w:rsidRPr="00B33BB6" w:rsidRDefault="00E95A8F">
            <w:pPr>
              <w:jc w:val="right"/>
              <w:rPr>
                <w:rFonts w:cs="Arial"/>
                <w:szCs w:val="22"/>
              </w:rPr>
            </w:pPr>
            <w:bookmarkStart w:id="68" w:name="e11"/>
            <w:r w:rsidRPr="00B33BB6">
              <w:rPr>
                <w:rFonts w:cs="Arial"/>
                <w:szCs w:val="22"/>
              </w:rPr>
              <w:t>(11)</w:t>
            </w:r>
            <w:bookmarkEnd w:id="68"/>
          </w:p>
        </w:tc>
        <w:tc>
          <w:tcPr>
            <w:tcW w:w="616" w:type="dxa"/>
          </w:tcPr>
          <w:p w14:paraId="0E53119E" w14:textId="77777777" w:rsidR="00E95A8F" w:rsidRPr="00B33BB6" w:rsidRDefault="00E95A8F">
            <w:pPr>
              <w:jc w:val="right"/>
              <w:rPr>
                <w:rFonts w:cs="Arial"/>
                <w:szCs w:val="22"/>
              </w:rPr>
            </w:pPr>
          </w:p>
        </w:tc>
      </w:tr>
      <w:tr w:rsidR="00E95A8F" w:rsidRPr="00B33BB6" w14:paraId="29DF4651" w14:textId="77777777">
        <w:tc>
          <w:tcPr>
            <w:tcW w:w="8598" w:type="dxa"/>
          </w:tcPr>
          <w:p w14:paraId="1E7EE6A7" w14:textId="77777777" w:rsidR="00E95A8F" w:rsidRPr="00B33BB6" w:rsidRDefault="00E95A8F">
            <w:pPr>
              <w:rPr>
                <w:rFonts w:eastAsia="Montserrat" w:cs="Arial"/>
                <w:szCs w:val="22"/>
              </w:rPr>
            </w:pPr>
          </w:p>
        </w:tc>
        <w:tc>
          <w:tcPr>
            <w:tcW w:w="616" w:type="dxa"/>
          </w:tcPr>
          <w:p w14:paraId="056366B8" w14:textId="77777777" w:rsidR="00E95A8F" w:rsidRPr="00B33BB6" w:rsidRDefault="00E95A8F">
            <w:pPr>
              <w:jc w:val="right"/>
              <w:rPr>
                <w:rFonts w:cs="Arial"/>
                <w:szCs w:val="22"/>
              </w:rPr>
            </w:pPr>
          </w:p>
        </w:tc>
        <w:tc>
          <w:tcPr>
            <w:tcW w:w="616" w:type="dxa"/>
          </w:tcPr>
          <w:p w14:paraId="51685059" w14:textId="77777777" w:rsidR="00E95A8F" w:rsidRPr="00B33BB6" w:rsidRDefault="00E95A8F">
            <w:pPr>
              <w:jc w:val="right"/>
              <w:rPr>
                <w:rFonts w:cs="Arial"/>
                <w:szCs w:val="22"/>
              </w:rPr>
            </w:pPr>
          </w:p>
        </w:tc>
      </w:tr>
    </w:tbl>
    <w:p w14:paraId="75995F0C" w14:textId="77777777" w:rsidR="00E95A8F" w:rsidRPr="00B33BB6" w:rsidRDefault="00E95A8F" w:rsidP="00420B43">
      <w:pPr>
        <w:ind w:left="709"/>
        <w:rPr>
          <w:rFonts w:eastAsia="Montserrat" w:cs="Arial"/>
          <w:szCs w:val="22"/>
        </w:rPr>
      </w:pPr>
      <w:r w:rsidRPr="00B33BB6">
        <w:rPr>
          <w:rFonts w:eastAsia="Montserrat" w:cs="Arial"/>
          <w:szCs w:val="22"/>
        </w:rPr>
        <w:t>Where:</w:t>
      </w:r>
    </w:p>
    <w:p w14:paraId="17E05675" w14:textId="77777777" w:rsidR="00E95A8F" w:rsidRPr="00B33BB6" w:rsidRDefault="00E95A8F" w:rsidP="00420B43">
      <w:pPr>
        <w:ind w:left="709"/>
        <w:rPr>
          <w:rFonts w:eastAsia="Montserrat" w:cs="Arial"/>
          <w:szCs w:val="22"/>
        </w:rPr>
      </w:pPr>
    </w:p>
    <w:tbl>
      <w:tblPr>
        <w:tblStyle w:val="TableGrid"/>
        <w:tblW w:w="9209" w:type="dxa"/>
        <w:tblInd w:w="709" w:type="dxa"/>
        <w:tblLook w:val="04A0" w:firstRow="1" w:lastRow="0" w:firstColumn="1" w:lastColumn="0" w:noHBand="0" w:noVBand="1"/>
      </w:tblPr>
      <w:tblGrid>
        <w:gridCol w:w="1895"/>
        <w:gridCol w:w="5899"/>
        <w:gridCol w:w="1415"/>
      </w:tblGrid>
      <w:tr w:rsidR="00E95A8F" w:rsidRPr="00B33BB6" w14:paraId="7D91E97B" w14:textId="77777777" w:rsidTr="00420B43">
        <w:tc>
          <w:tcPr>
            <w:tcW w:w="1895" w:type="dxa"/>
          </w:tcPr>
          <w:p w14:paraId="14618D2A" w14:textId="77777777" w:rsidR="00E95A8F" w:rsidRPr="00B33BB6" w:rsidRDefault="00E95A8F">
            <w:pPr>
              <w:rPr>
                <w:rFonts w:eastAsia="Montserrat" w:cs="Arial"/>
                <w:b/>
                <w:szCs w:val="22"/>
              </w:rPr>
            </w:pPr>
            <w:r w:rsidRPr="00B33BB6">
              <w:rPr>
                <w:rFonts w:eastAsia="Montserrat" w:cs="Arial"/>
                <w:b/>
                <w:szCs w:val="22"/>
              </w:rPr>
              <w:t>Parameter</w:t>
            </w:r>
          </w:p>
        </w:tc>
        <w:tc>
          <w:tcPr>
            <w:tcW w:w="5899" w:type="dxa"/>
          </w:tcPr>
          <w:p w14:paraId="7D7142BF" w14:textId="77777777" w:rsidR="00E95A8F" w:rsidRPr="00B33BB6" w:rsidRDefault="00E95A8F">
            <w:pPr>
              <w:rPr>
                <w:rFonts w:eastAsia="Montserrat" w:cs="Arial"/>
                <w:b/>
                <w:szCs w:val="22"/>
              </w:rPr>
            </w:pPr>
            <w:r w:rsidRPr="00B33BB6">
              <w:rPr>
                <w:rFonts w:eastAsia="Montserrat" w:cs="Arial"/>
                <w:b/>
                <w:szCs w:val="22"/>
              </w:rPr>
              <w:t>Description</w:t>
            </w:r>
          </w:p>
        </w:tc>
        <w:tc>
          <w:tcPr>
            <w:tcW w:w="1415" w:type="dxa"/>
          </w:tcPr>
          <w:p w14:paraId="7D1A85F4" w14:textId="77777777" w:rsidR="00E95A8F" w:rsidRPr="00B33BB6" w:rsidRDefault="00E95A8F">
            <w:pPr>
              <w:rPr>
                <w:rFonts w:eastAsia="Montserrat" w:cs="Arial"/>
                <w:b/>
                <w:szCs w:val="22"/>
              </w:rPr>
            </w:pPr>
            <w:r w:rsidRPr="00B33BB6">
              <w:rPr>
                <w:rFonts w:eastAsia="Montserrat" w:cs="Arial"/>
                <w:b/>
                <w:szCs w:val="22"/>
              </w:rPr>
              <w:t>Unit</w:t>
            </w:r>
          </w:p>
        </w:tc>
      </w:tr>
      <w:tr w:rsidR="00E95A8F" w:rsidRPr="00B33BB6" w14:paraId="7AC07A00" w14:textId="77777777" w:rsidTr="00420B43">
        <w:tc>
          <w:tcPr>
            <w:tcW w:w="1895" w:type="dxa"/>
          </w:tcPr>
          <w:p w14:paraId="61B72006" w14:textId="77777777" w:rsidR="00E95A8F" w:rsidRPr="00B33BB6" w:rsidRDefault="00000000">
            <w:pPr>
              <w:rPr>
                <w:rFonts w:eastAsia="Cambria Math"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proj,grid,y</m:t>
                    </m:r>
                  </m:sub>
                </m:sSub>
              </m:oMath>
            </m:oMathPara>
          </w:p>
          <w:p w14:paraId="49546843" w14:textId="77777777" w:rsidR="00E95A8F" w:rsidRPr="00B33BB6" w:rsidRDefault="00E95A8F">
            <w:pPr>
              <w:rPr>
                <w:rFonts w:eastAsia="Montserrat" w:cs="Arial"/>
                <w:b/>
                <w:szCs w:val="22"/>
              </w:rPr>
            </w:pPr>
          </w:p>
        </w:tc>
        <w:tc>
          <w:tcPr>
            <w:tcW w:w="5899" w:type="dxa"/>
          </w:tcPr>
          <w:p w14:paraId="4630A343" w14:textId="77777777" w:rsidR="00E95A8F" w:rsidRPr="00B33BB6" w:rsidRDefault="00E95A8F">
            <w:pPr>
              <w:rPr>
                <w:rFonts w:eastAsia="Montserrat" w:cs="Arial"/>
                <w:b/>
                <w:i/>
                <w:szCs w:val="22"/>
              </w:rPr>
            </w:pPr>
            <w:r w:rsidRPr="00B33BB6">
              <w:rPr>
                <w:rFonts w:eastAsia="Montserrat" w:cs="Arial"/>
                <w:szCs w:val="22"/>
              </w:rPr>
              <w:t xml:space="preserve">Tracked grid electricity consumption for cooking in year </w:t>
            </w:r>
            <w:r w:rsidRPr="00B33BB6">
              <w:rPr>
                <w:rFonts w:eastAsia="Montserrat" w:cs="Arial"/>
                <w:i/>
                <w:szCs w:val="22"/>
              </w:rPr>
              <w:t>y</w:t>
            </w:r>
          </w:p>
        </w:tc>
        <w:tc>
          <w:tcPr>
            <w:tcW w:w="1415" w:type="dxa"/>
          </w:tcPr>
          <w:p w14:paraId="52F421C6" w14:textId="77777777" w:rsidR="00E95A8F" w:rsidRPr="00B33BB6" w:rsidRDefault="00E95A8F">
            <w:pPr>
              <w:rPr>
                <w:rFonts w:eastAsia="Montserrat" w:cs="Arial"/>
                <w:b/>
                <w:szCs w:val="22"/>
              </w:rPr>
            </w:pPr>
            <w:r w:rsidRPr="00B33BB6">
              <w:rPr>
                <w:rFonts w:eastAsia="Montserrat" w:cs="Arial"/>
                <w:szCs w:val="22"/>
              </w:rPr>
              <w:t>kWh</w:t>
            </w:r>
          </w:p>
        </w:tc>
      </w:tr>
      <w:tr w:rsidR="00E95A8F" w:rsidRPr="00B33BB6" w14:paraId="6600503F" w14:textId="77777777" w:rsidTr="00420B43">
        <w:tc>
          <w:tcPr>
            <w:tcW w:w="1895" w:type="dxa"/>
          </w:tcPr>
          <w:p w14:paraId="4515405F"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proj,grid,h,y</m:t>
                    </m:r>
                  </m:sub>
                </m:sSub>
              </m:oMath>
            </m:oMathPara>
          </w:p>
        </w:tc>
        <w:tc>
          <w:tcPr>
            <w:tcW w:w="5899" w:type="dxa"/>
          </w:tcPr>
          <w:p w14:paraId="5B53456A" w14:textId="14158E8B" w:rsidR="00E95A8F" w:rsidRPr="00B33BB6" w:rsidRDefault="00E95A8F">
            <w:pPr>
              <w:rPr>
                <w:rFonts w:eastAsia="Montserrat" w:cs="Arial"/>
                <w:szCs w:val="22"/>
              </w:rPr>
            </w:pPr>
            <w:r w:rsidRPr="00B33BB6">
              <w:rPr>
                <w:rFonts w:eastAsia="Montserrat" w:cs="Arial"/>
                <w:szCs w:val="22"/>
              </w:rPr>
              <w:t xml:space="preserve">Tracked grid electricity consumed for cooking in household </w:t>
            </w:r>
            <w:r w:rsidRPr="00B33BB6">
              <w:rPr>
                <w:rFonts w:eastAsia="Montserrat" w:cs="Arial"/>
                <w:i/>
                <w:szCs w:val="22"/>
              </w:rPr>
              <w:t>h</w:t>
            </w:r>
            <w:r w:rsidRPr="00B33BB6">
              <w:rPr>
                <w:rFonts w:eastAsia="Montserrat" w:cs="Arial"/>
                <w:szCs w:val="22"/>
              </w:rPr>
              <w:t xml:space="preserve"> in year </w:t>
            </w:r>
            <w:r w:rsidRPr="00B33BB6">
              <w:rPr>
                <w:rFonts w:eastAsia="Montserrat" w:cs="Arial"/>
                <w:i/>
                <w:szCs w:val="22"/>
              </w:rPr>
              <w:t>y</w:t>
            </w:r>
            <w:r w:rsidRPr="00B33BB6">
              <w:rPr>
                <w:rFonts w:eastAsia="Montserrat" w:cs="Arial"/>
                <w:szCs w:val="22"/>
              </w:rPr>
              <w:t xml:space="preserve"> </w:t>
            </w:r>
          </w:p>
        </w:tc>
        <w:tc>
          <w:tcPr>
            <w:tcW w:w="1415" w:type="dxa"/>
          </w:tcPr>
          <w:p w14:paraId="249AE999" w14:textId="77777777" w:rsidR="00E95A8F" w:rsidRPr="00B33BB6" w:rsidRDefault="00E95A8F">
            <w:pPr>
              <w:rPr>
                <w:rFonts w:eastAsia="Montserrat" w:cs="Arial"/>
                <w:szCs w:val="22"/>
              </w:rPr>
            </w:pPr>
            <w:r w:rsidRPr="00B33BB6">
              <w:rPr>
                <w:rFonts w:eastAsia="Montserrat" w:cs="Arial"/>
                <w:szCs w:val="22"/>
              </w:rPr>
              <w:t>kWh</w:t>
            </w:r>
          </w:p>
        </w:tc>
      </w:tr>
      <w:tr w:rsidR="00E95A8F" w:rsidRPr="00B33BB6" w14:paraId="398FF421" w14:textId="77777777" w:rsidTr="00420B43">
        <w:tc>
          <w:tcPr>
            <w:tcW w:w="1895" w:type="dxa"/>
          </w:tcPr>
          <w:p w14:paraId="35136D89"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proj,offgrid,y</m:t>
                    </m:r>
                  </m:sub>
                </m:sSub>
              </m:oMath>
            </m:oMathPara>
          </w:p>
        </w:tc>
        <w:tc>
          <w:tcPr>
            <w:tcW w:w="5899" w:type="dxa"/>
          </w:tcPr>
          <w:p w14:paraId="455DE2C8" w14:textId="77777777" w:rsidR="00E95A8F" w:rsidRPr="00B33BB6" w:rsidRDefault="00E95A8F">
            <w:pPr>
              <w:rPr>
                <w:rFonts w:cs="Arial"/>
                <w:szCs w:val="22"/>
              </w:rPr>
            </w:pPr>
            <w:r w:rsidRPr="00B33BB6">
              <w:rPr>
                <w:rFonts w:eastAsia="Montserrat" w:cs="Arial"/>
                <w:szCs w:val="22"/>
              </w:rPr>
              <w:t xml:space="preserve">Tracked off-grid electricity consumption for cooking in year </w:t>
            </w:r>
            <w:r w:rsidRPr="00B33BB6">
              <w:rPr>
                <w:rFonts w:eastAsia="Montserrat" w:cs="Arial"/>
                <w:i/>
                <w:szCs w:val="22"/>
              </w:rPr>
              <w:t xml:space="preserve">y </w:t>
            </w:r>
          </w:p>
        </w:tc>
        <w:tc>
          <w:tcPr>
            <w:tcW w:w="1415" w:type="dxa"/>
          </w:tcPr>
          <w:p w14:paraId="3DD1ED78" w14:textId="77777777" w:rsidR="00E95A8F" w:rsidRPr="00B33BB6" w:rsidRDefault="00E95A8F">
            <w:pPr>
              <w:rPr>
                <w:rFonts w:eastAsia="Montserrat" w:cs="Arial"/>
                <w:szCs w:val="22"/>
              </w:rPr>
            </w:pPr>
            <w:r w:rsidRPr="00B33BB6">
              <w:rPr>
                <w:rFonts w:eastAsia="Montserrat" w:cs="Arial"/>
                <w:szCs w:val="22"/>
              </w:rPr>
              <w:t>kWh</w:t>
            </w:r>
          </w:p>
        </w:tc>
      </w:tr>
      <w:tr w:rsidR="00E95A8F" w:rsidRPr="00B33BB6" w14:paraId="6CE4905C" w14:textId="77777777" w:rsidTr="00420B43">
        <w:tc>
          <w:tcPr>
            <w:tcW w:w="1895" w:type="dxa"/>
          </w:tcPr>
          <w:p w14:paraId="6295602A"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proj,offgrid,h,y</m:t>
                    </m:r>
                  </m:sub>
                </m:sSub>
              </m:oMath>
            </m:oMathPara>
          </w:p>
        </w:tc>
        <w:tc>
          <w:tcPr>
            <w:tcW w:w="5899" w:type="dxa"/>
          </w:tcPr>
          <w:p w14:paraId="179724B8" w14:textId="77777777" w:rsidR="00E95A8F" w:rsidRPr="00B33BB6" w:rsidRDefault="00000000">
            <w:pPr>
              <w:rPr>
                <w:rFonts w:eastAsia="Montserrat" w:cs="Arial"/>
                <w:szCs w:val="22"/>
              </w:rPr>
            </w:pPr>
            <w:sdt>
              <w:sdtPr>
                <w:rPr>
                  <w:rFonts w:cs="Arial"/>
                  <w:szCs w:val="22"/>
                </w:rPr>
                <w:tag w:val="goog_rdk_31"/>
                <w:id w:val="933166202"/>
              </w:sdtPr>
              <w:sdtContent/>
            </w:sdt>
            <w:sdt>
              <w:sdtPr>
                <w:rPr>
                  <w:rFonts w:cs="Arial"/>
                  <w:szCs w:val="22"/>
                </w:rPr>
                <w:tag w:val="goog_rdk_32"/>
                <w:id w:val="898637432"/>
              </w:sdtPr>
              <w:sdtContent/>
            </w:sdt>
            <w:r w:rsidR="00E95A8F" w:rsidRPr="00B33BB6">
              <w:rPr>
                <w:rFonts w:eastAsia="Montserrat" w:cs="Arial"/>
                <w:szCs w:val="22"/>
              </w:rPr>
              <w:t xml:space="preserve">Tracked off-grid electricity consumed for cooking in household </w:t>
            </w:r>
            <w:r w:rsidR="00E95A8F" w:rsidRPr="00B33BB6">
              <w:rPr>
                <w:rFonts w:eastAsia="Montserrat" w:cs="Arial"/>
                <w:i/>
                <w:szCs w:val="22"/>
              </w:rPr>
              <w:t>h</w:t>
            </w:r>
            <w:r w:rsidR="00E95A8F" w:rsidRPr="00B33BB6">
              <w:rPr>
                <w:rFonts w:eastAsia="Montserrat" w:cs="Arial"/>
                <w:szCs w:val="22"/>
              </w:rPr>
              <w:t xml:space="preserve"> in year </w:t>
            </w:r>
            <w:r w:rsidR="00E95A8F" w:rsidRPr="00B33BB6">
              <w:rPr>
                <w:rFonts w:eastAsia="Montserrat" w:cs="Arial"/>
                <w:i/>
                <w:szCs w:val="22"/>
              </w:rPr>
              <w:t>y</w:t>
            </w:r>
            <w:r w:rsidR="00E95A8F" w:rsidRPr="00B33BB6">
              <w:rPr>
                <w:rFonts w:eastAsia="Montserrat" w:cs="Arial"/>
                <w:szCs w:val="22"/>
              </w:rPr>
              <w:t xml:space="preserve"> </w:t>
            </w:r>
          </w:p>
        </w:tc>
        <w:tc>
          <w:tcPr>
            <w:tcW w:w="1415" w:type="dxa"/>
          </w:tcPr>
          <w:p w14:paraId="1C686B2E" w14:textId="77777777" w:rsidR="00E95A8F" w:rsidRPr="00B33BB6" w:rsidRDefault="00E95A8F">
            <w:pPr>
              <w:rPr>
                <w:rFonts w:eastAsia="Montserrat" w:cs="Arial"/>
                <w:szCs w:val="22"/>
              </w:rPr>
            </w:pPr>
            <w:r w:rsidRPr="00B33BB6">
              <w:rPr>
                <w:rFonts w:eastAsia="Montserrat" w:cs="Arial"/>
                <w:szCs w:val="22"/>
              </w:rPr>
              <w:t>kWh</w:t>
            </w:r>
          </w:p>
        </w:tc>
      </w:tr>
      <w:tr w:rsidR="00E95A8F" w:rsidRPr="00B33BB6" w14:paraId="23E898DF" w14:textId="77777777" w:rsidTr="00420B43">
        <w:tc>
          <w:tcPr>
            <w:tcW w:w="1895" w:type="dxa"/>
          </w:tcPr>
          <w:p w14:paraId="178312A9" w14:textId="77777777" w:rsidR="00E95A8F" w:rsidRPr="00B33BB6" w:rsidRDefault="0001396C">
            <w:pPr>
              <w:rPr>
                <w:rFonts w:eastAsia="Montserrat" w:cs="Arial"/>
                <w:szCs w:val="22"/>
              </w:rPr>
            </w:pPr>
            <m:oMathPara>
              <m:oMath>
                <m:r>
                  <w:rPr>
                    <w:rFonts w:ascii="Cambria Math" w:eastAsia="Cambria Math" w:hAnsi="Cambria Math" w:cs="Arial"/>
                    <w:szCs w:val="22"/>
                  </w:rPr>
                  <m:t>h</m:t>
                </m:r>
              </m:oMath>
            </m:oMathPara>
          </w:p>
        </w:tc>
        <w:tc>
          <w:tcPr>
            <w:tcW w:w="5899" w:type="dxa"/>
          </w:tcPr>
          <w:p w14:paraId="1A6F8CD4" w14:textId="77777777" w:rsidR="00E95A8F" w:rsidRPr="00B33BB6" w:rsidRDefault="00E95A8F">
            <w:pPr>
              <w:rPr>
                <w:rFonts w:eastAsia="Montserrat" w:cs="Arial"/>
                <w:szCs w:val="22"/>
              </w:rPr>
            </w:pPr>
            <w:r w:rsidRPr="00B33BB6">
              <w:rPr>
                <w:rFonts w:eastAsia="Montserrat" w:cs="Arial"/>
                <w:szCs w:val="22"/>
              </w:rPr>
              <w:t>Project households</w:t>
            </w:r>
          </w:p>
        </w:tc>
        <w:tc>
          <w:tcPr>
            <w:tcW w:w="1415" w:type="dxa"/>
          </w:tcPr>
          <w:p w14:paraId="447A53AB" w14:textId="77777777" w:rsidR="00E95A8F" w:rsidRPr="00B33BB6" w:rsidRDefault="00E95A8F">
            <w:pPr>
              <w:rPr>
                <w:rFonts w:eastAsia="Montserrat" w:cs="Arial"/>
                <w:szCs w:val="22"/>
              </w:rPr>
            </w:pPr>
            <w:r w:rsidRPr="00B33BB6">
              <w:rPr>
                <w:rFonts w:eastAsia="Montserrat" w:cs="Arial"/>
                <w:szCs w:val="22"/>
              </w:rPr>
              <w:t>Number</w:t>
            </w:r>
          </w:p>
        </w:tc>
      </w:tr>
    </w:tbl>
    <w:p w14:paraId="2D3D5D02" w14:textId="77777777" w:rsidR="00E95A8F" w:rsidRPr="00B33BB6" w:rsidRDefault="00E95A8F" w:rsidP="00E95A8F">
      <w:pPr>
        <w:rPr>
          <w:rFonts w:eastAsia="Montserrat" w:cs="Arial"/>
          <w:b/>
          <w:szCs w:val="22"/>
        </w:rPr>
      </w:pPr>
    </w:p>
    <w:p w14:paraId="1608BA82" w14:textId="1F9270A2" w:rsidR="00E95A8F" w:rsidRPr="00420B43" w:rsidRDefault="00E95A8F" w:rsidP="00420B43">
      <w:pPr>
        <w:pStyle w:val="SDMPara"/>
        <w:spacing w:before="160" w:after="80"/>
        <w:rPr>
          <w:color w:val="000000" w:themeColor="text1"/>
        </w:rPr>
      </w:pPr>
      <w:r w:rsidRPr="00420B43">
        <w:rPr>
          <w:rFonts w:eastAsia="Montserrat"/>
          <w:b/>
          <w:bCs/>
          <w:color w:val="000000" w:themeColor="text1"/>
        </w:rPr>
        <w:t>CTEC projects using tracked energy consumption and KPTs</w:t>
      </w:r>
      <w:r w:rsidR="00420B43">
        <w:rPr>
          <w:rFonts w:eastAsia="Montserrat"/>
          <w:color w:val="000000" w:themeColor="text1"/>
        </w:rPr>
        <w:t xml:space="preserve">: </w:t>
      </w:r>
      <w:r w:rsidRPr="00420B43">
        <w:rPr>
          <w:rFonts w:eastAsia="Montserrat"/>
          <w:color w:val="000000" w:themeColor="text1"/>
        </w:rPr>
        <w:t xml:space="preserve">Project emissions for CTEC projects using this option are calculated using </w:t>
      </w:r>
      <w:r w:rsidRPr="00420B43">
        <w:rPr>
          <w:rFonts w:eastAsia="Montserrat"/>
        </w:rPr>
        <w:t>Equation (14)</w:t>
      </w:r>
      <w:r w:rsidRPr="00420B43">
        <w:rPr>
          <w:rFonts w:eastAsia="Montserrat"/>
          <w:color w:val="000000" w:themeColor="text1"/>
        </w:rPr>
        <w:t>.</w:t>
      </w:r>
    </w:p>
    <w:p w14:paraId="67E7D5AE" w14:textId="77777777" w:rsidR="00E95A8F" w:rsidRPr="00B33BB6" w:rsidRDefault="00E95A8F" w:rsidP="00E95A8F">
      <w:pPr>
        <w:rPr>
          <w:rFonts w:eastAsia="Montserrat" w:cs="Arial"/>
          <w:szCs w:val="22"/>
        </w:rPr>
      </w:pPr>
    </w:p>
    <w:tbl>
      <w:tblPr>
        <w:tblW w:w="0" w:type="auto"/>
        <w:tblInd w:w="-345" w:type="dxa"/>
        <w:tblBorders>
          <w:top w:val="nil"/>
          <w:left w:val="nil"/>
          <w:bottom w:val="nil"/>
          <w:right w:val="nil"/>
          <w:insideH w:val="nil"/>
          <w:insideV w:val="nil"/>
        </w:tblBorders>
        <w:tblLayout w:type="fixed"/>
        <w:tblLook w:val="0400" w:firstRow="0" w:lastRow="0" w:firstColumn="0" w:lastColumn="0" w:noHBand="0" w:noVBand="1"/>
      </w:tblPr>
      <w:tblGrid>
        <w:gridCol w:w="8709"/>
        <w:gridCol w:w="708"/>
      </w:tblGrid>
      <w:tr w:rsidR="00E95A8F" w:rsidRPr="00B33BB6" w14:paraId="4C1457E4" w14:textId="77777777">
        <w:tc>
          <w:tcPr>
            <w:tcW w:w="8709" w:type="dxa"/>
            <w:tcBorders>
              <w:top w:val="nil"/>
              <w:left w:val="nil"/>
              <w:bottom w:val="nil"/>
              <w:right w:val="nil"/>
            </w:tcBorders>
            <w:vAlign w:val="center"/>
          </w:tcPr>
          <w:p w14:paraId="43FD66DA" w14:textId="77777777" w:rsidR="0001396C" w:rsidRPr="00B33BB6" w:rsidRDefault="00000000">
            <w:pPr>
              <w:jc w:val="center"/>
              <w:rPr>
                <w:rFonts w:ascii="Cambria Math" w:eastAsia="Cambria Math" w:hAnsi="Cambria Math" w:cs="Arial"/>
                <w:szCs w:val="22"/>
                <w:oMath/>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y</m:t>
                    </m:r>
                  </m:sub>
                </m:sSub>
                <m:r>
                  <w:rPr>
                    <w:rFonts w:ascii="Cambria Math" w:eastAsia="Cambria Math" w:hAnsi="Cambria Math" w:cs="Arial"/>
                    <w:szCs w:val="22"/>
                  </w:rPr>
                  <m:t xml:space="preserve"> =  </m:t>
                </m:r>
                <m:sSub>
                  <m:sSubPr>
                    <m:ctrlPr>
                      <w:rPr>
                        <w:rFonts w:ascii="Cambria Math" w:eastAsia="Cambria Math" w:hAnsi="Cambria Math" w:cs="Arial"/>
                        <w:szCs w:val="22"/>
                      </w:rPr>
                    </m:ctrlPr>
                  </m:sSubPr>
                  <m:e>
                    <m:r>
                      <w:rPr>
                        <w:rFonts w:ascii="Cambria Math" w:eastAsia="Cambria Math" w:hAnsi="Cambria Math" w:cs="Arial"/>
                        <w:szCs w:val="22"/>
                      </w:rPr>
                      <m:t>EQ</m:t>
                    </m:r>
                  </m:e>
                  <m:sub>
                    <m:r>
                      <w:rPr>
                        <w:rFonts w:ascii="Cambria Math" w:eastAsia="Cambria Math" w:hAnsi="Cambria Math" w:cs="Arial"/>
                        <w:szCs w:val="22"/>
                      </w:rPr>
                      <m:t>proj</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r>
                  <w:rPr>
                    <w:rFonts w:ascii="Cambria Math" w:eastAsia="Cambria Math" w:hAnsi="Cambria Math" w:cs="Arial"/>
                    <w:szCs w:val="22"/>
                  </w:rPr>
                  <m:t>+</m:t>
                </m:r>
                <m:nary>
                  <m:naryPr>
                    <m:chr m:val="∑"/>
                    <m:supHide m:val="1"/>
                    <m:ctrlPr>
                      <w:rPr>
                        <w:rFonts w:ascii="Cambria Math" w:eastAsia="Cambria Math" w:hAnsi="Cambria Math" w:cs="Arial"/>
                        <w:szCs w:val="22"/>
                      </w:rPr>
                    </m:ctrlPr>
                  </m:naryPr>
                  <m:sub>
                    <m:r>
                      <w:rPr>
                        <w:rFonts w:ascii="Cambria Math" w:eastAsia="Cambria Math" w:hAnsi="Cambria Math" w:cs="Arial"/>
                        <w:szCs w:val="22"/>
                      </w:rPr>
                      <m:t>j</m:t>
                    </m:r>
                  </m:sub>
                  <m:sup/>
                  <m:e>
                    <m:r>
                      <w:rPr>
                        <w:rFonts w:ascii="Cambria Math" w:eastAsia="Cambria Math" w:hAnsi="Cambria Math" w:cs="Arial"/>
                        <w:szCs w:val="22"/>
                      </w:rPr>
                      <m:t xml:space="preserve"> </m:t>
                    </m:r>
                  </m:e>
                </m:nary>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proj,j, y</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elec,y</m:t>
                    </m:r>
                  </m:sub>
                </m:sSub>
              </m:oMath>
            </m:oMathPara>
          </w:p>
        </w:tc>
        <w:tc>
          <w:tcPr>
            <w:tcW w:w="708" w:type="dxa"/>
            <w:tcBorders>
              <w:top w:val="nil"/>
              <w:left w:val="nil"/>
              <w:bottom w:val="nil"/>
              <w:right w:val="nil"/>
            </w:tcBorders>
            <w:vAlign w:val="center"/>
          </w:tcPr>
          <w:p w14:paraId="6B5F8F96" w14:textId="77777777" w:rsidR="00E95A8F" w:rsidRPr="00B33BB6" w:rsidRDefault="00E95A8F">
            <w:pPr>
              <w:jc w:val="center"/>
              <w:rPr>
                <w:rFonts w:cs="Arial"/>
                <w:szCs w:val="22"/>
              </w:rPr>
            </w:pPr>
            <w:bookmarkStart w:id="69" w:name="e14"/>
            <w:r w:rsidRPr="00B33BB6">
              <w:rPr>
                <w:rFonts w:cs="Arial"/>
                <w:szCs w:val="22"/>
              </w:rPr>
              <w:t>(14)</w:t>
            </w:r>
            <w:bookmarkEnd w:id="69"/>
          </w:p>
        </w:tc>
      </w:tr>
    </w:tbl>
    <w:p w14:paraId="437C9CF8" w14:textId="77777777" w:rsidR="00E95A8F" w:rsidRPr="00B33BB6" w:rsidRDefault="00E95A8F" w:rsidP="00420B43">
      <w:pPr>
        <w:ind w:left="709"/>
        <w:rPr>
          <w:rFonts w:eastAsia="Montserrat" w:cs="Arial"/>
          <w:szCs w:val="22"/>
        </w:rPr>
      </w:pPr>
      <w:r w:rsidRPr="00B33BB6">
        <w:rPr>
          <w:rFonts w:eastAsia="Montserrat" w:cs="Arial"/>
          <w:szCs w:val="22"/>
        </w:rPr>
        <w:t>Where:</w:t>
      </w:r>
    </w:p>
    <w:p w14:paraId="1E9EB973" w14:textId="77777777" w:rsidR="00E95A8F" w:rsidRPr="00B33BB6" w:rsidRDefault="00E95A8F" w:rsidP="00420B43">
      <w:pPr>
        <w:ind w:left="709"/>
        <w:rPr>
          <w:rFonts w:eastAsia="Montserrat" w:cs="Arial"/>
          <w:szCs w:val="22"/>
        </w:rPr>
      </w:pPr>
    </w:p>
    <w:tbl>
      <w:tblPr>
        <w:tblStyle w:val="TableGrid"/>
        <w:tblW w:w="9209" w:type="dxa"/>
        <w:tblInd w:w="709" w:type="dxa"/>
        <w:tblLook w:val="04A0" w:firstRow="1" w:lastRow="0" w:firstColumn="1" w:lastColumn="0" w:noHBand="0" w:noVBand="1"/>
      </w:tblPr>
      <w:tblGrid>
        <w:gridCol w:w="1833"/>
        <w:gridCol w:w="5675"/>
        <w:gridCol w:w="1701"/>
      </w:tblGrid>
      <w:tr w:rsidR="00E95A8F" w:rsidRPr="00B33BB6" w14:paraId="1FD5F1AF" w14:textId="77777777" w:rsidTr="00420B43">
        <w:tc>
          <w:tcPr>
            <w:tcW w:w="1833" w:type="dxa"/>
          </w:tcPr>
          <w:p w14:paraId="4A3D4512" w14:textId="77777777" w:rsidR="00E95A8F" w:rsidRPr="00B33BB6" w:rsidRDefault="00E95A8F">
            <w:pPr>
              <w:rPr>
                <w:rFonts w:eastAsia="Montserrat" w:cs="Arial"/>
                <w:b/>
                <w:szCs w:val="22"/>
              </w:rPr>
            </w:pPr>
            <w:r w:rsidRPr="00B33BB6">
              <w:rPr>
                <w:rFonts w:eastAsia="Montserrat" w:cs="Arial"/>
                <w:b/>
                <w:szCs w:val="22"/>
              </w:rPr>
              <w:t>Parameter</w:t>
            </w:r>
          </w:p>
        </w:tc>
        <w:tc>
          <w:tcPr>
            <w:tcW w:w="5675" w:type="dxa"/>
          </w:tcPr>
          <w:p w14:paraId="2B8FAAA4" w14:textId="77777777" w:rsidR="00E95A8F" w:rsidRPr="00B33BB6" w:rsidRDefault="00E95A8F">
            <w:pPr>
              <w:rPr>
                <w:rFonts w:eastAsia="Montserrat" w:cs="Arial"/>
                <w:b/>
                <w:szCs w:val="22"/>
              </w:rPr>
            </w:pPr>
            <w:r w:rsidRPr="00B33BB6">
              <w:rPr>
                <w:rFonts w:eastAsia="Montserrat" w:cs="Arial"/>
                <w:b/>
                <w:szCs w:val="22"/>
              </w:rPr>
              <w:t>Description</w:t>
            </w:r>
          </w:p>
        </w:tc>
        <w:tc>
          <w:tcPr>
            <w:tcW w:w="1701" w:type="dxa"/>
          </w:tcPr>
          <w:p w14:paraId="41922D05" w14:textId="77777777" w:rsidR="00E95A8F" w:rsidRPr="00B33BB6" w:rsidRDefault="00E95A8F">
            <w:pPr>
              <w:rPr>
                <w:rFonts w:eastAsia="Montserrat" w:cs="Arial"/>
                <w:b/>
                <w:szCs w:val="22"/>
              </w:rPr>
            </w:pPr>
            <w:r w:rsidRPr="00B33BB6">
              <w:rPr>
                <w:rFonts w:eastAsia="Montserrat" w:cs="Arial"/>
                <w:b/>
                <w:szCs w:val="22"/>
              </w:rPr>
              <w:t>Unit</w:t>
            </w:r>
          </w:p>
        </w:tc>
      </w:tr>
      <w:tr w:rsidR="00E95A8F" w:rsidRPr="00B33BB6" w14:paraId="4576120F" w14:textId="77777777" w:rsidTr="00420B43">
        <w:tc>
          <w:tcPr>
            <w:tcW w:w="1833" w:type="dxa"/>
          </w:tcPr>
          <w:p w14:paraId="6DA58A62" w14:textId="77777777" w:rsidR="00E95A8F"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y</m:t>
                    </m:r>
                  </m:sub>
                </m:sSub>
              </m:oMath>
            </m:oMathPara>
          </w:p>
        </w:tc>
        <w:tc>
          <w:tcPr>
            <w:tcW w:w="5675" w:type="dxa"/>
          </w:tcPr>
          <w:p w14:paraId="02BABA35" w14:textId="77777777" w:rsidR="00E95A8F" w:rsidRPr="00B33BB6" w:rsidRDefault="00E95A8F">
            <w:pPr>
              <w:rPr>
                <w:rFonts w:eastAsia="Montserrat" w:cs="Arial"/>
                <w:b/>
                <w:szCs w:val="22"/>
              </w:rPr>
            </w:pPr>
            <w:r w:rsidRPr="00B33BB6">
              <w:rPr>
                <w:rFonts w:eastAsia="Montserrat" w:cs="Arial"/>
                <w:szCs w:val="22"/>
              </w:rPr>
              <w:t xml:space="preserve">Project emissions during year </w:t>
            </w:r>
            <w:r w:rsidRPr="00B33BB6">
              <w:rPr>
                <w:rFonts w:eastAsia="Montserrat" w:cs="Arial"/>
                <w:i/>
                <w:szCs w:val="22"/>
              </w:rPr>
              <w:t>y</w:t>
            </w:r>
          </w:p>
        </w:tc>
        <w:tc>
          <w:tcPr>
            <w:tcW w:w="1701" w:type="dxa"/>
          </w:tcPr>
          <w:p w14:paraId="5086263F" w14:textId="77777777" w:rsidR="00E95A8F" w:rsidRPr="00B33BB6" w:rsidRDefault="00E95A8F">
            <w:pPr>
              <w:rPr>
                <w:rFonts w:eastAsia="Montserrat" w:cs="Arial"/>
                <w:b/>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 xml:space="preserve">e </w:t>
            </w:r>
          </w:p>
        </w:tc>
      </w:tr>
      <w:tr w:rsidR="00E95A8F" w:rsidRPr="00DF570E" w14:paraId="018000F2" w14:textId="77777777" w:rsidTr="00420B43">
        <w:tc>
          <w:tcPr>
            <w:tcW w:w="1833" w:type="dxa"/>
          </w:tcPr>
          <w:p w14:paraId="5D9FABC1"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EQ</m:t>
                    </m:r>
                  </m:e>
                  <m:sub>
                    <m:r>
                      <w:rPr>
                        <w:rFonts w:ascii="Cambria Math" w:eastAsia="Cambria Math" w:hAnsi="Cambria Math" w:cs="Arial"/>
                        <w:szCs w:val="22"/>
                      </w:rPr>
                      <m:t>proj</m:t>
                    </m:r>
                  </m:sub>
                </m:sSub>
              </m:oMath>
            </m:oMathPara>
          </w:p>
        </w:tc>
        <w:tc>
          <w:tcPr>
            <w:tcW w:w="5675" w:type="dxa"/>
          </w:tcPr>
          <w:p w14:paraId="518CF0F1" w14:textId="77777777" w:rsidR="00E95A8F" w:rsidRPr="00B33BB6" w:rsidRDefault="00E95A8F">
            <w:pPr>
              <w:rPr>
                <w:rFonts w:eastAsia="Montserrat" w:cs="Arial"/>
                <w:szCs w:val="22"/>
              </w:rPr>
            </w:pPr>
            <w:r w:rsidRPr="00B33BB6">
              <w:rPr>
                <w:rFonts w:eastAsia="Montserrat" w:cs="Arial"/>
                <w:szCs w:val="22"/>
              </w:rPr>
              <w:t xml:space="preserve">Emissions quotient for the consumption of energy for cooking in project scenario in year </w:t>
            </w:r>
            <w:r w:rsidRPr="00B33BB6">
              <w:rPr>
                <w:rFonts w:eastAsia="Montserrat" w:cs="Arial"/>
                <w:i/>
                <w:szCs w:val="22"/>
              </w:rPr>
              <w:t>y</w:t>
            </w:r>
          </w:p>
        </w:tc>
        <w:tc>
          <w:tcPr>
            <w:tcW w:w="1701" w:type="dxa"/>
          </w:tcPr>
          <w:p w14:paraId="2704219F" w14:textId="77777777" w:rsidR="00E95A8F" w:rsidRPr="00B33BB6" w:rsidRDefault="00E95A8F">
            <w:pPr>
              <w:rPr>
                <w:rFonts w:eastAsia="Montserrat" w:cs="Arial"/>
                <w:szCs w:val="22"/>
                <w:lang w:val="es-GT"/>
              </w:rPr>
            </w:pPr>
            <w:r w:rsidRPr="00B33BB6">
              <w:rPr>
                <w:rFonts w:eastAsia="Montserrat" w:cs="Arial"/>
                <w:szCs w:val="22"/>
                <w:lang w:val="es-GT"/>
              </w:rPr>
              <w:t>tCO</w:t>
            </w:r>
            <w:r w:rsidRPr="00B33BB6">
              <w:rPr>
                <w:rFonts w:eastAsia="Montserrat" w:cs="Arial"/>
                <w:szCs w:val="22"/>
                <w:vertAlign w:val="subscript"/>
                <w:lang w:val="es-GT"/>
              </w:rPr>
              <w:t>2</w:t>
            </w:r>
            <w:r w:rsidRPr="00B33BB6">
              <w:rPr>
                <w:rFonts w:eastAsia="Montserrat" w:cs="Arial"/>
                <w:szCs w:val="22"/>
                <w:lang w:val="es-GT"/>
              </w:rPr>
              <w:t xml:space="preserve">e/TJ </w:t>
            </w:r>
          </w:p>
          <w:p w14:paraId="648AA2F5" w14:textId="77777777" w:rsidR="00E95A8F" w:rsidRPr="00B33BB6" w:rsidRDefault="00E95A8F">
            <w:pPr>
              <w:rPr>
                <w:rFonts w:eastAsia="Montserrat" w:cs="Arial"/>
                <w:szCs w:val="22"/>
                <w:lang w:val="es-GT"/>
              </w:rPr>
            </w:pPr>
            <w:proofErr w:type="spellStart"/>
            <w:r w:rsidRPr="00B33BB6">
              <w:rPr>
                <w:rFonts w:eastAsia="Montserrat" w:cs="Arial"/>
                <w:szCs w:val="22"/>
                <w:lang w:val="es-GT"/>
              </w:rPr>
              <w:t>or</w:t>
            </w:r>
            <w:proofErr w:type="spellEnd"/>
            <w:r w:rsidRPr="00B33BB6">
              <w:rPr>
                <w:rFonts w:eastAsia="Montserrat" w:cs="Arial"/>
                <w:szCs w:val="22"/>
                <w:lang w:val="es-GT"/>
              </w:rPr>
              <w:t xml:space="preserve"> </w:t>
            </w:r>
          </w:p>
          <w:p w14:paraId="359A74CF" w14:textId="77777777" w:rsidR="00E95A8F" w:rsidRPr="00B33BB6" w:rsidRDefault="00E95A8F">
            <w:pPr>
              <w:rPr>
                <w:rFonts w:eastAsia="Montserrat" w:cs="Arial"/>
                <w:szCs w:val="22"/>
                <w:lang w:val="es-GT"/>
              </w:rPr>
            </w:pPr>
            <w:r w:rsidRPr="00B33BB6">
              <w:rPr>
                <w:rFonts w:eastAsia="Montserrat" w:cs="Arial"/>
                <w:szCs w:val="22"/>
                <w:lang w:val="es-GT"/>
              </w:rPr>
              <w:t>tCO</w:t>
            </w:r>
            <w:r w:rsidRPr="00B33BB6">
              <w:rPr>
                <w:rFonts w:eastAsia="Montserrat" w:cs="Arial"/>
                <w:szCs w:val="22"/>
                <w:vertAlign w:val="subscript"/>
                <w:lang w:val="es-GT"/>
              </w:rPr>
              <w:t>2</w:t>
            </w:r>
            <w:r w:rsidRPr="00B33BB6">
              <w:rPr>
                <w:rFonts w:eastAsia="Montserrat" w:cs="Arial"/>
                <w:szCs w:val="22"/>
                <w:lang w:val="es-GT"/>
              </w:rPr>
              <w:t>e/kWh</w:t>
            </w:r>
          </w:p>
        </w:tc>
      </w:tr>
      <w:tr w:rsidR="00E95A8F" w:rsidRPr="00B33BB6" w14:paraId="79717DB6" w14:textId="77777777" w:rsidTr="00420B43">
        <w:tc>
          <w:tcPr>
            <w:tcW w:w="1833" w:type="dxa"/>
          </w:tcPr>
          <w:p w14:paraId="26B0EBED"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oMath>
            </m:oMathPara>
          </w:p>
        </w:tc>
        <w:tc>
          <w:tcPr>
            <w:tcW w:w="5675" w:type="dxa"/>
          </w:tcPr>
          <w:p w14:paraId="6C57BCC9" w14:textId="77777777" w:rsidR="00E95A8F" w:rsidRPr="00B33BB6" w:rsidRDefault="00E95A8F">
            <w:pPr>
              <w:rPr>
                <w:rFonts w:eastAsia="Montserrat" w:cs="Arial"/>
                <w:szCs w:val="22"/>
              </w:rPr>
            </w:pPr>
            <w:r w:rsidRPr="00B33BB6">
              <w:rPr>
                <w:rFonts w:eastAsia="Montserrat" w:cs="Arial"/>
                <w:szCs w:val="22"/>
              </w:rPr>
              <w:t xml:space="preserve">Total tracked energy consumption of project fuel </w:t>
            </w:r>
            <w:r w:rsidRPr="00B33BB6">
              <w:rPr>
                <w:rFonts w:eastAsia="Montserrat" w:cs="Arial"/>
                <w:i/>
                <w:szCs w:val="22"/>
              </w:rPr>
              <w:t xml:space="preserve">j </w:t>
            </w:r>
            <w:r w:rsidRPr="00B33BB6">
              <w:rPr>
                <w:rFonts w:eastAsia="Montserrat" w:cs="Arial"/>
                <w:szCs w:val="22"/>
              </w:rPr>
              <w:t xml:space="preserve">for CTEC projects in year </w:t>
            </w:r>
            <w:r w:rsidRPr="00B33BB6">
              <w:rPr>
                <w:rFonts w:eastAsia="Montserrat" w:cs="Arial"/>
                <w:i/>
                <w:szCs w:val="22"/>
              </w:rPr>
              <w:t>y</w:t>
            </w:r>
            <w:r w:rsidRPr="00B33BB6">
              <w:rPr>
                <w:rFonts w:eastAsia="Montserrat" w:cs="Arial"/>
                <w:szCs w:val="22"/>
              </w:rPr>
              <w:t xml:space="preserve"> </w:t>
            </w:r>
          </w:p>
        </w:tc>
        <w:tc>
          <w:tcPr>
            <w:tcW w:w="1701" w:type="dxa"/>
          </w:tcPr>
          <w:p w14:paraId="7CF2609E" w14:textId="77777777" w:rsidR="00E95A8F" w:rsidRPr="00B33BB6" w:rsidRDefault="00E95A8F">
            <w:pPr>
              <w:rPr>
                <w:rFonts w:eastAsia="Montserrat" w:cs="Arial"/>
                <w:szCs w:val="22"/>
              </w:rPr>
            </w:pPr>
            <w:r w:rsidRPr="00B33BB6">
              <w:rPr>
                <w:rFonts w:eastAsia="Montserrat" w:cs="Arial"/>
                <w:szCs w:val="22"/>
              </w:rPr>
              <w:t>TJ or kWh</w:t>
            </w:r>
          </w:p>
        </w:tc>
      </w:tr>
      <w:tr w:rsidR="00E95A8F" w:rsidRPr="00B33BB6" w14:paraId="5AA23F4A" w14:textId="77777777" w:rsidTr="00420B43">
        <w:tc>
          <w:tcPr>
            <w:tcW w:w="1833" w:type="dxa"/>
          </w:tcPr>
          <w:p w14:paraId="11F0BA1D"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proj,j,y</m:t>
                    </m:r>
                  </m:sub>
                </m:sSub>
              </m:oMath>
            </m:oMathPara>
          </w:p>
        </w:tc>
        <w:tc>
          <w:tcPr>
            <w:tcW w:w="5675" w:type="dxa"/>
          </w:tcPr>
          <w:p w14:paraId="5B209BE9" w14:textId="7F10C203" w:rsidR="00E95A8F" w:rsidRPr="00B33BB6" w:rsidRDefault="00E95A8F">
            <w:pPr>
              <w:rPr>
                <w:rFonts w:eastAsia="Montserrat" w:cs="Arial"/>
                <w:szCs w:val="22"/>
              </w:rPr>
            </w:pPr>
            <w:r w:rsidRPr="00B33BB6">
              <w:rPr>
                <w:rFonts w:eastAsia="Montserrat" w:cs="Arial"/>
                <w:szCs w:val="22"/>
              </w:rPr>
              <w:t>Upstream emissions for project fuel</w:t>
            </w:r>
            <w:r w:rsidRPr="00B33BB6">
              <w:rPr>
                <w:rFonts w:eastAsia="Montserrat" w:cs="Arial"/>
                <w:i/>
                <w:szCs w:val="22"/>
              </w:rPr>
              <w:t xml:space="preserve"> j </w:t>
            </w:r>
            <w:r w:rsidRPr="00B33BB6">
              <w:rPr>
                <w:rFonts w:eastAsia="Montserrat" w:cs="Arial"/>
                <w:szCs w:val="22"/>
              </w:rPr>
              <w:t xml:space="preserve">in year </w:t>
            </w:r>
            <w:r w:rsidRPr="00B33BB6">
              <w:rPr>
                <w:rFonts w:eastAsia="Montserrat" w:cs="Arial"/>
                <w:i/>
                <w:szCs w:val="22"/>
              </w:rPr>
              <w:t>y</w:t>
            </w:r>
            <w:r w:rsidRPr="00B33BB6">
              <w:rPr>
                <w:rFonts w:eastAsia="Montserrat" w:cs="Arial"/>
                <w:szCs w:val="22"/>
              </w:rPr>
              <w:t xml:space="preserve">, </w:t>
            </w:r>
            <w:r w:rsidRPr="002B4BBF">
              <w:rPr>
                <w:rFonts w:eastAsia="Montserrat" w:cs="Arial"/>
                <w:szCs w:val="22"/>
              </w:rPr>
              <w:t xml:space="preserve">determined following </w:t>
            </w:r>
            <w:r w:rsidR="00D840A1" w:rsidRPr="002B4BBF">
              <w:rPr>
                <w:rFonts w:eastAsia="Montserrat" w:cs="Arial"/>
                <w:szCs w:val="22"/>
              </w:rPr>
              <w:t>the “</w:t>
            </w:r>
            <w:r w:rsidR="00D840A1" w:rsidRPr="002B4BBF">
              <w:rPr>
                <w:rFonts w:eastAsia="Montserrat" w:cs="Arial"/>
                <w:i/>
                <w:szCs w:val="22"/>
                <w:shd w:val="clear" w:color="auto" w:fill="FFFFFF"/>
              </w:rPr>
              <w:t xml:space="preserve">Upstream Emissions </w:t>
            </w:r>
            <w:r w:rsidR="00D840A1" w:rsidRPr="002B4BBF">
              <w:rPr>
                <w:rFonts w:cs="Arial"/>
                <w:i/>
                <w:iCs/>
                <w:szCs w:val="22"/>
                <w:shd w:val="clear" w:color="auto" w:fill="FFFFFF"/>
              </w:rPr>
              <w:t>for the Project Scenario”</w:t>
            </w:r>
            <w:r w:rsidR="00D840A1" w:rsidRPr="002B4BBF">
              <w:rPr>
                <w:rFonts w:eastAsia="Montserrat" w:cs="Arial"/>
                <w:szCs w:val="22"/>
              </w:rPr>
              <w:t xml:space="preserve"> requirements presented in </w:t>
            </w:r>
            <w:hyperlink w:anchor="S111" w:history="1">
              <w:r w:rsidR="00D840A1" w:rsidRPr="002B4BBF">
                <w:rPr>
                  <w:rStyle w:val="Hyperlink"/>
                  <w:rFonts w:eastAsia="Montserrat" w:cs="Arial"/>
                  <w:szCs w:val="22"/>
                  <w:lang w:val="en-GB"/>
                </w:rPr>
                <w:t>s</w:t>
              </w:r>
              <w:proofErr w:type="spellStart"/>
              <w:r w:rsidR="00D840A1" w:rsidRPr="002B4BBF">
                <w:rPr>
                  <w:rStyle w:val="Hyperlink"/>
                  <w:rFonts w:eastAsia="Montserrat" w:cs="Arial"/>
                  <w:szCs w:val="22"/>
                  <w:shd w:val="clear" w:color="auto" w:fill="FFFFFF"/>
                </w:rPr>
                <w:t>ection</w:t>
              </w:r>
              <w:proofErr w:type="spellEnd"/>
              <w:r w:rsidR="00D840A1" w:rsidRPr="002B4BBF">
                <w:rPr>
                  <w:rStyle w:val="Hyperlink"/>
                  <w:rFonts w:eastAsia="Montserrat" w:cs="Arial"/>
                  <w:szCs w:val="22"/>
                  <w:shd w:val="clear" w:color="auto" w:fill="FFFFFF"/>
                </w:rPr>
                <w:t xml:space="preserve"> </w:t>
              </w:r>
              <w:r w:rsidR="00D840A1" w:rsidRPr="002B4BBF">
                <w:rPr>
                  <w:rStyle w:val="Hyperlink"/>
                  <w:rFonts w:cs="Arial"/>
                  <w:szCs w:val="22"/>
                  <w:shd w:val="clear" w:color="auto" w:fill="FFFFFF"/>
                </w:rPr>
                <w:t>11.1.</w:t>
              </w:r>
            </w:hyperlink>
          </w:p>
        </w:tc>
        <w:tc>
          <w:tcPr>
            <w:tcW w:w="1701" w:type="dxa"/>
          </w:tcPr>
          <w:p w14:paraId="0D0A2E63"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E95A8F" w:rsidRPr="00B33BB6" w14:paraId="17AEE237" w14:textId="77777777" w:rsidTr="00420B43">
        <w:tc>
          <w:tcPr>
            <w:tcW w:w="1833" w:type="dxa"/>
          </w:tcPr>
          <w:p w14:paraId="1D62E3FC"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elec,y</m:t>
                    </m:r>
                  </m:sub>
                </m:sSub>
              </m:oMath>
            </m:oMathPara>
          </w:p>
        </w:tc>
        <w:tc>
          <w:tcPr>
            <w:tcW w:w="5675" w:type="dxa"/>
          </w:tcPr>
          <w:p w14:paraId="75D0F5D0" w14:textId="7390C012" w:rsidR="00E95A8F" w:rsidRPr="00B33BB6" w:rsidRDefault="00E95A8F">
            <w:pPr>
              <w:rPr>
                <w:rFonts w:eastAsia="Montserrat" w:cs="Arial"/>
                <w:szCs w:val="22"/>
              </w:rPr>
            </w:pPr>
            <w:r w:rsidRPr="00B33BB6">
              <w:rPr>
                <w:rFonts w:eastAsia="Montserrat" w:cs="Arial"/>
                <w:szCs w:val="22"/>
              </w:rPr>
              <w:t xml:space="preserve">Emissions from electric energy consumption in year </w:t>
            </w:r>
            <w:r w:rsidRPr="00B33BB6">
              <w:rPr>
                <w:rFonts w:eastAsia="Montserrat" w:cs="Arial"/>
                <w:i/>
                <w:szCs w:val="22"/>
              </w:rPr>
              <w:t>y</w:t>
            </w:r>
            <w:r w:rsidRPr="00B33BB6">
              <w:rPr>
                <w:rFonts w:eastAsia="Montserrat" w:cs="Arial"/>
                <w:szCs w:val="22"/>
              </w:rPr>
              <w:t xml:space="preserve"> (</w:t>
            </w:r>
            <w:r w:rsidRPr="003A1A70">
              <w:rPr>
                <w:rFonts w:eastAsia="Montserrat" w:cs="Arial"/>
                <w:szCs w:val="22"/>
              </w:rPr>
              <w:t xml:space="preserve">See </w:t>
            </w:r>
            <w:hyperlink w:anchor="e9" w:history="1">
              <w:r w:rsidRPr="003A1A70">
                <w:rPr>
                  <w:rStyle w:val="Hyperlink"/>
                  <w:rFonts w:eastAsia="Montserrat" w:cs="Arial"/>
                  <w:szCs w:val="22"/>
                  <w:lang w:val="en-GB"/>
                </w:rPr>
                <w:t>Equation 9</w:t>
              </w:r>
            </w:hyperlink>
            <w:r w:rsidRPr="003A1A70">
              <w:rPr>
                <w:rFonts w:eastAsia="Montserrat" w:cs="Arial"/>
                <w:szCs w:val="22"/>
              </w:rPr>
              <w:t>)</w:t>
            </w:r>
          </w:p>
        </w:tc>
        <w:tc>
          <w:tcPr>
            <w:tcW w:w="1701" w:type="dxa"/>
          </w:tcPr>
          <w:p w14:paraId="6C732066"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bl>
    <w:p w14:paraId="2B2926E2" w14:textId="77777777" w:rsidR="00E95A8F" w:rsidRPr="00B33BB6" w:rsidRDefault="00E95A8F" w:rsidP="00420B43">
      <w:pPr>
        <w:ind w:left="709"/>
        <w:rPr>
          <w:rFonts w:eastAsia="Montserrat" w:cs="Arial"/>
          <w:szCs w:val="22"/>
        </w:rPr>
      </w:pPr>
    </w:p>
    <w:p w14:paraId="64C569D7" w14:textId="77777777" w:rsidR="00E95A8F" w:rsidRPr="00B33BB6" w:rsidRDefault="00E95A8F" w:rsidP="00420B43">
      <w:pPr>
        <w:ind w:left="709"/>
        <w:rPr>
          <w:rFonts w:eastAsia="Montserrat" w:cs="Arial"/>
          <w:szCs w:val="22"/>
        </w:rPr>
      </w:pPr>
      <w:r w:rsidRPr="00B33BB6">
        <w:rPr>
          <w:rFonts w:eastAsia="Montserrat" w:cs="Arial"/>
          <w:szCs w:val="22"/>
        </w:rPr>
        <w:t>This approach for determining energy consumption in the project scenario requires quantifying the energy consumption of all technologies used in the project scenario (including any baseline technologies still in use) based on a project KPT, using metered energy consumption data for the project cookstove specific to the KPT period where available. Where metered energy consumption is not available specific to the KPT period, the traditional fuel-weighing KPT approach must be used. Fuel-weighing must always be used for fuel consumption based on sales data. To link total emission reductions with the amount of tracked project fuel consumption, the emission reductions as measured during the KPTs are normalized by project fuel consumption and scaled by the amount of tracked project fuel consumption, as shown in Equation (15).</w:t>
      </w:r>
    </w:p>
    <w:p w14:paraId="047A50B9" w14:textId="77777777" w:rsidR="00E95A8F" w:rsidRPr="00B33BB6" w:rsidRDefault="00E95A8F" w:rsidP="00E95A8F">
      <w:pPr>
        <w:rPr>
          <w:rFonts w:eastAsia="Montserrat" w:cs="Arial"/>
          <w:szCs w:val="22"/>
        </w:rPr>
      </w:pPr>
    </w:p>
    <w:tbl>
      <w:tblPr>
        <w:tblW w:w="9417" w:type="dxa"/>
        <w:tblInd w:w="-345" w:type="dxa"/>
        <w:tblBorders>
          <w:top w:val="nil"/>
          <w:left w:val="nil"/>
          <w:bottom w:val="nil"/>
          <w:right w:val="nil"/>
          <w:insideH w:val="nil"/>
          <w:insideV w:val="nil"/>
        </w:tblBorders>
        <w:tblLayout w:type="fixed"/>
        <w:tblLook w:val="0400" w:firstRow="0" w:lastRow="0" w:firstColumn="0" w:lastColumn="0" w:noHBand="0" w:noVBand="1"/>
      </w:tblPr>
      <w:tblGrid>
        <w:gridCol w:w="8709"/>
        <w:gridCol w:w="708"/>
      </w:tblGrid>
      <w:tr w:rsidR="00E95A8F" w:rsidRPr="00B33BB6" w14:paraId="6397EF33" w14:textId="77777777">
        <w:tc>
          <w:tcPr>
            <w:tcW w:w="8709" w:type="dxa"/>
            <w:tcBorders>
              <w:top w:val="nil"/>
              <w:left w:val="nil"/>
              <w:bottom w:val="nil"/>
              <w:right w:val="nil"/>
            </w:tcBorders>
            <w:vAlign w:val="center"/>
          </w:tcPr>
          <w:p w14:paraId="63778719" w14:textId="77777777" w:rsidR="00E95A8F" w:rsidRPr="00B33BB6" w:rsidRDefault="00000000">
            <w:pPr>
              <w:rPr>
                <w:rFonts w:cs="Arial"/>
                <w:szCs w:val="22"/>
              </w:rPr>
            </w:pPr>
            <m:oMathPara>
              <m:oMath>
                <m:sSub>
                  <m:sSubPr>
                    <m:ctrlPr>
                      <w:rPr>
                        <w:rFonts w:ascii="Cambria Math" w:hAnsi="Cambria Math" w:cs="Arial"/>
                        <w:i/>
                        <w:szCs w:val="22"/>
                      </w:rPr>
                    </m:ctrlPr>
                  </m:sSubPr>
                  <m:e>
                    <m:r>
                      <w:rPr>
                        <w:rFonts w:ascii="Cambria Math" w:hAnsi="Cambria Math" w:cs="Arial"/>
                        <w:szCs w:val="22"/>
                      </w:rPr>
                      <m:t>EQ</m:t>
                    </m:r>
                  </m:e>
                  <m:sub>
                    <m:r>
                      <w:rPr>
                        <w:rFonts w:ascii="Cambria Math" w:hAnsi="Cambria Math" w:cs="Arial"/>
                        <w:szCs w:val="22"/>
                      </w:rPr>
                      <m:t>proj</m:t>
                    </m:r>
                  </m:sub>
                </m:sSub>
                <m:r>
                  <w:rPr>
                    <w:rFonts w:ascii="Cambria Math" w:hAnsi="Cambria Math" w:cs="Arial"/>
                    <w:szCs w:val="22"/>
                  </w:rPr>
                  <m:t>=</m:t>
                </m:r>
                <m:f>
                  <m:fPr>
                    <m:ctrlPr>
                      <w:rPr>
                        <w:rFonts w:ascii="Cambria Math" w:hAnsi="Cambria Math" w:cs="Arial"/>
                        <w:i/>
                        <w:szCs w:val="22"/>
                      </w:rPr>
                    </m:ctrlPr>
                  </m:fPr>
                  <m:num>
                    <m:nary>
                      <m:naryPr>
                        <m:chr m:val="∑"/>
                        <m:limLoc m:val="undOvr"/>
                        <m:supHide m:val="1"/>
                        <m:ctrlPr>
                          <w:rPr>
                            <w:rFonts w:ascii="Cambria Math" w:hAnsi="Cambria Math" w:cs="Arial"/>
                            <w:i/>
                            <w:szCs w:val="22"/>
                          </w:rPr>
                        </m:ctrlPr>
                      </m:naryPr>
                      <m:sub>
                        <m:r>
                          <w:rPr>
                            <w:rFonts w:ascii="Cambria Math" w:hAnsi="Cambria Math" w:cs="Arial"/>
                            <w:szCs w:val="22"/>
                          </w:rPr>
                          <m:t>j</m:t>
                        </m:r>
                      </m:sub>
                      <m:sup/>
                      <m:e>
                        <m:sSub>
                          <m:sSubPr>
                            <m:ctrlPr>
                              <w:rPr>
                                <w:rFonts w:ascii="Cambria Math" w:hAnsi="Cambria Math" w:cs="Arial"/>
                                <w:i/>
                                <w:szCs w:val="22"/>
                              </w:rPr>
                            </m:ctrlPr>
                          </m:sSubPr>
                          <m:e>
                            <m:r>
                              <w:rPr>
                                <w:rFonts w:ascii="Cambria Math" w:hAnsi="Cambria Math" w:cs="Arial"/>
                                <w:szCs w:val="22"/>
                              </w:rPr>
                              <m:t>[tEC</m:t>
                            </m:r>
                          </m:e>
                          <m:sub>
                            <m:r>
                              <w:rPr>
                                <w:rFonts w:ascii="Cambria Math" w:hAnsi="Cambria Math" w:cs="Arial"/>
                                <w:szCs w:val="22"/>
                              </w:rPr>
                              <m:t>proj,KPT,j</m:t>
                            </m:r>
                          </m:sub>
                        </m:sSub>
                        <m:r>
                          <w:rPr>
                            <w:rFonts w:ascii="Cambria Math" w:hAnsi="Cambria Math" w:cs="Arial"/>
                            <w:szCs w:val="22"/>
                          </w:rPr>
                          <m:t>×</m:t>
                        </m:r>
                        <m:d>
                          <m:dPr>
                            <m:ctrlPr>
                              <w:rPr>
                                <w:rFonts w:ascii="Cambria Math" w:hAnsi="Cambria Math" w:cs="Arial"/>
                                <w:i/>
                                <w:szCs w:val="22"/>
                              </w:rPr>
                            </m:ctrlPr>
                          </m:dPr>
                          <m:e>
                            <m:sSub>
                              <m:sSubPr>
                                <m:ctrlPr>
                                  <w:rPr>
                                    <w:rFonts w:ascii="Cambria Math" w:eastAsia="Cambria Math" w:hAnsi="Cambria Math" w:cs="Arial"/>
                                    <w:i/>
                                    <w:szCs w:val="22"/>
                                  </w:rPr>
                                </m:ctrlPr>
                              </m:sSubPr>
                              <m:e>
                                <m:r>
                                  <w:rPr>
                                    <w:rFonts w:ascii="Cambria Math" w:eastAsia="Cambria Math" w:hAnsi="Cambria Math" w:cs="Arial"/>
                                    <w:szCs w:val="22"/>
                                  </w:rPr>
                                  <m:t>fNRB</m:t>
                                </m:r>
                              </m:e>
                              <m:sub>
                                <m:r>
                                  <w:rPr>
                                    <w:rFonts w:ascii="Cambria Math" w:eastAsia="Cambria Math" w:hAnsi="Cambria Math" w:cs="Arial"/>
                                    <w:szCs w:val="22"/>
                                  </w:rPr>
                                  <m:t>i</m:t>
                                </m:r>
                              </m:sub>
                            </m:sSub>
                            <m:r>
                              <w:rPr>
                                <w:rFonts w:ascii="Cambria Math" w:hAnsi="Cambria Math" w:cs="Arial"/>
                                <w:szCs w:val="22"/>
                              </w:rPr>
                              <m:t>×</m:t>
                            </m:r>
                            <m:sSub>
                              <m:sSubPr>
                                <m:ctrlPr>
                                  <w:rPr>
                                    <w:rFonts w:ascii="Cambria Math" w:hAnsi="Cambria Math" w:cs="Arial"/>
                                    <w:i/>
                                    <w:szCs w:val="22"/>
                                  </w:rPr>
                                </m:ctrlPr>
                              </m:sSubPr>
                              <m:e>
                                <m:r>
                                  <w:rPr>
                                    <w:rFonts w:ascii="Cambria Math" w:hAnsi="Cambria Math" w:cs="Arial"/>
                                    <w:szCs w:val="22"/>
                                  </w:rPr>
                                  <m:t>EF</m:t>
                                </m:r>
                              </m:e>
                              <m:sub>
                                <m:r>
                                  <w:rPr>
                                    <w:rFonts w:ascii="Cambria Math" w:hAnsi="Cambria Math" w:cs="Arial"/>
                                    <w:szCs w:val="22"/>
                                  </w:rPr>
                                  <m:t>proj,j,CO2</m:t>
                                </m:r>
                              </m:sub>
                            </m:sSub>
                            <m:r>
                              <w:rPr>
                                <w:rFonts w:ascii="Cambria Math" w:hAnsi="Cambria Math" w:cs="Arial"/>
                                <w:szCs w:val="22"/>
                              </w:rPr>
                              <m:t>+</m:t>
                            </m:r>
                            <m:sSub>
                              <m:sSubPr>
                                <m:ctrlPr>
                                  <w:rPr>
                                    <w:rFonts w:ascii="Cambria Math" w:hAnsi="Cambria Math" w:cs="Arial"/>
                                    <w:i/>
                                    <w:szCs w:val="22"/>
                                  </w:rPr>
                                </m:ctrlPr>
                              </m:sSubPr>
                              <m:e>
                                <m:r>
                                  <w:rPr>
                                    <w:rFonts w:ascii="Cambria Math" w:hAnsi="Cambria Math" w:cs="Arial"/>
                                    <w:szCs w:val="22"/>
                                  </w:rPr>
                                  <m:t>EF</m:t>
                                </m:r>
                              </m:e>
                              <m:sub>
                                <m:r>
                                  <w:rPr>
                                    <w:rFonts w:ascii="Cambria Math" w:hAnsi="Cambria Math" w:cs="Arial"/>
                                    <w:szCs w:val="22"/>
                                  </w:rPr>
                                  <m:t>proj,j,nonCO2</m:t>
                                </m:r>
                              </m:sub>
                            </m:sSub>
                          </m:e>
                        </m:d>
                        <m:r>
                          <w:rPr>
                            <w:rFonts w:ascii="Cambria Math" w:hAnsi="Cambria Math" w:cs="Arial"/>
                            <w:szCs w:val="22"/>
                          </w:rPr>
                          <m:t>]</m:t>
                        </m:r>
                      </m:e>
                    </m:nary>
                  </m:num>
                  <m:den>
                    <m:sSub>
                      <m:sSubPr>
                        <m:ctrlPr>
                          <w:rPr>
                            <w:rFonts w:ascii="Cambria Math" w:hAnsi="Cambria Math" w:cs="Arial"/>
                            <w:i/>
                            <w:szCs w:val="22"/>
                          </w:rPr>
                        </m:ctrlPr>
                      </m:sSubPr>
                      <m:e>
                        <m:r>
                          <w:rPr>
                            <w:rFonts w:ascii="Cambria Math" w:hAnsi="Cambria Math" w:cs="Arial"/>
                            <w:szCs w:val="22"/>
                          </w:rPr>
                          <m:t>tEC</m:t>
                        </m:r>
                      </m:e>
                      <m:sub>
                        <m:r>
                          <w:rPr>
                            <w:rFonts w:ascii="Cambria Math" w:hAnsi="Cambria Math" w:cs="Arial"/>
                            <w:szCs w:val="22"/>
                          </w:rPr>
                          <m:t>proj,KPT,j-project</m:t>
                        </m:r>
                      </m:sub>
                    </m:sSub>
                  </m:den>
                </m:f>
              </m:oMath>
            </m:oMathPara>
          </w:p>
          <w:p w14:paraId="7B86A544" w14:textId="77777777" w:rsidR="0001396C" w:rsidRPr="00B33BB6" w:rsidRDefault="0001396C">
            <w:pPr>
              <w:jc w:val="center"/>
              <w:rPr>
                <w:rFonts w:ascii="Cambria Math" w:eastAsia="Cambria Math" w:hAnsi="Cambria Math" w:cs="Arial"/>
                <w:szCs w:val="22"/>
                <w:oMath/>
              </w:rPr>
            </w:pPr>
          </w:p>
        </w:tc>
        <w:tc>
          <w:tcPr>
            <w:tcW w:w="708" w:type="dxa"/>
            <w:tcBorders>
              <w:top w:val="nil"/>
              <w:left w:val="nil"/>
              <w:bottom w:val="nil"/>
              <w:right w:val="nil"/>
            </w:tcBorders>
            <w:vAlign w:val="center"/>
          </w:tcPr>
          <w:p w14:paraId="777F2413" w14:textId="77777777" w:rsidR="00E95A8F" w:rsidRPr="00B33BB6" w:rsidRDefault="00E95A8F">
            <w:pPr>
              <w:jc w:val="center"/>
              <w:rPr>
                <w:rFonts w:cs="Arial"/>
                <w:szCs w:val="22"/>
              </w:rPr>
            </w:pPr>
            <w:bookmarkStart w:id="70" w:name="e15"/>
            <w:r w:rsidRPr="00B33BB6">
              <w:rPr>
                <w:rFonts w:cs="Arial"/>
                <w:szCs w:val="22"/>
              </w:rPr>
              <w:t>(15)</w:t>
            </w:r>
            <w:bookmarkEnd w:id="70"/>
          </w:p>
        </w:tc>
      </w:tr>
    </w:tbl>
    <w:p w14:paraId="56C072EF" w14:textId="77777777" w:rsidR="00E95A8F" w:rsidRPr="00B33BB6" w:rsidRDefault="00E95A8F" w:rsidP="00420B43">
      <w:pPr>
        <w:ind w:left="709"/>
        <w:rPr>
          <w:rFonts w:eastAsia="Montserrat" w:cs="Arial"/>
          <w:szCs w:val="22"/>
        </w:rPr>
      </w:pPr>
      <w:r w:rsidRPr="00B33BB6">
        <w:rPr>
          <w:rFonts w:eastAsia="Montserrat" w:cs="Arial"/>
          <w:szCs w:val="22"/>
        </w:rPr>
        <w:t>Where:</w:t>
      </w:r>
    </w:p>
    <w:p w14:paraId="30061AE2" w14:textId="77777777" w:rsidR="00E95A8F" w:rsidRPr="00B33BB6" w:rsidRDefault="00E95A8F" w:rsidP="00E95A8F">
      <w:pPr>
        <w:rPr>
          <w:rFonts w:eastAsia="Montserrat" w:cs="Arial"/>
          <w:szCs w:val="22"/>
        </w:rPr>
      </w:pPr>
    </w:p>
    <w:tbl>
      <w:tblPr>
        <w:tblStyle w:val="TableGrid"/>
        <w:tblW w:w="9209" w:type="dxa"/>
        <w:tblInd w:w="596" w:type="dxa"/>
        <w:tblLook w:val="04A0" w:firstRow="1" w:lastRow="0" w:firstColumn="1" w:lastColumn="0" w:noHBand="0" w:noVBand="1"/>
      </w:tblPr>
      <w:tblGrid>
        <w:gridCol w:w="2115"/>
        <w:gridCol w:w="4876"/>
        <w:gridCol w:w="2218"/>
      </w:tblGrid>
      <w:tr w:rsidR="00E95A8F" w:rsidRPr="00B33BB6" w14:paraId="4801671D" w14:textId="77777777" w:rsidTr="00420B43">
        <w:tc>
          <w:tcPr>
            <w:tcW w:w="2115" w:type="dxa"/>
          </w:tcPr>
          <w:p w14:paraId="754224B1" w14:textId="77777777" w:rsidR="00E95A8F" w:rsidRPr="00B33BB6" w:rsidRDefault="00E95A8F">
            <w:pPr>
              <w:rPr>
                <w:rFonts w:eastAsia="Montserrat" w:cs="Arial"/>
                <w:b/>
                <w:szCs w:val="22"/>
              </w:rPr>
            </w:pPr>
            <w:r w:rsidRPr="00B33BB6">
              <w:rPr>
                <w:rFonts w:eastAsia="Montserrat" w:cs="Arial"/>
                <w:b/>
                <w:szCs w:val="22"/>
              </w:rPr>
              <w:t>Parameter</w:t>
            </w:r>
          </w:p>
        </w:tc>
        <w:tc>
          <w:tcPr>
            <w:tcW w:w="4876" w:type="dxa"/>
          </w:tcPr>
          <w:p w14:paraId="05869D48" w14:textId="77777777" w:rsidR="00E95A8F" w:rsidRPr="00B33BB6" w:rsidRDefault="00E95A8F">
            <w:pPr>
              <w:rPr>
                <w:rFonts w:eastAsia="Montserrat" w:cs="Arial"/>
                <w:b/>
                <w:szCs w:val="22"/>
              </w:rPr>
            </w:pPr>
            <w:r w:rsidRPr="00B33BB6">
              <w:rPr>
                <w:rFonts w:eastAsia="Montserrat" w:cs="Arial"/>
                <w:b/>
                <w:szCs w:val="22"/>
              </w:rPr>
              <w:t>Description</w:t>
            </w:r>
          </w:p>
        </w:tc>
        <w:tc>
          <w:tcPr>
            <w:tcW w:w="2218" w:type="dxa"/>
          </w:tcPr>
          <w:p w14:paraId="184C73C1" w14:textId="77777777" w:rsidR="00E95A8F" w:rsidRPr="00B33BB6" w:rsidRDefault="00E95A8F">
            <w:pPr>
              <w:rPr>
                <w:rFonts w:eastAsia="Montserrat" w:cs="Arial"/>
                <w:b/>
                <w:szCs w:val="22"/>
              </w:rPr>
            </w:pPr>
            <w:r w:rsidRPr="00B33BB6">
              <w:rPr>
                <w:rFonts w:eastAsia="Montserrat" w:cs="Arial"/>
                <w:b/>
                <w:szCs w:val="22"/>
              </w:rPr>
              <w:t>Unit</w:t>
            </w:r>
          </w:p>
        </w:tc>
      </w:tr>
      <w:tr w:rsidR="00E95A8F" w:rsidRPr="00DF570E" w14:paraId="5554FE26" w14:textId="77777777" w:rsidTr="00420B43">
        <w:tc>
          <w:tcPr>
            <w:tcW w:w="2115" w:type="dxa"/>
          </w:tcPr>
          <w:p w14:paraId="78DD9F9E" w14:textId="77777777" w:rsidR="00E95A8F"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EQ</m:t>
                    </m:r>
                  </m:e>
                  <m:sub>
                    <m:r>
                      <w:rPr>
                        <w:rFonts w:ascii="Cambria Math" w:eastAsia="Cambria Math" w:hAnsi="Cambria Math" w:cs="Arial"/>
                        <w:szCs w:val="22"/>
                      </w:rPr>
                      <m:t>proj</m:t>
                    </m:r>
                  </m:sub>
                </m:sSub>
              </m:oMath>
            </m:oMathPara>
          </w:p>
        </w:tc>
        <w:tc>
          <w:tcPr>
            <w:tcW w:w="4876" w:type="dxa"/>
          </w:tcPr>
          <w:p w14:paraId="694179AA" w14:textId="77777777" w:rsidR="00E95A8F" w:rsidRPr="00B33BB6" w:rsidRDefault="00E95A8F">
            <w:pPr>
              <w:rPr>
                <w:rFonts w:eastAsia="Montserrat" w:cs="Arial"/>
                <w:b/>
                <w:szCs w:val="22"/>
              </w:rPr>
            </w:pPr>
            <w:r w:rsidRPr="00B33BB6">
              <w:rPr>
                <w:rFonts w:eastAsia="Montserrat" w:cs="Arial"/>
                <w:szCs w:val="22"/>
              </w:rPr>
              <w:t xml:space="preserve">Emissions quotient for the consumption of energy for cooking in project scenario in year </w:t>
            </w:r>
            <w:r w:rsidRPr="00B33BB6">
              <w:rPr>
                <w:rFonts w:eastAsia="Montserrat" w:cs="Arial"/>
                <w:i/>
                <w:szCs w:val="22"/>
              </w:rPr>
              <w:t>y</w:t>
            </w:r>
          </w:p>
        </w:tc>
        <w:tc>
          <w:tcPr>
            <w:tcW w:w="2218" w:type="dxa"/>
          </w:tcPr>
          <w:p w14:paraId="0FE565F9" w14:textId="77777777" w:rsidR="00E95A8F" w:rsidRPr="00B33BB6" w:rsidRDefault="00E95A8F">
            <w:pPr>
              <w:rPr>
                <w:rFonts w:eastAsia="Montserrat" w:cs="Arial"/>
                <w:szCs w:val="22"/>
                <w:lang w:val="es-GT"/>
              </w:rPr>
            </w:pPr>
            <w:r w:rsidRPr="00B33BB6">
              <w:rPr>
                <w:rFonts w:eastAsia="Montserrat" w:cs="Arial"/>
                <w:szCs w:val="22"/>
                <w:lang w:val="es-GT"/>
              </w:rPr>
              <w:t>tCO</w:t>
            </w:r>
            <w:r w:rsidRPr="00B33BB6">
              <w:rPr>
                <w:rFonts w:eastAsia="Montserrat" w:cs="Arial"/>
                <w:szCs w:val="22"/>
                <w:vertAlign w:val="subscript"/>
                <w:lang w:val="es-GT"/>
              </w:rPr>
              <w:t>2</w:t>
            </w:r>
            <w:r w:rsidRPr="00B33BB6">
              <w:rPr>
                <w:rFonts w:eastAsia="Montserrat" w:cs="Arial"/>
                <w:szCs w:val="22"/>
                <w:lang w:val="es-GT"/>
              </w:rPr>
              <w:t xml:space="preserve">e/TJ </w:t>
            </w:r>
          </w:p>
          <w:p w14:paraId="6E85B48E" w14:textId="77777777" w:rsidR="00E95A8F" w:rsidRPr="00B33BB6" w:rsidRDefault="00E95A8F">
            <w:pPr>
              <w:rPr>
                <w:rFonts w:eastAsia="Montserrat" w:cs="Arial"/>
                <w:szCs w:val="22"/>
                <w:lang w:val="es-GT"/>
              </w:rPr>
            </w:pPr>
            <w:proofErr w:type="spellStart"/>
            <w:r w:rsidRPr="00B33BB6">
              <w:rPr>
                <w:rFonts w:eastAsia="Montserrat" w:cs="Arial"/>
                <w:szCs w:val="22"/>
                <w:lang w:val="es-GT"/>
              </w:rPr>
              <w:t>or</w:t>
            </w:r>
            <w:proofErr w:type="spellEnd"/>
            <w:r w:rsidRPr="00B33BB6">
              <w:rPr>
                <w:rFonts w:eastAsia="Montserrat" w:cs="Arial"/>
                <w:szCs w:val="22"/>
                <w:lang w:val="es-GT"/>
              </w:rPr>
              <w:t xml:space="preserve"> </w:t>
            </w:r>
          </w:p>
          <w:p w14:paraId="1A6CA725" w14:textId="77777777" w:rsidR="00E95A8F" w:rsidRPr="00B33BB6" w:rsidRDefault="00E95A8F">
            <w:pPr>
              <w:rPr>
                <w:rFonts w:eastAsia="Montserrat" w:cs="Arial"/>
                <w:b/>
                <w:szCs w:val="22"/>
                <w:lang w:val="es-GT"/>
              </w:rPr>
            </w:pPr>
            <w:r w:rsidRPr="00B33BB6">
              <w:rPr>
                <w:rFonts w:eastAsia="Montserrat" w:cs="Arial"/>
                <w:szCs w:val="22"/>
                <w:lang w:val="es-GT"/>
              </w:rPr>
              <w:t>tCO</w:t>
            </w:r>
            <w:r w:rsidRPr="00B33BB6">
              <w:rPr>
                <w:rFonts w:eastAsia="Montserrat" w:cs="Arial"/>
                <w:szCs w:val="22"/>
                <w:vertAlign w:val="subscript"/>
                <w:lang w:val="es-GT"/>
              </w:rPr>
              <w:t>2</w:t>
            </w:r>
            <w:r w:rsidRPr="00B33BB6">
              <w:rPr>
                <w:rFonts w:eastAsia="Montserrat" w:cs="Arial"/>
                <w:szCs w:val="22"/>
                <w:lang w:val="es-GT"/>
              </w:rPr>
              <w:t>e/kWh</w:t>
            </w:r>
          </w:p>
        </w:tc>
      </w:tr>
      <w:tr w:rsidR="00E95A8F" w:rsidRPr="00B33BB6" w14:paraId="2D47FA2F" w14:textId="77777777" w:rsidTr="00420B43">
        <w:tc>
          <w:tcPr>
            <w:tcW w:w="2115" w:type="dxa"/>
          </w:tcPr>
          <w:p w14:paraId="38A6CB20"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proj,KPT,j</m:t>
                    </m:r>
                  </m:sub>
                </m:sSub>
              </m:oMath>
            </m:oMathPara>
          </w:p>
        </w:tc>
        <w:tc>
          <w:tcPr>
            <w:tcW w:w="4876" w:type="dxa"/>
          </w:tcPr>
          <w:p w14:paraId="71CB63DD" w14:textId="5632CEE9" w:rsidR="00E95A8F" w:rsidRPr="00B33BB6" w:rsidRDefault="00E95A8F">
            <w:pPr>
              <w:rPr>
                <w:rFonts w:eastAsia="Montserrat" w:cs="Arial"/>
                <w:szCs w:val="22"/>
              </w:rPr>
            </w:pPr>
            <w:r w:rsidRPr="00B33BB6">
              <w:rPr>
                <w:rFonts w:eastAsia="Montserrat" w:cs="Arial"/>
                <w:szCs w:val="22"/>
              </w:rPr>
              <w:t>Energy consumption of each</w:t>
            </w:r>
            <w:r w:rsidRPr="00B33BB6" w:rsidDel="000A3BD5">
              <w:rPr>
                <w:rFonts w:eastAsia="Montserrat" w:cs="Arial"/>
                <w:szCs w:val="22"/>
              </w:rPr>
              <w:t xml:space="preserve"> </w:t>
            </w:r>
            <w:r w:rsidRPr="00B33BB6">
              <w:rPr>
                <w:rFonts w:eastAsia="Montserrat" w:cs="Arial"/>
                <w:szCs w:val="22"/>
              </w:rPr>
              <w:t xml:space="preserve">fuel </w:t>
            </w:r>
            <w:r w:rsidRPr="00B33BB6">
              <w:rPr>
                <w:rFonts w:eastAsia="Montserrat" w:cs="Arial"/>
                <w:i/>
                <w:szCs w:val="22"/>
              </w:rPr>
              <w:t xml:space="preserve">j </w:t>
            </w:r>
            <w:r w:rsidRPr="00B33BB6">
              <w:rPr>
                <w:rFonts w:eastAsia="Montserrat" w:cs="Arial"/>
                <w:szCs w:val="22"/>
              </w:rPr>
              <w:t xml:space="preserve">used in project households from project KPT for CTEC projects. Where fuels such as pellets and </w:t>
            </w:r>
            <w:r w:rsidRPr="00B33BB6">
              <w:rPr>
                <w:rFonts w:eastAsia="Montserrat" w:cs="Arial"/>
                <w:szCs w:val="22"/>
              </w:rPr>
              <w:lastRenderedPageBreak/>
              <w:t xml:space="preserve">briquettes are made from a mix of renewable and non-renewable sources (e.g., renewable agricultural waste and non-renewable wood), each source should be considered its own fuel. (See example </w:t>
            </w:r>
            <w:r w:rsidRPr="00C3324D">
              <w:rPr>
                <w:rFonts w:eastAsia="Montserrat" w:cs="Arial"/>
                <w:szCs w:val="22"/>
              </w:rPr>
              <w:t xml:space="preserve">in </w:t>
            </w:r>
            <w:hyperlink w:anchor="footnote11" w:history="1">
              <w:r w:rsidRPr="00C3324D">
                <w:rPr>
                  <w:rStyle w:val="Hyperlink"/>
                  <w:rFonts w:eastAsia="Montserrat" w:cs="Arial"/>
                  <w:szCs w:val="22"/>
                  <w:lang w:val="en-GB"/>
                </w:rPr>
                <w:t>footnote 1</w:t>
              </w:r>
              <w:r w:rsidR="000346C0" w:rsidRPr="00C3324D">
                <w:rPr>
                  <w:rStyle w:val="Hyperlink"/>
                  <w:rFonts w:eastAsia="Montserrat" w:cs="Arial"/>
                  <w:szCs w:val="22"/>
                </w:rPr>
                <w:t>1</w:t>
              </w:r>
            </w:hyperlink>
            <w:r w:rsidRPr="00C3324D">
              <w:rPr>
                <w:rFonts w:eastAsia="Montserrat" w:cs="Arial"/>
                <w:szCs w:val="22"/>
              </w:rPr>
              <w:t>)</w:t>
            </w:r>
          </w:p>
        </w:tc>
        <w:tc>
          <w:tcPr>
            <w:tcW w:w="2218" w:type="dxa"/>
          </w:tcPr>
          <w:p w14:paraId="22C2FBF0" w14:textId="77777777" w:rsidR="00E95A8F" w:rsidRPr="00B33BB6" w:rsidRDefault="00E95A8F">
            <w:pPr>
              <w:rPr>
                <w:rFonts w:eastAsia="Montserrat" w:cs="Arial"/>
                <w:szCs w:val="22"/>
              </w:rPr>
            </w:pPr>
            <w:r w:rsidRPr="00B33BB6">
              <w:rPr>
                <w:rFonts w:eastAsia="Montserrat" w:cs="Arial"/>
                <w:szCs w:val="22"/>
              </w:rPr>
              <w:lastRenderedPageBreak/>
              <w:t>TJ/(person*year)</w:t>
            </w:r>
          </w:p>
        </w:tc>
      </w:tr>
      <w:tr w:rsidR="00E95A8F" w:rsidRPr="00B33BB6" w14:paraId="377D86A2" w14:textId="77777777" w:rsidTr="00420B43">
        <w:tc>
          <w:tcPr>
            <w:tcW w:w="2115" w:type="dxa"/>
          </w:tcPr>
          <w:p w14:paraId="3D55A84D" w14:textId="77777777" w:rsidR="00E95A8F"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fNRB</m:t>
                    </m:r>
                  </m:e>
                  <m:sub>
                    <m:r>
                      <w:rPr>
                        <w:rFonts w:ascii="Cambria Math" w:eastAsia="Cambria Math" w:hAnsi="Cambria Math" w:cs="Arial"/>
                        <w:szCs w:val="22"/>
                      </w:rPr>
                      <m:t>j</m:t>
                    </m:r>
                  </m:sub>
                </m:sSub>
              </m:oMath>
            </m:oMathPara>
          </w:p>
        </w:tc>
        <w:tc>
          <w:tcPr>
            <w:tcW w:w="4876" w:type="dxa"/>
          </w:tcPr>
          <w:p w14:paraId="1A2679E7" w14:textId="77777777" w:rsidR="00E95A8F" w:rsidRPr="00B33BB6" w:rsidRDefault="00E95A8F">
            <w:pPr>
              <w:rPr>
                <w:rFonts w:eastAsia="Montserrat" w:cs="Arial"/>
                <w:szCs w:val="22"/>
              </w:rPr>
            </w:pPr>
            <w:r w:rsidRPr="00B33BB6">
              <w:rPr>
                <w:rFonts w:eastAsia="Montserrat" w:cs="Arial"/>
                <w:szCs w:val="22"/>
              </w:rPr>
              <w:t xml:space="preserve">Fraction of non-renewable woody biomass fuel </w:t>
            </w:r>
            <w:r w:rsidRPr="00B33BB6">
              <w:rPr>
                <w:rFonts w:eastAsia="Montserrat" w:cs="Arial"/>
                <w:i/>
                <w:szCs w:val="22"/>
              </w:rPr>
              <w:t>j</w:t>
            </w:r>
            <w:r w:rsidRPr="00B33BB6">
              <w:rPr>
                <w:rFonts w:eastAsia="Montserrat" w:cs="Arial"/>
                <w:szCs w:val="22"/>
              </w:rPr>
              <w:t xml:space="preserve"> consumed. This parameter varies between zero and 100% for fuelwood, charcoal, and other solid biomass fuels that are not fully renewable. When renewable biomass fuels are used (defined above), this parameter is equal to zero. When fossil fuels are used, it is equal to 100%.</w:t>
            </w:r>
          </w:p>
        </w:tc>
        <w:tc>
          <w:tcPr>
            <w:tcW w:w="2218" w:type="dxa"/>
          </w:tcPr>
          <w:p w14:paraId="511F43EC" w14:textId="77777777" w:rsidR="00E95A8F" w:rsidRPr="00B33BB6" w:rsidRDefault="00E95A8F">
            <w:pPr>
              <w:rPr>
                <w:rFonts w:eastAsia="Montserrat" w:cs="Arial"/>
                <w:szCs w:val="22"/>
              </w:rPr>
            </w:pPr>
            <w:r w:rsidRPr="00B33BB6">
              <w:rPr>
                <w:rFonts w:eastAsia="Montserrat" w:cs="Arial"/>
                <w:szCs w:val="22"/>
              </w:rPr>
              <w:t>%</w:t>
            </w:r>
          </w:p>
        </w:tc>
      </w:tr>
      <w:tr w:rsidR="00E95A8F" w:rsidRPr="00B33BB6" w14:paraId="1779AC99" w14:textId="77777777" w:rsidTr="00420B43">
        <w:tc>
          <w:tcPr>
            <w:tcW w:w="2115" w:type="dxa"/>
          </w:tcPr>
          <w:p w14:paraId="65A2BCC8" w14:textId="77777777" w:rsidR="00E95A8F"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proj,j,CO2</m:t>
                    </m:r>
                  </m:sub>
                </m:sSub>
              </m:oMath>
            </m:oMathPara>
          </w:p>
        </w:tc>
        <w:tc>
          <w:tcPr>
            <w:tcW w:w="4876" w:type="dxa"/>
          </w:tcPr>
          <w:p w14:paraId="2F312CE2" w14:textId="77777777" w:rsidR="00E95A8F" w:rsidRPr="00B33BB6" w:rsidRDefault="00E95A8F">
            <w:pPr>
              <w:rPr>
                <w:rFonts w:eastAsia="Montserrat" w:cs="Arial"/>
                <w:szCs w:val="22"/>
              </w:rPr>
            </w:pPr>
            <w:r w:rsidRPr="00B33BB6">
              <w:rPr>
                <w:rFonts w:eastAsia="Montserrat" w:cs="Arial"/>
                <w:szCs w:val="22"/>
              </w:rPr>
              <w:t>CO</w:t>
            </w:r>
            <w:r w:rsidRPr="00B33BB6">
              <w:rPr>
                <w:rFonts w:eastAsia="Montserrat" w:cs="Arial"/>
                <w:szCs w:val="22"/>
                <w:vertAlign w:val="subscript"/>
              </w:rPr>
              <w:t>2</w:t>
            </w:r>
            <w:r w:rsidRPr="00B33BB6">
              <w:rPr>
                <w:rFonts w:eastAsia="Montserrat" w:cs="Arial"/>
                <w:szCs w:val="22"/>
              </w:rPr>
              <w:t xml:space="preserve"> emission factor for project fuel</w:t>
            </w:r>
            <w:r w:rsidRPr="00B33BB6">
              <w:rPr>
                <w:rFonts w:eastAsia="Montserrat" w:cs="Arial"/>
                <w:i/>
                <w:szCs w:val="22"/>
              </w:rPr>
              <w:t xml:space="preserve"> j</w:t>
            </w:r>
            <w:r w:rsidRPr="00B33BB6">
              <w:rPr>
                <w:rFonts w:eastAsia="Montserrat" w:cs="Arial"/>
                <w:szCs w:val="22"/>
              </w:rPr>
              <w:t xml:space="preserve"> </w:t>
            </w:r>
          </w:p>
        </w:tc>
        <w:tc>
          <w:tcPr>
            <w:tcW w:w="2218" w:type="dxa"/>
          </w:tcPr>
          <w:p w14:paraId="0C93A6FB"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e/TJ</w:t>
            </w:r>
          </w:p>
        </w:tc>
      </w:tr>
      <w:tr w:rsidR="00E95A8F" w:rsidRPr="00B33BB6" w14:paraId="0BF1504F" w14:textId="77777777" w:rsidTr="00420B43">
        <w:tc>
          <w:tcPr>
            <w:tcW w:w="2115" w:type="dxa"/>
          </w:tcPr>
          <w:p w14:paraId="31DF3303"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proj,j,nonCO2</m:t>
                    </m:r>
                  </m:sub>
                </m:sSub>
              </m:oMath>
            </m:oMathPara>
          </w:p>
        </w:tc>
        <w:tc>
          <w:tcPr>
            <w:tcW w:w="4876" w:type="dxa"/>
          </w:tcPr>
          <w:p w14:paraId="5AB4D43A" w14:textId="77777777" w:rsidR="00E95A8F" w:rsidRPr="00B33BB6" w:rsidRDefault="00E95A8F">
            <w:pPr>
              <w:rPr>
                <w:rFonts w:eastAsia="Montserrat" w:cs="Arial"/>
                <w:szCs w:val="22"/>
              </w:rPr>
            </w:pPr>
            <w:r w:rsidRPr="00B33BB6">
              <w:rPr>
                <w:rFonts w:eastAsia="Montserrat" w:cs="Arial"/>
                <w:szCs w:val="22"/>
              </w:rPr>
              <w:t>Non-CO</w:t>
            </w:r>
            <w:r w:rsidRPr="00B33BB6">
              <w:rPr>
                <w:rFonts w:eastAsia="Montserrat" w:cs="Arial"/>
                <w:szCs w:val="22"/>
                <w:vertAlign w:val="subscript"/>
              </w:rPr>
              <w:t>2</w:t>
            </w:r>
            <w:r w:rsidRPr="00B33BB6">
              <w:rPr>
                <w:rFonts w:eastAsia="Montserrat" w:cs="Arial"/>
                <w:szCs w:val="22"/>
              </w:rPr>
              <w:t xml:space="preserve"> emission factor for project fuel </w:t>
            </w:r>
            <w:r w:rsidRPr="00B33BB6">
              <w:rPr>
                <w:rFonts w:eastAsia="Montserrat" w:cs="Arial"/>
                <w:i/>
                <w:szCs w:val="22"/>
              </w:rPr>
              <w:t>j</w:t>
            </w:r>
            <w:r w:rsidRPr="00B33BB6">
              <w:rPr>
                <w:rFonts w:eastAsia="Montserrat" w:cs="Arial"/>
                <w:szCs w:val="22"/>
              </w:rPr>
              <w:t xml:space="preserve"> </w:t>
            </w:r>
          </w:p>
        </w:tc>
        <w:tc>
          <w:tcPr>
            <w:tcW w:w="2218" w:type="dxa"/>
          </w:tcPr>
          <w:p w14:paraId="663EA29D"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e/TJ</w:t>
            </w:r>
          </w:p>
        </w:tc>
      </w:tr>
      <w:tr w:rsidR="00E95A8F" w:rsidRPr="00B33BB6" w14:paraId="22A61B1C" w14:textId="77777777" w:rsidTr="00420B43">
        <w:tc>
          <w:tcPr>
            <w:tcW w:w="2115" w:type="dxa"/>
          </w:tcPr>
          <w:p w14:paraId="43A2900F" w14:textId="77777777" w:rsidR="00E95A8F" w:rsidRPr="00B33BB6" w:rsidRDefault="0001396C">
            <w:pPr>
              <w:rPr>
                <w:rFonts w:cs="Arial"/>
                <w:szCs w:val="22"/>
              </w:rPr>
            </w:pPr>
            <m:oMathPara>
              <m:oMath>
                <m:r>
                  <w:rPr>
                    <w:rFonts w:ascii="Cambria Math" w:eastAsia="Cambria Math" w:hAnsi="Cambria Math" w:cs="Arial"/>
                    <w:szCs w:val="22"/>
                  </w:rPr>
                  <m:t>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proj,KPT,j-project</m:t>
                    </m:r>
                  </m:sub>
                </m:sSub>
              </m:oMath>
            </m:oMathPara>
          </w:p>
        </w:tc>
        <w:tc>
          <w:tcPr>
            <w:tcW w:w="4876" w:type="dxa"/>
          </w:tcPr>
          <w:p w14:paraId="4E7D737A" w14:textId="77777777" w:rsidR="00E95A8F" w:rsidRPr="00B33BB6" w:rsidRDefault="00E95A8F">
            <w:pPr>
              <w:rPr>
                <w:rFonts w:eastAsia="Montserrat" w:cs="Arial"/>
                <w:szCs w:val="22"/>
              </w:rPr>
            </w:pPr>
            <w:r w:rsidRPr="00B33BB6">
              <w:rPr>
                <w:rFonts w:eastAsia="Montserrat" w:cs="Arial"/>
                <w:szCs w:val="22"/>
              </w:rPr>
              <w:t xml:space="preserve">Tracked energy consumption of project fuel </w:t>
            </w:r>
            <w:r w:rsidRPr="00B33BB6">
              <w:rPr>
                <w:rFonts w:eastAsia="Montserrat" w:cs="Arial"/>
                <w:i/>
                <w:szCs w:val="22"/>
              </w:rPr>
              <w:t>j</w:t>
            </w:r>
            <w:r w:rsidRPr="00B33BB6">
              <w:rPr>
                <w:rFonts w:eastAsia="Montserrat" w:cs="Arial"/>
                <w:szCs w:val="22"/>
              </w:rPr>
              <w:t xml:space="preserve"> for project cookstove(s) only from project </w:t>
            </w:r>
            <w:r w:rsidRPr="00B33BB6" w:rsidDel="000A3BD5">
              <w:rPr>
                <w:rFonts w:eastAsia="Montserrat" w:cs="Arial"/>
                <w:szCs w:val="22"/>
              </w:rPr>
              <w:t>KPT</w:t>
            </w:r>
          </w:p>
        </w:tc>
        <w:tc>
          <w:tcPr>
            <w:tcW w:w="2218" w:type="dxa"/>
          </w:tcPr>
          <w:p w14:paraId="3DC3FBF7" w14:textId="77777777" w:rsidR="00E95A8F" w:rsidRPr="00B33BB6" w:rsidRDefault="00E95A8F">
            <w:pPr>
              <w:rPr>
                <w:rFonts w:eastAsia="Montserrat" w:cs="Arial"/>
                <w:szCs w:val="22"/>
              </w:rPr>
            </w:pPr>
            <w:r w:rsidRPr="00B33BB6">
              <w:rPr>
                <w:rFonts w:eastAsia="Montserrat" w:cs="Arial"/>
                <w:szCs w:val="22"/>
              </w:rPr>
              <w:t>TJ/(person*year) or kWh/(person*year)</w:t>
            </w:r>
          </w:p>
        </w:tc>
      </w:tr>
    </w:tbl>
    <w:p w14:paraId="596AB59F" w14:textId="77777777" w:rsidR="00E95A8F" w:rsidRPr="00B33BB6" w:rsidRDefault="00E95A8F" w:rsidP="00E95A8F">
      <w:pPr>
        <w:rPr>
          <w:rFonts w:eastAsia="Montserrat" w:cs="Arial"/>
          <w:szCs w:val="22"/>
        </w:rPr>
      </w:pPr>
    </w:p>
    <w:p w14:paraId="6DC6744B" w14:textId="604CC733" w:rsidR="00E95A8F" w:rsidRPr="00B33BB6" w:rsidRDefault="00E95A8F" w:rsidP="00420B43">
      <w:pPr>
        <w:ind w:left="709"/>
        <w:rPr>
          <w:rFonts w:eastAsia="Montserrat" w:cs="Arial"/>
          <w:szCs w:val="22"/>
        </w:rPr>
      </w:pPr>
      <w:r w:rsidRPr="00B33BB6">
        <w:rPr>
          <w:rFonts w:eastAsia="Montserrat" w:cs="Arial"/>
          <w:szCs w:val="22"/>
        </w:rPr>
        <w:t>For con</w:t>
      </w:r>
      <w:r w:rsidRPr="003A1A70">
        <w:rPr>
          <w:rFonts w:eastAsia="Montserrat" w:cs="Arial"/>
          <w:szCs w:val="22"/>
        </w:rPr>
        <w:t xml:space="preserve">tinuously tracked project energy sources </w:t>
      </w:r>
      <m:oMath>
        <m:r>
          <w:rPr>
            <w:rFonts w:ascii="Cambria Math" w:eastAsia="Cambria Math" w:hAnsi="Cambria Math" w:cs="Arial"/>
            <w:szCs w:val="22"/>
          </w:rPr>
          <m:t>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proj,i</m:t>
            </m:r>
          </m:sub>
        </m:sSub>
      </m:oMath>
      <w:r w:rsidRPr="003A1A70">
        <w:rPr>
          <w:rFonts w:eastAsia="Cambria Math" w:cs="Arial"/>
          <w:szCs w:val="22"/>
        </w:rPr>
        <w:t xml:space="preserve"> </w:t>
      </w:r>
      <w:r w:rsidRPr="003A1A70">
        <w:rPr>
          <w:rFonts w:eastAsia="Montserrat" w:cs="Arial"/>
          <w:szCs w:val="22"/>
        </w:rPr>
        <w:t xml:space="preserve">other than electricity, apply </w:t>
      </w:r>
      <w:hyperlink w:anchor="e1" w:history="1">
        <w:r w:rsidRPr="003A1A70">
          <w:rPr>
            <w:rStyle w:val="Hyperlink"/>
            <w:rFonts w:eastAsia="Montserrat" w:cs="Arial"/>
            <w:szCs w:val="22"/>
          </w:rPr>
          <w:t>Equation (1)</w:t>
        </w:r>
      </w:hyperlink>
      <w:r w:rsidRPr="003A1A70">
        <w:rPr>
          <w:rFonts w:eastAsia="Montserrat" w:cs="Arial"/>
          <w:szCs w:val="22"/>
        </w:rPr>
        <w:t xml:space="preserve"> to convert</w:t>
      </w:r>
      <w:r w:rsidRPr="00B33BB6">
        <w:rPr>
          <w:rFonts w:eastAsia="Montserrat" w:cs="Arial"/>
          <w:szCs w:val="22"/>
        </w:rPr>
        <w:t xml:space="preserve"> fuel masses to fuel energy. This equation excludes any consumption of electricity in the numerator. </w:t>
      </w:r>
    </w:p>
    <w:p w14:paraId="716851C9" w14:textId="77777777" w:rsidR="00E95A8F" w:rsidRPr="00B33BB6" w:rsidRDefault="00E95A8F" w:rsidP="00420B43">
      <w:pPr>
        <w:ind w:left="709"/>
        <w:rPr>
          <w:rFonts w:eastAsia="Montserrat" w:cs="Arial"/>
          <w:szCs w:val="22"/>
        </w:rPr>
      </w:pPr>
    </w:p>
    <w:p w14:paraId="4A16857A" w14:textId="77777777" w:rsidR="00E95A8F" w:rsidRPr="00B33BB6" w:rsidRDefault="00E95A8F" w:rsidP="00420B43">
      <w:pPr>
        <w:ind w:left="709"/>
        <w:rPr>
          <w:rFonts w:eastAsia="Montserrat" w:cs="Arial"/>
          <w:szCs w:val="22"/>
        </w:rPr>
      </w:pPr>
      <w:r w:rsidRPr="00B33BB6">
        <w:rPr>
          <w:rFonts w:eastAsia="Montserrat" w:cs="Arial"/>
          <w:szCs w:val="22"/>
        </w:rPr>
        <w:t>If the project cookstove uses electricity, then the equation will result in a quotient in terms of tCO</w:t>
      </w:r>
      <w:r w:rsidRPr="00B33BB6">
        <w:rPr>
          <w:rFonts w:eastAsia="Montserrat" w:cs="Arial"/>
          <w:szCs w:val="22"/>
          <w:vertAlign w:val="subscript"/>
        </w:rPr>
        <w:t>2</w:t>
      </w:r>
      <w:r w:rsidRPr="00B33BB6">
        <w:rPr>
          <w:rFonts w:eastAsia="Montserrat" w:cs="Arial"/>
          <w:szCs w:val="22"/>
        </w:rPr>
        <w:t>e/kWh.</w:t>
      </w:r>
    </w:p>
    <w:p w14:paraId="5D0B8417" w14:textId="77777777" w:rsidR="00E95A8F" w:rsidRPr="00B33BB6" w:rsidRDefault="00E95A8F" w:rsidP="00420B43">
      <w:pPr>
        <w:ind w:left="709"/>
        <w:rPr>
          <w:rFonts w:eastAsia="Montserrat" w:cs="Arial"/>
          <w:szCs w:val="22"/>
        </w:rPr>
      </w:pPr>
    </w:p>
    <w:p w14:paraId="1DD76057" w14:textId="24909949" w:rsidR="00E95A8F" w:rsidRPr="00B33BB6" w:rsidRDefault="00E95A8F" w:rsidP="00420B43">
      <w:pPr>
        <w:ind w:left="709"/>
        <w:rPr>
          <w:rFonts w:eastAsia="Arial Nova" w:cs="Arial"/>
          <w:szCs w:val="22"/>
        </w:rPr>
      </w:pPr>
      <w:r w:rsidRPr="00B33BB6">
        <w:rPr>
          <w:rFonts w:eastAsia="Montserrat" w:cs="Arial"/>
          <w:szCs w:val="22"/>
        </w:rPr>
        <w:t xml:space="preserve">For determining emissions from energy consumption from electric technologies </w:t>
      </w:r>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elec,y</m:t>
            </m:r>
          </m:sub>
        </m:sSub>
      </m:oMath>
      <w:r w:rsidRPr="00B33BB6">
        <w:rPr>
          <w:rFonts w:eastAsia="Cambria Math" w:cs="Arial"/>
          <w:szCs w:val="22"/>
        </w:rPr>
        <w:t xml:space="preserve"> </w:t>
      </w:r>
      <w:r w:rsidRPr="00B33BB6">
        <w:rPr>
          <w:rFonts w:eastAsia="Montserrat" w:cs="Arial"/>
          <w:szCs w:val="22"/>
        </w:rPr>
        <w:t xml:space="preserve">apply </w:t>
      </w:r>
      <w:hyperlink w:anchor="e9" w:history="1">
        <w:r w:rsidRPr="003A1A70">
          <w:rPr>
            <w:rStyle w:val="Hyperlink"/>
            <w:rFonts w:eastAsia="Montserrat" w:cs="Arial"/>
            <w:szCs w:val="22"/>
          </w:rPr>
          <w:t>Equation (9)</w:t>
        </w:r>
      </w:hyperlink>
      <w:r w:rsidRPr="003A1A70">
        <w:rPr>
          <w:rFonts w:eastAsia="Montserrat" w:cs="Arial"/>
          <w:szCs w:val="22"/>
        </w:rPr>
        <w:t xml:space="preserve">, </w:t>
      </w:r>
      <w:hyperlink w:anchor="e10" w:history="1">
        <w:r w:rsidRPr="003A1A70">
          <w:rPr>
            <w:rStyle w:val="Hyperlink"/>
            <w:rFonts w:eastAsia="Montserrat" w:cs="Arial"/>
            <w:szCs w:val="22"/>
          </w:rPr>
          <w:t>Equation (10)</w:t>
        </w:r>
      </w:hyperlink>
      <w:r w:rsidRPr="003A1A70">
        <w:rPr>
          <w:rFonts w:eastAsia="Montserrat" w:cs="Arial"/>
          <w:szCs w:val="22"/>
        </w:rPr>
        <w:t xml:space="preserve">, and </w:t>
      </w:r>
      <w:hyperlink w:anchor="e11" w:history="1">
        <w:r w:rsidRPr="003A1A70">
          <w:rPr>
            <w:rStyle w:val="Hyperlink"/>
            <w:rFonts w:eastAsia="Arial Nova" w:cs="Arial"/>
            <w:szCs w:val="22"/>
          </w:rPr>
          <w:t>Equation (11)</w:t>
        </w:r>
      </w:hyperlink>
      <w:r w:rsidRPr="003A1A70">
        <w:rPr>
          <w:rFonts w:eastAsia="Arial Nova" w:cs="Arial"/>
          <w:szCs w:val="22"/>
        </w:rPr>
        <w:t>.</w:t>
      </w:r>
    </w:p>
    <w:p w14:paraId="6A97B85A" w14:textId="77777777" w:rsidR="00E95A8F" w:rsidRPr="00B33BB6" w:rsidRDefault="00E95A8F" w:rsidP="00E95A8F">
      <w:pPr>
        <w:ind w:right="159"/>
        <w:rPr>
          <w:rFonts w:cs="Arial"/>
          <w:i/>
          <w:szCs w:val="22"/>
        </w:rPr>
      </w:pPr>
    </w:p>
    <w:p w14:paraId="02ACBED2" w14:textId="0D10354D" w:rsidR="00E95A8F" w:rsidRPr="00420B43" w:rsidRDefault="00E95A8F" w:rsidP="00420B43">
      <w:pPr>
        <w:pStyle w:val="SDMPara"/>
        <w:spacing w:before="160" w:after="80"/>
        <w:rPr>
          <w:color w:val="000000" w:themeColor="text1"/>
        </w:rPr>
      </w:pPr>
      <w:r w:rsidRPr="00420B43">
        <w:rPr>
          <w:rFonts w:eastAsia="Montserrat"/>
          <w:b/>
          <w:bCs/>
          <w:color w:val="000000" w:themeColor="text1"/>
        </w:rPr>
        <w:t>Non-CTEC projects using the KPT</w:t>
      </w:r>
      <w:r w:rsidR="00420B43">
        <w:rPr>
          <w:rFonts w:eastAsia="Montserrat"/>
          <w:color w:val="000000" w:themeColor="text1"/>
        </w:rPr>
        <w:t xml:space="preserve">: </w:t>
      </w:r>
      <w:r w:rsidRPr="00420B43">
        <w:rPr>
          <w:rFonts w:eastAsia="Montserrat"/>
          <w:color w:val="000000" w:themeColor="text1"/>
        </w:rPr>
        <w:t xml:space="preserve">For non-CTEC projects, project emissions before any Hawthorne effect adjustment are calculated using </w:t>
      </w:r>
      <w:r w:rsidRPr="00420B43">
        <w:rPr>
          <w:rFonts w:eastAsia="Montserrat"/>
        </w:rPr>
        <w:t>Equation (20).</w:t>
      </w:r>
      <w:r w:rsidRPr="00420B43">
        <w:rPr>
          <w:rFonts w:eastAsia="Montserrat"/>
          <w:color w:val="000000" w:themeColor="text1"/>
        </w:rPr>
        <w:t xml:space="preserve"> </w:t>
      </w:r>
    </w:p>
    <w:p w14:paraId="5F1F24EE" w14:textId="77777777" w:rsidR="00420B43" w:rsidRPr="00420B43" w:rsidDel="00C92F3C" w:rsidRDefault="00420B43" w:rsidP="00420B43">
      <w:pPr>
        <w:pStyle w:val="SDMPara"/>
        <w:numPr>
          <w:ilvl w:val="0"/>
          <w:numId w:val="0"/>
        </w:numPr>
        <w:spacing w:before="160" w:after="80"/>
        <w:ind w:left="709"/>
        <w:rPr>
          <w:color w:val="000000" w:themeColor="text1"/>
        </w:rPr>
      </w:pPr>
    </w:p>
    <w:tbl>
      <w:tblPr>
        <w:tblW w:w="9425" w:type="dxa"/>
        <w:tblInd w:w="601" w:type="dxa"/>
        <w:tblLayout w:type="fixed"/>
        <w:tblLook w:val="0400" w:firstRow="0" w:lastRow="0" w:firstColumn="0" w:lastColumn="0" w:noHBand="0" w:noVBand="1"/>
      </w:tblPr>
      <w:tblGrid>
        <w:gridCol w:w="8789"/>
        <w:gridCol w:w="636"/>
      </w:tblGrid>
      <w:tr w:rsidR="00E95A8F" w:rsidRPr="00B33BB6" w14:paraId="1DACBE86" w14:textId="77777777" w:rsidTr="00420B43">
        <w:tc>
          <w:tcPr>
            <w:tcW w:w="8789" w:type="dxa"/>
            <w:vAlign w:val="center"/>
          </w:tcPr>
          <w:p w14:paraId="38213A28" w14:textId="77777777" w:rsidR="00E95A8F" w:rsidRPr="00B33BB6" w:rsidRDefault="00000000">
            <w:pPr>
              <w:jc w:val="center"/>
              <w:rPr>
                <w:rFonts w:eastAsia="Cambria Math" w:cs="Arial"/>
                <w:sz w:val="20"/>
              </w:rPr>
            </w:pPr>
            <m:oMathPara>
              <m:oMath>
                <m:sSub>
                  <m:sSubPr>
                    <m:ctrlPr>
                      <w:rPr>
                        <w:rFonts w:ascii="Cambria Math" w:eastAsia="Cambria Math" w:hAnsi="Cambria Math" w:cs="Arial"/>
                        <w:sz w:val="20"/>
                      </w:rPr>
                    </m:ctrlPr>
                  </m:sSubPr>
                  <m:e>
                    <m:r>
                      <w:rPr>
                        <w:rFonts w:ascii="Cambria Math" w:eastAsia="Cambria Math" w:hAnsi="Cambria Math" w:cs="Arial"/>
                        <w:sz w:val="20"/>
                      </w:rPr>
                      <m:t>PE</m:t>
                    </m:r>
                  </m:e>
                  <m:sub>
                    <m:r>
                      <w:rPr>
                        <w:rFonts w:ascii="Cambria Math" w:eastAsia="Cambria Math" w:hAnsi="Cambria Math" w:cs="Arial"/>
                        <w:sz w:val="20"/>
                      </w:rPr>
                      <m:t>unadj,y</m:t>
                    </m:r>
                  </m:sub>
                </m:sSub>
                <m:r>
                  <w:rPr>
                    <w:rFonts w:ascii="Cambria Math" w:eastAsia="Cambria Math" w:hAnsi="Cambria Math" w:cs="Arial"/>
                    <w:sz w:val="20"/>
                  </w:rPr>
                  <m:t xml:space="preserve"> =  </m:t>
                </m:r>
                <m:nary>
                  <m:naryPr>
                    <m:chr m:val="∑"/>
                    <m:supHide m:val="1"/>
                    <m:ctrlPr>
                      <w:rPr>
                        <w:rFonts w:ascii="Cambria Math" w:eastAsia="Cambria Math" w:hAnsi="Cambria Math" w:cs="Arial"/>
                        <w:sz w:val="20"/>
                      </w:rPr>
                    </m:ctrlPr>
                  </m:naryPr>
                  <m:sub>
                    <m:r>
                      <w:rPr>
                        <w:rFonts w:ascii="Cambria Math" w:eastAsia="Cambria Math" w:hAnsi="Cambria Math" w:cs="Arial"/>
                        <w:sz w:val="20"/>
                      </w:rPr>
                      <m:t>j</m:t>
                    </m:r>
                  </m:sub>
                  <m:sup/>
                  <m:e>
                    <m:r>
                      <w:rPr>
                        <w:rFonts w:ascii="Cambria Math" w:eastAsia="Cambria Math" w:hAnsi="Cambria Math" w:cs="Arial"/>
                        <w:sz w:val="20"/>
                      </w:rPr>
                      <m:t xml:space="preserve"> </m:t>
                    </m:r>
                  </m:e>
                </m:nary>
                <m:d>
                  <m:dPr>
                    <m:ctrlPr>
                      <w:rPr>
                        <w:rFonts w:ascii="Cambria Math" w:eastAsia="Cambria Math" w:hAnsi="Cambria Math" w:cs="Arial"/>
                        <w:sz w:val="20"/>
                      </w:rPr>
                    </m:ctrlPr>
                  </m:dPr>
                  <m:e>
                    <m:sSub>
                      <m:sSubPr>
                        <m:ctrlPr>
                          <w:rPr>
                            <w:rFonts w:ascii="Cambria Math" w:eastAsia="Cambria Math" w:hAnsi="Cambria Math" w:cs="Arial"/>
                            <w:sz w:val="20"/>
                          </w:rPr>
                        </m:ctrlPr>
                      </m:sSubPr>
                      <m:e>
                        <m:r>
                          <w:rPr>
                            <w:rFonts w:ascii="Cambria Math" w:eastAsia="Cambria Math" w:hAnsi="Cambria Math" w:cs="Arial"/>
                            <w:sz w:val="20"/>
                          </w:rPr>
                          <m:t>EC</m:t>
                        </m:r>
                      </m:e>
                      <m:sub>
                        <m:r>
                          <w:rPr>
                            <w:rFonts w:ascii="Cambria Math" w:eastAsia="Cambria Math" w:hAnsi="Cambria Math" w:cs="Arial"/>
                            <w:sz w:val="20"/>
                          </w:rPr>
                          <m:t>proj,j,y</m:t>
                        </m:r>
                      </m:sub>
                    </m:sSub>
                    <m:r>
                      <w:rPr>
                        <w:rFonts w:ascii="Cambria Math" w:eastAsia="Cambria Math" w:hAnsi="Cambria Math" w:cs="Arial"/>
                        <w:sz w:val="20"/>
                      </w:rPr>
                      <m:t>×</m:t>
                    </m:r>
                    <m:d>
                      <m:dPr>
                        <m:ctrlPr>
                          <w:rPr>
                            <w:rFonts w:ascii="Cambria Math" w:eastAsia="Cambria Math" w:hAnsi="Cambria Math" w:cs="Arial"/>
                            <w:sz w:val="20"/>
                          </w:rPr>
                        </m:ctrlPr>
                      </m:dPr>
                      <m:e>
                        <m:sSub>
                          <m:sSubPr>
                            <m:ctrlPr>
                              <w:rPr>
                                <w:rFonts w:ascii="Cambria Math" w:eastAsia="Cambria Math" w:hAnsi="Cambria Math" w:cs="Arial"/>
                                <w:i/>
                                <w:sz w:val="20"/>
                              </w:rPr>
                            </m:ctrlPr>
                          </m:sSubPr>
                          <m:e>
                            <m:r>
                              <w:rPr>
                                <w:rFonts w:ascii="Cambria Math" w:eastAsia="Cambria Math" w:hAnsi="Cambria Math" w:cs="Arial"/>
                                <w:sz w:val="20"/>
                              </w:rPr>
                              <m:t>fNRB</m:t>
                            </m:r>
                          </m:e>
                          <m:sub>
                            <m:r>
                              <w:rPr>
                                <w:rFonts w:ascii="Cambria Math" w:eastAsia="Cambria Math" w:hAnsi="Cambria Math" w:cs="Arial"/>
                                <w:sz w:val="20"/>
                              </w:rPr>
                              <m:t>i</m:t>
                            </m:r>
                          </m:sub>
                        </m:sSub>
                        <m:r>
                          <w:rPr>
                            <w:rFonts w:ascii="Cambria Math" w:eastAsia="Cambria Math" w:hAnsi="Cambria Math" w:cs="Arial"/>
                            <w:sz w:val="20"/>
                          </w:rPr>
                          <m:t>×</m:t>
                        </m:r>
                        <m:sSub>
                          <m:sSubPr>
                            <m:ctrlPr>
                              <w:rPr>
                                <w:rFonts w:ascii="Cambria Math" w:eastAsia="Cambria Math" w:hAnsi="Cambria Math" w:cs="Arial"/>
                                <w:sz w:val="20"/>
                              </w:rPr>
                            </m:ctrlPr>
                          </m:sSubPr>
                          <m:e>
                            <m:r>
                              <w:rPr>
                                <w:rFonts w:ascii="Cambria Math" w:eastAsia="Cambria Math" w:hAnsi="Cambria Math" w:cs="Arial"/>
                                <w:sz w:val="20"/>
                              </w:rPr>
                              <m:t>EF</m:t>
                            </m:r>
                          </m:e>
                          <m:sub>
                            <m:r>
                              <w:rPr>
                                <w:rFonts w:ascii="Cambria Math" w:eastAsia="Cambria Math" w:hAnsi="Cambria Math" w:cs="Arial"/>
                                <w:sz w:val="20"/>
                              </w:rPr>
                              <m:t>proj,j,CO2</m:t>
                            </m:r>
                          </m:sub>
                        </m:sSub>
                        <m:r>
                          <w:rPr>
                            <w:rFonts w:ascii="Cambria Math" w:eastAsia="Cambria Math" w:hAnsi="Cambria Math" w:cs="Arial"/>
                            <w:sz w:val="20"/>
                          </w:rPr>
                          <m:t>+</m:t>
                        </m:r>
                        <m:sSub>
                          <m:sSubPr>
                            <m:ctrlPr>
                              <w:rPr>
                                <w:rFonts w:ascii="Cambria Math" w:eastAsia="Cambria Math" w:hAnsi="Cambria Math" w:cs="Arial"/>
                                <w:sz w:val="20"/>
                              </w:rPr>
                            </m:ctrlPr>
                          </m:sSubPr>
                          <m:e>
                            <m:r>
                              <w:rPr>
                                <w:rFonts w:ascii="Cambria Math" w:eastAsia="Cambria Math" w:hAnsi="Cambria Math" w:cs="Arial"/>
                                <w:sz w:val="20"/>
                              </w:rPr>
                              <m:t>EF</m:t>
                            </m:r>
                          </m:e>
                          <m:sub>
                            <m:r>
                              <w:rPr>
                                <w:rFonts w:ascii="Cambria Math" w:eastAsia="Cambria Math" w:hAnsi="Cambria Math" w:cs="Arial"/>
                                <w:sz w:val="20"/>
                              </w:rPr>
                              <m:t>proj,j, nonCO2</m:t>
                            </m:r>
                          </m:sub>
                        </m:sSub>
                      </m:e>
                    </m:d>
                  </m:e>
                </m:d>
                <m:r>
                  <w:rPr>
                    <w:rFonts w:ascii="Cambria Math" w:eastAsia="Cambria Math" w:hAnsi="Cambria Math" w:cs="Arial"/>
                    <w:sz w:val="20"/>
                  </w:rPr>
                  <m:t>+</m:t>
                </m:r>
                <m:nary>
                  <m:naryPr>
                    <m:chr m:val="∑"/>
                    <m:supHide m:val="1"/>
                    <m:ctrlPr>
                      <w:rPr>
                        <w:rFonts w:ascii="Cambria Math" w:eastAsia="Cambria Math" w:hAnsi="Cambria Math" w:cs="Arial"/>
                        <w:sz w:val="20"/>
                      </w:rPr>
                    </m:ctrlPr>
                  </m:naryPr>
                  <m:sub>
                    <m:r>
                      <w:rPr>
                        <w:rFonts w:ascii="Cambria Math" w:eastAsia="Cambria Math" w:hAnsi="Cambria Math" w:cs="Arial"/>
                        <w:sz w:val="20"/>
                      </w:rPr>
                      <m:t>j</m:t>
                    </m:r>
                  </m:sub>
                  <m:sup/>
                  <m:e>
                    <m:r>
                      <w:rPr>
                        <w:rFonts w:ascii="Cambria Math" w:eastAsia="Cambria Math" w:hAnsi="Cambria Math" w:cs="Arial"/>
                        <w:sz w:val="20"/>
                      </w:rPr>
                      <m:t xml:space="preserve"> </m:t>
                    </m:r>
                  </m:e>
                </m:nary>
                <m:sSub>
                  <m:sSubPr>
                    <m:ctrlPr>
                      <w:rPr>
                        <w:rFonts w:ascii="Cambria Math" w:eastAsia="Cambria Math" w:hAnsi="Cambria Math" w:cs="Arial"/>
                        <w:sz w:val="20"/>
                      </w:rPr>
                    </m:ctrlPr>
                  </m:sSubPr>
                  <m:e>
                    <m:r>
                      <w:rPr>
                        <w:rFonts w:ascii="Cambria Math" w:eastAsia="Cambria Math" w:hAnsi="Cambria Math" w:cs="Arial"/>
                        <w:sz w:val="20"/>
                      </w:rPr>
                      <m:t>UE</m:t>
                    </m:r>
                  </m:e>
                  <m:sub>
                    <m:r>
                      <w:rPr>
                        <w:rFonts w:ascii="Cambria Math" w:eastAsia="Cambria Math" w:hAnsi="Cambria Math" w:cs="Arial"/>
                        <w:sz w:val="20"/>
                      </w:rPr>
                      <m:t>proj,j, y</m:t>
                    </m:r>
                  </m:sub>
                </m:sSub>
                <m:r>
                  <w:rPr>
                    <w:rFonts w:ascii="Cambria Math" w:eastAsia="Cambria Math" w:hAnsi="Cambria Math" w:cs="Arial"/>
                    <w:sz w:val="20"/>
                  </w:rPr>
                  <m:t>+</m:t>
                </m:r>
                <m:sSub>
                  <m:sSubPr>
                    <m:ctrlPr>
                      <w:rPr>
                        <w:rFonts w:ascii="Cambria Math" w:eastAsia="Cambria Math" w:hAnsi="Cambria Math" w:cs="Arial"/>
                        <w:sz w:val="20"/>
                      </w:rPr>
                    </m:ctrlPr>
                  </m:sSubPr>
                  <m:e>
                    <m:r>
                      <w:rPr>
                        <w:rFonts w:ascii="Cambria Math" w:eastAsia="Cambria Math" w:hAnsi="Cambria Math" w:cs="Arial"/>
                        <w:sz w:val="20"/>
                      </w:rPr>
                      <m:t>PE</m:t>
                    </m:r>
                  </m:e>
                  <m:sub>
                    <m:r>
                      <w:rPr>
                        <w:rFonts w:ascii="Cambria Math" w:eastAsia="Cambria Math" w:hAnsi="Cambria Math" w:cs="Arial"/>
                        <w:sz w:val="20"/>
                      </w:rPr>
                      <m:t>elec,y</m:t>
                    </m:r>
                  </m:sub>
                </m:sSub>
              </m:oMath>
            </m:oMathPara>
          </w:p>
        </w:tc>
        <w:tc>
          <w:tcPr>
            <w:tcW w:w="636" w:type="dxa"/>
            <w:vAlign w:val="center"/>
          </w:tcPr>
          <w:p w14:paraId="6DC0EF64" w14:textId="77777777" w:rsidR="00E95A8F" w:rsidRPr="00B33BB6" w:rsidRDefault="00E95A8F">
            <w:pPr>
              <w:spacing w:before="240"/>
              <w:rPr>
                <w:rFonts w:cs="Arial"/>
                <w:szCs w:val="22"/>
              </w:rPr>
            </w:pPr>
            <w:r w:rsidRPr="00B33BB6">
              <w:rPr>
                <w:rFonts w:cs="Arial"/>
                <w:szCs w:val="22"/>
              </w:rPr>
              <w:t>(</w:t>
            </w:r>
            <w:bookmarkStart w:id="71" w:name="e20"/>
            <w:r w:rsidRPr="00B33BB6">
              <w:rPr>
                <w:rFonts w:cs="Arial"/>
                <w:szCs w:val="22"/>
              </w:rPr>
              <w:t>20)</w:t>
            </w:r>
            <w:bookmarkEnd w:id="71"/>
          </w:p>
        </w:tc>
      </w:tr>
    </w:tbl>
    <w:p w14:paraId="0715E370" w14:textId="77777777" w:rsidR="00E95A8F" w:rsidRPr="00B33BB6" w:rsidRDefault="00E95A8F" w:rsidP="00E95A8F">
      <w:pPr>
        <w:pBdr>
          <w:top w:val="nil"/>
          <w:left w:val="nil"/>
          <w:bottom w:val="nil"/>
          <w:right w:val="nil"/>
          <w:between w:val="nil"/>
        </w:pBdr>
        <w:rPr>
          <w:rFonts w:eastAsia="Montserrat" w:cs="Arial"/>
          <w:szCs w:val="22"/>
        </w:rPr>
      </w:pPr>
    </w:p>
    <w:p w14:paraId="6DC30179" w14:textId="77777777" w:rsidR="00E95A8F" w:rsidRPr="00B33BB6" w:rsidRDefault="00E95A8F" w:rsidP="00420B43">
      <w:pPr>
        <w:pBdr>
          <w:top w:val="nil"/>
          <w:left w:val="nil"/>
          <w:bottom w:val="nil"/>
          <w:right w:val="nil"/>
          <w:between w:val="nil"/>
        </w:pBdr>
        <w:ind w:left="709"/>
        <w:rPr>
          <w:rFonts w:eastAsia="Montserrat" w:cs="Arial"/>
          <w:szCs w:val="22"/>
        </w:rPr>
      </w:pPr>
      <w:r w:rsidRPr="00B33BB6">
        <w:rPr>
          <w:rFonts w:eastAsia="Montserrat" w:cs="Arial"/>
          <w:szCs w:val="22"/>
        </w:rPr>
        <w:t>Where:</w:t>
      </w:r>
    </w:p>
    <w:p w14:paraId="6D1C6B3A" w14:textId="77777777" w:rsidR="00E95A8F" w:rsidRPr="00B33BB6" w:rsidRDefault="00E95A8F" w:rsidP="00E95A8F">
      <w:pPr>
        <w:pBdr>
          <w:top w:val="nil"/>
          <w:left w:val="nil"/>
          <w:bottom w:val="nil"/>
          <w:right w:val="nil"/>
          <w:between w:val="nil"/>
        </w:pBdr>
        <w:rPr>
          <w:rFonts w:eastAsia="Montserrat" w:cs="Arial"/>
          <w:szCs w:val="22"/>
        </w:rPr>
      </w:pPr>
    </w:p>
    <w:tbl>
      <w:tblPr>
        <w:tblStyle w:val="TableGrid"/>
        <w:tblW w:w="9209" w:type="dxa"/>
        <w:tblInd w:w="596" w:type="dxa"/>
        <w:tblLook w:val="04A0" w:firstRow="1" w:lastRow="0" w:firstColumn="1" w:lastColumn="0" w:noHBand="0" w:noVBand="1"/>
      </w:tblPr>
      <w:tblGrid>
        <w:gridCol w:w="1693"/>
        <w:gridCol w:w="6146"/>
        <w:gridCol w:w="1370"/>
      </w:tblGrid>
      <w:tr w:rsidR="00E95A8F" w:rsidRPr="00B33BB6" w14:paraId="0BD76FFC" w14:textId="77777777" w:rsidTr="00420B43">
        <w:tc>
          <w:tcPr>
            <w:tcW w:w="1693" w:type="dxa"/>
          </w:tcPr>
          <w:p w14:paraId="764A7C0A" w14:textId="77777777" w:rsidR="00E95A8F" w:rsidRPr="00B33BB6" w:rsidRDefault="00E95A8F">
            <w:pPr>
              <w:rPr>
                <w:rFonts w:eastAsia="Montserrat" w:cs="Arial"/>
                <w:b/>
                <w:szCs w:val="22"/>
              </w:rPr>
            </w:pPr>
            <w:r w:rsidRPr="00B33BB6">
              <w:rPr>
                <w:rFonts w:eastAsia="Montserrat" w:cs="Arial"/>
                <w:b/>
                <w:szCs w:val="22"/>
              </w:rPr>
              <w:t>Parameter</w:t>
            </w:r>
          </w:p>
        </w:tc>
        <w:tc>
          <w:tcPr>
            <w:tcW w:w="6146" w:type="dxa"/>
          </w:tcPr>
          <w:p w14:paraId="22858219" w14:textId="77777777" w:rsidR="00E95A8F" w:rsidRPr="00B33BB6" w:rsidRDefault="00E95A8F">
            <w:pPr>
              <w:rPr>
                <w:rFonts w:eastAsia="Montserrat" w:cs="Arial"/>
                <w:b/>
                <w:szCs w:val="22"/>
              </w:rPr>
            </w:pPr>
            <w:r w:rsidRPr="00B33BB6">
              <w:rPr>
                <w:rFonts w:eastAsia="Montserrat" w:cs="Arial"/>
                <w:b/>
                <w:szCs w:val="22"/>
              </w:rPr>
              <w:t>Description</w:t>
            </w:r>
          </w:p>
        </w:tc>
        <w:tc>
          <w:tcPr>
            <w:tcW w:w="1370" w:type="dxa"/>
          </w:tcPr>
          <w:p w14:paraId="76DCB34C" w14:textId="77777777" w:rsidR="00E95A8F" w:rsidRPr="00B33BB6" w:rsidRDefault="00E95A8F">
            <w:pPr>
              <w:rPr>
                <w:rFonts w:eastAsia="Montserrat" w:cs="Arial"/>
                <w:b/>
                <w:szCs w:val="22"/>
              </w:rPr>
            </w:pPr>
            <w:r w:rsidRPr="00B33BB6">
              <w:rPr>
                <w:rFonts w:eastAsia="Montserrat" w:cs="Arial"/>
                <w:b/>
                <w:szCs w:val="22"/>
              </w:rPr>
              <w:t>Unit</w:t>
            </w:r>
          </w:p>
        </w:tc>
      </w:tr>
      <w:tr w:rsidR="00E95A8F" w:rsidRPr="00B33BB6" w14:paraId="02863EFA" w14:textId="77777777" w:rsidTr="00420B43">
        <w:tc>
          <w:tcPr>
            <w:tcW w:w="1693" w:type="dxa"/>
          </w:tcPr>
          <w:p w14:paraId="62EFD64F" w14:textId="77777777" w:rsidR="00E95A8F"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unadj,y</m:t>
                    </m:r>
                  </m:sub>
                </m:sSub>
              </m:oMath>
            </m:oMathPara>
          </w:p>
        </w:tc>
        <w:tc>
          <w:tcPr>
            <w:tcW w:w="6146" w:type="dxa"/>
          </w:tcPr>
          <w:p w14:paraId="25FD84A5" w14:textId="77777777" w:rsidR="00E95A8F" w:rsidRPr="00B33BB6" w:rsidRDefault="00E95A8F">
            <w:pPr>
              <w:rPr>
                <w:rFonts w:eastAsia="Montserrat" w:cs="Arial"/>
                <w:b/>
                <w:szCs w:val="22"/>
              </w:rPr>
            </w:pPr>
            <w:r w:rsidRPr="00B33BB6">
              <w:rPr>
                <w:rFonts w:eastAsia="Montserrat" w:cs="Arial"/>
                <w:szCs w:val="22"/>
              </w:rPr>
              <w:t xml:space="preserve">Project emissions during year </w:t>
            </w:r>
            <w:r w:rsidRPr="00B33BB6">
              <w:rPr>
                <w:rFonts w:eastAsia="Montserrat" w:cs="Arial"/>
                <w:i/>
                <w:szCs w:val="22"/>
              </w:rPr>
              <w:t>y</w:t>
            </w:r>
            <w:r w:rsidRPr="00B33BB6">
              <w:rPr>
                <w:rFonts w:eastAsia="Montserrat" w:cs="Arial"/>
                <w:iCs/>
                <w:szCs w:val="22"/>
              </w:rPr>
              <w:t>, before applying any Hawthorne effect adjustment</w:t>
            </w:r>
          </w:p>
        </w:tc>
        <w:tc>
          <w:tcPr>
            <w:tcW w:w="1370" w:type="dxa"/>
          </w:tcPr>
          <w:p w14:paraId="09D66FA8" w14:textId="77777777" w:rsidR="00E95A8F" w:rsidRPr="00B33BB6" w:rsidRDefault="00E95A8F">
            <w:pPr>
              <w:rPr>
                <w:rFonts w:eastAsia="Montserrat" w:cs="Arial"/>
                <w:b/>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E95A8F" w:rsidRPr="00B33BB6" w14:paraId="096DF9B8" w14:textId="77777777" w:rsidTr="00420B43">
        <w:tc>
          <w:tcPr>
            <w:tcW w:w="1693" w:type="dxa"/>
          </w:tcPr>
          <w:p w14:paraId="732AA01C"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proj,j,y</m:t>
                    </m:r>
                  </m:sub>
                </m:sSub>
              </m:oMath>
            </m:oMathPara>
          </w:p>
        </w:tc>
        <w:tc>
          <w:tcPr>
            <w:tcW w:w="6146" w:type="dxa"/>
          </w:tcPr>
          <w:p w14:paraId="454D4138" w14:textId="01B4CC65" w:rsidR="00E95A8F" w:rsidRPr="00B33BB6" w:rsidRDefault="00E95A8F">
            <w:pPr>
              <w:rPr>
                <w:rFonts w:eastAsia="Montserrat" w:cs="Arial"/>
                <w:szCs w:val="22"/>
              </w:rPr>
            </w:pPr>
            <w:r w:rsidRPr="00B33BB6">
              <w:rPr>
                <w:rFonts w:eastAsia="Montserrat" w:cs="Arial"/>
                <w:szCs w:val="22"/>
              </w:rPr>
              <w:t xml:space="preserve">Consumption of fuel </w:t>
            </w:r>
            <w:r w:rsidRPr="00B33BB6">
              <w:rPr>
                <w:rFonts w:eastAsia="Montserrat" w:cs="Arial"/>
                <w:i/>
                <w:szCs w:val="22"/>
              </w:rPr>
              <w:t>j</w:t>
            </w:r>
            <w:r w:rsidRPr="00B33BB6">
              <w:rPr>
                <w:rFonts w:eastAsia="Montserrat" w:cs="Arial"/>
                <w:szCs w:val="22"/>
              </w:rPr>
              <w:t xml:space="preserve"> in project scenario in year </w:t>
            </w:r>
            <w:r w:rsidRPr="00B33BB6">
              <w:rPr>
                <w:rFonts w:eastAsia="Montserrat" w:cs="Arial"/>
                <w:i/>
                <w:szCs w:val="22"/>
              </w:rPr>
              <w:t xml:space="preserve">y. </w:t>
            </w:r>
            <w:r w:rsidRPr="00B33BB6">
              <w:rPr>
                <w:rFonts w:eastAsia="Montserrat" w:cs="Arial"/>
                <w:szCs w:val="22"/>
              </w:rPr>
              <w:t xml:space="preserve">Where fuels such as pellets and briquettes are made from a mix of renewable and non-renewable sources (e.g., renewable agricultural waste and non-renewable wood), each source </w:t>
            </w:r>
            <w:r w:rsidRPr="00C3324D">
              <w:rPr>
                <w:rFonts w:eastAsia="Montserrat" w:cs="Arial"/>
                <w:szCs w:val="22"/>
              </w:rPr>
              <w:t xml:space="preserve">should </w:t>
            </w:r>
            <w:proofErr w:type="gramStart"/>
            <w:r w:rsidRPr="00C3324D">
              <w:rPr>
                <w:rFonts w:eastAsia="Montserrat" w:cs="Arial"/>
                <w:szCs w:val="22"/>
              </w:rPr>
              <w:t>be considered</w:t>
            </w:r>
            <w:proofErr w:type="gramEnd"/>
            <w:r w:rsidRPr="00C3324D">
              <w:rPr>
                <w:rFonts w:eastAsia="Montserrat" w:cs="Arial"/>
                <w:szCs w:val="22"/>
              </w:rPr>
              <w:t xml:space="preserve"> its own fuel (See example in </w:t>
            </w:r>
            <w:hyperlink w:anchor="footnote11" w:history="1">
              <w:r w:rsidRPr="00C3324D">
                <w:rPr>
                  <w:rStyle w:val="Hyperlink"/>
                  <w:rFonts w:eastAsia="Montserrat" w:cs="Arial"/>
                  <w:szCs w:val="22"/>
                  <w:lang w:val="en-GB"/>
                </w:rPr>
                <w:t>footnote 1</w:t>
              </w:r>
              <w:r w:rsidR="008B6AC3" w:rsidRPr="00C3324D">
                <w:rPr>
                  <w:rStyle w:val="Hyperlink"/>
                  <w:rFonts w:eastAsia="Montserrat" w:cs="Arial"/>
                  <w:szCs w:val="22"/>
                </w:rPr>
                <w:t>1</w:t>
              </w:r>
            </w:hyperlink>
            <w:r w:rsidRPr="00C3324D">
              <w:rPr>
                <w:rFonts w:eastAsia="Montserrat" w:cs="Arial"/>
                <w:szCs w:val="22"/>
              </w:rPr>
              <w:t>).</w:t>
            </w:r>
          </w:p>
        </w:tc>
        <w:tc>
          <w:tcPr>
            <w:tcW w:w="1370" w:type="dxa"/>
          </w:tcPr>
          <w:p w14:paraId="3FCBD317" w14:textId="77777777" w:rsidR="00E95A8F" w:rsidRPr="00B33BB6" w:rsidRDefault="00E95A8F">
            <w:pPr>
              <w:rPr>
                <w:rFonts w:eastAsia="Montserrat" w:cs="Arial"/>
                <w:szCs w:val="22"/>
              </w:rPr>
            </w:pPr>
            <w:r w:rsidRPr="00B33BB6">
              <w:rPr>
                <w:rFonts w:eastAsia="Montserrat" w:cs="Arial"/>
                <w:szCs w:val="22"/>
              </w:rPr>
              <w:t>TJ</w:t>
            </w:r>
          </w:p>
        </w:tc>
      </w:tr>
      <w:tr w:rsidR="00E95A8F" w:rsidRPr="00B33BB6" w14:paraId="7FDA299E" w14:textId="77777777" w:rsidTr="00420B43">
        <w:tc>
          <w:tcPr>
            <w:tcW w:w="1693" w:type="dxa"/>
          </w:tcPr>
          <w:p w14:paraId="5B11AB95" w14:textId="77777777" w:rsidR="00E95A8F"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fNRB</m:t>
                    </m:r>
                  </m:e>
                  <m:sub>
                    <m:r>
                      <w:rPr>
                        <w:rFonts w:ascii="Cambria Math" w:eastAsia="Cambria Math" w:hAnsi="Cambria Math" w:cs="Arial"/>
                        <w:szCs w:val="22"/>
                      </w:rPr>
                      <m:t>j</m:t>
                    </m:r>
                  </m:sub>
                </m:sSub>
              </m:oMath>
            </m:oMathPara>
          </w:p>
        </w:tc>
        <w:tc>
          <w:tcPr>
            <w:tcW w:w="6146" w:type="dxa"/>
          </w:tcPr>
          <w:p w14:paraId="4FF0659E" w14:textId="77777777" w:rsidR="00E95A8F" w:rsidRPr="00B33BB6" w:rsidRDefault="00E95A8F">
            <w:pPr>
              <w:rPr>
                <w:rFonts w:eastAsia="Montserrat" w:cs="Arial"/>
                <w:szCs w:val="22"/>
              </w:rPr>
            </w:pPr>
            <w:r w:rsidRPr="00B33BB6">
              <w:rPr>
                <w:rFonts w:eastAsia="Montserrat" w:cs="Arial"/>
                <w:szCs w:val="22"/>
              </w:rPr>
              <w:t>Fraction of non-renewable woody biomass fuel</w:t>
            </w:r>
            <w:r w:rsidRPr="00B33BB6">
              <w:rPr>
                <w:rFonts w:eastAsia="Montserrat" w:cs="Arial"/>
                <w:i/>
                <w:szCs w:val="22"/>
              </w:rPr>
              <w:t xml:space="preserve"> j</w:t>
            </w:r>
            <w:r w:rsidRPr="00B33BB6">
              <w:rPr>
                <w:rFonts w:eastAsia="Montserrat" w:cs="Arial"/>
                <w:szCs w:val="22"/>
              </w:rPr>
              <w:t xml:space="preserve"> consumed. This parameter varies between zero and 100% for fuelwood, charcoal, and other solid biomass fuels that are not fully renewable. When renewable biomass fuels are used (defined </w:t>
            </w:r>
            <w:r w:rsidRPr="00B33BB6">
              <w:rPr>
                <w:rFonts w:eastAsia="Montserrat" w:cs="Arial"/>
                <w:szCs w:val="22"/>
              </w:rPr>
              <w:lastRenderedPageBreak/>
              <w:t>above), this parameter is equal to zero. When fossil fuels are used, it is equal to 100%.</w:t>
            </w:r>
          </w:p>
        </w:tc>
        <w:tc>
          <w:tcPr>
            <w:tcW w:w="1370" w:type="dxa"/>
          </w:tcPr>
          <w:p w14:paraId="54774D37" w14:textId="77777777" w:rsidR="00E95A8F" w:rsidRPr="00B33BB6" w:rsidRDefault="00E95A8F">
            <w:pPr>
              <w:rPr>
                <w:rFonts w:eastAsia="Montserrat" w:cs="Arial"/>
                <w:szCs w:val="22"/>
              </w:rPr>
            </w:pPr>
            <w:r w:rsidRPr="00B33BB6">
              <w:rPr>
                <w:rFonts w:eastAsia="Montserrat" w:cs="Arial"/>
                <w:szCs w:val="22"/>
              </w:rPr>
              <w:lastRenderedPageBreak/>
              <w:t>%</w:t>
            </w:r>
          </w:p>
        </w:tc>
      </w:tr>
      <w:tr w:rsidR="00E95A8F" w:rsidRPr="00B33BB6" w14:paraId="71A0491D" w14:textId="77777777" w:rsidTr="00420B43">
        <w:tc>
          <w:tcPr>
            <w:tcW w:w="1693" w:type="dxa"/>
          </w:tcPr>
          <w:p w14:paraId="6F7B8F27" w14:textId="77777777" w:rsidR="00E95A8F"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EF</m:t>
                    </m:r>
                  </m:e>
                  <m:sub>
                    <m:r>
                      <w:rPr>
                        <w:rFonts w:ascii="Cambria Math" w:eastAsia="Cambria Math" w:hAnsi="Cambria Math" w:cs="Arial"/>
                        <w:szCs w:val="22"/>
                      </w:rPr>
                      <m:t>proj,j,CO2</m:t>
                    </m:r>
                  </m:sub>
                </m:sSub>
              </m:oMath>
            </m:oMathPara>
          </w:p>
        </w:tc>
        <w:tc>
          <w:tcPr>
            <w:tcW w:w="6146" w:type="dxa"/>
          </w:tcPr>
          <w:p w14:paraId="722FB5A3" w14:textId="77777777" w:rsidR="00E95A8F" w:rsidRPr="00B33BB6" w:rsidRDefault="00E95A8F">
            <w:pPr>
              <w:rPr>
                <w:rFonts w:eastAsia="Montserrat" w:cs="Arial"/>
                <w:szCs w:val="22"/>
              </w:rPr>
            </w:pPr>
            <w:r w:rsidRPr="00B33BB6">
              <w:rPr>
                <w:rFonts w:eastAsia="Montserrat" w:cs="Arial"/>
                <w:szCs w:val="22"/>
              </w:rPr>
              <w:t>CO</w:t>
            </w:r>
            <w:r w:rsidRPr="00B33BB6">
              <w:rPr>
                <w:rFonts w:eastAsia="Montserrat" w:cs="Arial"/>
                <w:szCs w:val="22"/>
                <w:vertAlign w:val="subscript"/>
              </w:rPr>
              <w:t>2</w:t>
            </w:r>
            <w:r w:rsidRPr="00B33BB6">
              <w:rPr>
                <w:rFonts w:eastAsia="Montserrat" w:cs="Arial"/>
                <w:szCs w:val="22"/>
              </w:rPr>
              <w:t xml:space="preserve"> emission factor for project fuel</w:t>
            </w:r>
            <w:r w:rsidRPr="00B33BB6">
              <w:rPr>
                <w:rFonts w:eastAsia="Montserrat" w:cs="Arial"/>
                <w:i/>
                <w:szCs w:val="22"/>
              </w:rPr>
              <w:t xml:space="preserve"> j</w:t>
            </w:r>
            <w:r w:rsidRPr="00B33BB6">
              <w:rPr>
                <w:rFonts w:eastAsia="Montserrat" w:cs="Arial"/>
                <w:szCs w:val="22"/>
              </w:rPr>
              <w:t xml:space="preserve"> </w:t>
            </w:r>
          </w:p>
        </w:tc>
        <w:tc>
          <w:tcPr>
            <w:tcW w:w="1370" w:type="dxa"/>
          </w:tcPr>
          <w:p w14:paraId="2B5832C4"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e/TJ</w:t>
            </w:r>
          </w:p>
        </w:tc>
      </w:tr>
      <w:tr w:rsidR="00E95A8F" w:rsidRPr="00B33BB6" w14:paraId="659B8201" w14:textId="77777777" w:rsidTr="00420B43">
        <w:tc>
          <w:tcPr>
            <w:tcW w:w="1693" w:type="dxa"/>
          </w:tcPr>
          <w:p w14:paraId="2D21DB6B" w14:textId="77777777" w:rsidR="00E95A8F" w:rsidRPr="00B33BB6" w:rsidRDefault="00000000">
            <w:pPr>
              <w:rPr>
                <w:rFonts w:eastAsia="Yu Mincho"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proj,j,nonCO2</m:t>
                    </m:r>
                  </m:sub>
                </m:sSub>
              </m:oMath>
            </m:oMathPara>
          </w:p>
        </w:tc>
        <w:tc>
          <w:tcPr>
            <w:tcW w:w="6146" w:type="dxa"/>
          </w:tcPr>
          <w:p w14:paraId="06EB5158" w14:textId="77777777" w:rsidR="00E95A8F" w:rsidRPr="00B33BB6" w:rsidRDefault="00E95A8F">
            <w:pPr>
              <w:rPr>
                <w:rFonts w:eastAsia="Montserrat" w:cs="Arial"/>
                <w:szCs w:val="22"/>
              </w:rPr>
            </w:pPr>
            <w:r w:rsidRPr="00B33BB6">
              <w:rPr>
                <w:rFonts w:eastAsia="Montserrat" w:cs="Arial"/>
                <w:szCs w:val="22"/>
              </w:rPr>
              <w:t>Non-CO</w:t>
            </w:r>
            <w:r w:rsidRPr="00B33BB6">
              <w:rPr>
                <w:rFonts w:eastAsia="Montserrat" w:cs="Arial"/>
                <w:szCs w:val="22"/>
                <w:vertAlign w:val="subscript"/>
              </w:rPr>
              <w:t>2</w:t>
            </w:r>
            <w:r w:rsidRPr="00B33BB6">
              <w:rPr>
                <w:rFonts w:eastAsia="Montserrat" w:cs="Arial"/>
                <w:szCs w:val="22"/>
              </w:rPr>
              <w:t xml:space="preserve"> emission factor for project fuel </w:t>
            </w:r>
            <w:r w:rsidRPr="00B33BB6">
              <w:rPr>
                <w:rFonts w:eastAsia="Montserrat" w:cs="Arial"/>
                <w:i/>
                <w:szCs w:val="22"/>
              </w:rPr>
              <w:t>j</w:t>
            </w:r>
            <w:r w:rsidRPr="00B33BB6">
              <w:rPr>
                <w:rFonts w:eastAsia="Montserrat" w:cs="Arial"/>
                <w:szCs w:val="22"/>
              </w:rPr>
              <w:t xml:space="preserve"> </w:t>
            </w:r>
          </w:p>
        </w:tc>
        <w:tc>
          <w:tcPr>
            <w:tcW w:w="1370" w:type="dxa"/>
          </w:tcPr>
          <w:p w14:paraId="0C9C5CA9"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e/TJ</w:t>
            </w:r>
          </w:p>
        </w:tc>
      </w:tr>
      <w:tr w:rsidR="00E95A8F" w:rsidRPr="00B33BB6" w14:paraId="0DBEC04C" w14:textId="77777777" w:rsidTr="00420B43">
        <w:tc>
          <w:tcPr>
            <w:tcW w:w="1693" w:type="dxa"/>
          </w:tcPr>
          <w:p w14:paraId="19D74C90"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proj,j,y</m:t>
                    </m:r>
                  </m:sub>
                </m:sSub>
              </m:oMath>
            </m:oMathPara>
          </w:p>
        </w:tc>
        <w:tc>
          <w:tcPr>
            <w:tcW w:w="6146" w:type="dxa"/>
          </w:tcPr>
          <w:p w14:paraId="73A0EEE0" w14:textId="3459F762" w:rsidR="00E95A8F" w:rsidRPr="00B33BB6" w:rsidRDefault="00E95A8F">
            <w:pPr>
              <w:rPr>
                <w:rFonts w:eastAsia="Montserrat" w:cs="Arial"/>
                <w:szCs w:val="22"/>
              </w:rPr>
            </w:pPr>
            <w:r w:rsidRPr="00B33BB6">
              <w:rPr>
                <w:rFonts w:eastAsia="Montserrat" w:cs="Arial"/>
                <w:szCs w:val="22"/>
              </w:rPr>
              <w:t>Upstream emissions for project fuel</w:t>
            </w:r>
            <w:r w:rsidRPr="00B33BB6">
              <w:rPr>
                <w:rFonts w:eastAsia="Montserrat" w:cs="Arial"/>
                <w:i/>
                <w:szCs w:val="22"/>
              </w:rPr>
              <w:t xml:space="preserve"> j </w:t>
            </w:r>
            <w:r w:rsidRPr="00B33BB6">
              <w:rPr>
                <w:rFonts w:eastAsia="Montserrat" w:cs="Arial"/>
                <w:szCs w:val="22"/>
              </w:rPr>
              <w:t xml:space="preserve">in year </w:t>
            </w:r>
            <w:r w:rsidRPr="00B33BB6">
              <w:rPr>
                <w:rFonts w:eastAsia="Montserrat" w:cs="Arial"/>
                <w:i/>
                <w:szCs w:val="22"/>
              </w:rPr>
              <w:t>y</w:t>
            </w:r>
            <w:r w:rsidRPr="00B33BB6">
              <w:rPr>
                <w:rFonts w:eastAsia="Montserrat" w:cs="Arial"/>
                <w:szCs w:val="22"/>
              </w:rPr>
              <w:t xml:space="preserve">, determined following </w:t>
            </w:r>
            <w:r w:rsidR="00D840A1">
              <w:rPr>
                <w:rFonts w:eastAsia="Montserrat" w:cs="Arial"/>
                <w:szCs w:val="22"/>
              </w:rPr>
              <w:t>th</w:t>
            </w:r>
            <w:r w:rsidR="00D840A1" w:rsidRPr="00D840A1">
              <w:rPr>
                <w:rFonts w:eastAsia="Montserrat" w:cs="Arial"/>
                <w:szCs w:val="22"/>
              </w:rPr>
              <w:t>e “</w:t>
            </w:r>
            <w:r w:rsidR="00D840A1" w:rsidRPr="00D840A1">
              <w:rPr>
                <w:rFonts w:eastAsia="Montserrat" w:cs="Arial"/>
                <w:i/>
                <w:szCs w:val="22"/>
                <w:shd w:val="clear" w:color="auto" w:fill="FFFFFF"/>
              </w:rPr>
              <w:t>Upstr</w:t>
            </w:r>
            <w:r w:rsidR="00D840A1" w:rsidRPr="002B4BBF">
              <w:rPr>
                <w:rFonts w:eastAsia="Montserrat" w:cs="Arial"/>
                <w:i/>
                <w:szCs w:val="22"/>
                <w:shd w:val="clear" w:color="auto" w:fill="FFFFFF"/>
              </w:rPr>
              <w:t xml:space="preserve">eam Emissions </w:t>
            </w:r>
            <w:r w:rsidR="00D840A1" w:rsidRPr="002B4BBF">
              <w:rPr>
                <w:rFonts w:cs="Arial"/>
                <w:i/>
                <w:iCs/>
                <w:szCs w:val="22"/>
                <w:shd w:val="clear" w:color="auto" w:fill="FFFFFF"/>
              </w:rPr>
              <w:t>for the Project Scenario”</w:t>
            </w:r>
            <w:r w:rsidR="00D840A1" w:rsidRPr="002B4BBF">
              <w:rPr>
                <w:rFonts w:eastAsia="Montserrat" w:cs="Arial"/>
                <w:szCs w:val="22"/>
              </w:rPr>
              <w:t xml:space="preserve"> requirements presented in </w:t>
            </w:r>
            <w:hyperlink w:anchor="S111" w:history="1">
              <w:r w:rsidR="00D840A1" w:rsidRPr="002B4BBF">
                <w:rPr>
                  <w:rStyle w:val="Hyperlink"/>
                  <w:rFonts w:eastAsia="Montserrat" w:cs="Arial"/>
                  <w:szCs w:val="22"/>
                  <w:lang w:val="en-GB"/>
                </w:rPr>
                <w:t>s</w:t>
              </w:r>
              <w:proofErr w:type="spellStart"/>
              <w:r w:rsidR="00D840A1" w:rsidRPr="002B4BBF">
                <w:rPr>
                  <w:rStyle w:val="Hyperlink"/>
                  <w:rFonts w:eastAsia="Montserrat" w:cs="Arial"/>
                  <w:szCs w:val="22"/>
                  <w:shd w:val="clear" w:color="auto" w:fill="FFFFFF"/>
                </w:rPr>
                <w:t>ection</w:t>
              </w:r>
              <w:proofErr w:type="spellEnd"/>
              <w:r w:rsidR="00D840A1" w:rsidRPr="002B4BBF">
                <w:rPr>
                  <w:rStyle w:val="Hyperlink"/>
                  <w:rFonts w:eastAsia="Montserrat" w:cs="Arial"/>
                  <w:szCs w:val="22"/>
                  <w:shd w:val="clear" w:color="auto" w:fill="FFFFFF"/>
                </w:rPr>
                <w:t xml:space="preserve"> </w:t>
              </w:r>
              <w:r w:rsidR="00D840A1" w:rsidRPr="002B4BBF">
                <w:rPr>
                  <w:rStyle w:val="Hyperlink"/>
                  <w:rFonts w:cs="Arial"/>
                  <w:szCs w:val="22"/>
                  <w:shd w:val="clear" w:color="auto" w:fill="FFFFFF"/>
                </w:rPr>
                <w:t>11.1.</w:t>
              </w:r>
            </w:hyperlink>
          </w:p>
        </w:tc>
        <w:tc>
          <w:tcPr>
            <w:tcW w:w="1370" w:type="dxa"/>
          </w:tcPr>
          <w:p w14:paraId="7FF8FAE9"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E95A8F" w:rsidRPr="00B33BB6" w14:paraId="2ADACE09" w14:textId="77777777" w:rsidTr="00420B43">
        <w:tc>
          <w:tcPr>
            <w:tcW w:w="1693" w:type="dxa"/>
          </w:tcPr>
          <w:p w14:paraId="69E3DCA1"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elec,y</m:t>
                    </m:r>
                  </m:sub>
                </m:sSub>
              </m:oMath>
            </m:oMathPara>
          </w:p>
        </w:tc>
        <w:tc>
          <w:tcPr>
            <w:tcW w:w="6146" w:type="dxa"/>
          </w:tcPr>
          <w:p w14:paraId="6593EF18" w14:textId="366AB3C0" w:rsidR="00E95A8F" w:rsidRPr="00B33BB6" w:rsidRDefault="00E95A8F">
            <w:pPr>
              <w:rPr>
                <w:rFonts w:eastAsia="Montserrat" w:cs="Arial"/>
                <w:szCs w:val="22"/>
              </w:rPr>
            </w:pPr>
            <w:r w:rsidRPr="00B33BB6">
              <w:rPr>
                <w:rFonts w:eastAsia="Montserrat" w:cs="Arial"/>
                <w:szCs w:val="22"/>
              </w:rPr>
              <w:t xml:space="preserve">Emissions from electric energy consumption in year </w:t>
            </w:r>
            <w:r w:rsidRPr="00B33BB6">
              <w:rPr>
                <w:rFonts w:eastAsia="Montserrat" w:cs="Arial"/>
                <w:i/>
                <w:szCs w:val="22"/>
              </w:rPr>
              <w:t xml:space="preserve">y </w:t>
            </w:r>
            <w:r w:rsidRPr="00B33BB6">
              <w:rPr>
                <w:rFonts w:eastAsia="Montserrat" w:cs="Arial"/>
                <w:szCs w:val="22"/>
              </w:rPr>
              <w:t xml:space="preserve">(See </w:t>
            </w:r>
            <w:hyperlink w:anchor="e22" w:history="1">
              <w:r w:rsidRPr="003E332C">
                <w:rPr>
                  <w:rStyle w:val="Hyperlink"/>
                  <w:rFonts w:eastAsia="Montserrat" w:cs="Arial"/>
                  <w:szCs w:val="22"/>
                  <w:lang w:val="en-GB"/>
                </w:rPr>
                <w:t>Equation (22)</w:t>
              </w:r>
            </w:hyperlink>
            <w:r w:rsidRPr="003E332C">
              <w:rPr>
                <w:rFonts w:eastAsia="Montserrat" w:cs="Arial"/>
                <w:szCs w:val="22"/>
              </w:rPr>
              <w:t>)</w:t>
            </w:r>
          </w:p>
        </w:tc>
        <w:tc>
          <w:tcPr>
            <w:tcW w:w="1370" w:type="dxa"/>
          </w:tcPr>
          <w:p w14:paraId="7748470E"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bl>
    <w:p w14:paraId="271F02F7" w14:textId="77777777" w:rsidR="00E95A8F" w:rsidRPr="00B33BB6" w:rsidRDefault="00E95A8F" w:rsidP="00E95A8F">
      <w:pPr>
        <w:shd w:val="clear" w:color="auto" w:fill="FFFFFF" w:themeFill="background1"/>
        <w:spacing w:after="160"/>
        <w:rPr>
          <w:rFonts w:eastAsia="Montserrat" w:cs="Arial"/>
          <w:szCs w:val="22"/>
        </w:rPr>
      </w:pPr>
    </w:p>
    <w:p w14:paraId="6BC19372" w14:textId="77777777" w:rsidR="00E95A8F" w:rsidRPr="00B33BB6" w:rsidRDefault="00E95A8F" w:rsidP="00420B43">
      <w:pPr>
        <w:shd w:val="clear" w:color="auto" w:fill="FFFFFF" w:themeFill="background1"/>
        <w:spacing w:after="160"/>
        <w:ind w:left="709"/>
        <w:rPr>
          <w:rFonts w:eastAsia="Montserrat" w:cs="Arial"/>
          <w:szCs w:val="22"/>
        </w:rPr>
      </w:pPr>
      <w:r w:rsidRPr="00B33BB6">
        <w:rPr>
          <w:rFonts w:eastAsia="Montserrat" w:cs="Arial"/>
          <w:szCs w:val="22"/>
        </w:rPr>
        <w:t>Non-CTEC projects may choose from two approaches to determine energy consumption in the project scenario, differentiated by application (or non-application) of SUMs. Both approaches involve determining non-CTEC project fuel consumption through a representative sample with direct measurements of fuel using KPT following Equation (21):</w:t>
      </w:r>
    </w:p>
    <w:p w14:paraId="7C4274D2" w14:textId="77777777" w:rsidR="00E95A8F" w:rsidRPr="00B33BB6" w:rsidRDefault="00E95A8F" w:rsidP="00420B43">
      <w:pPr>
        <w:ind w:left="709"/>
        <w:rPr>
          <w:rFonts w:eastAsia="Montserrat" w:cs="Arial"/>
          <w:szCs w:val="22"/>
        </w:rPr>
      </w:pPr>
    </w:p>
    <w:tbl>
      <w:tblPr>
        <w:tblW w:w="9214" w:type="dxa"/>
        <w:tblInd w:w="709" w:type="dxa"/>
        <w:tblBorders>
          <w:top w:val="nil"/>
          <w:left w:val="nil"/>
          <w:bottom w:val="nil"/>
          <w:right w:val="nil"/>
          <w:insideH w:val="nil"/>
          <w:insideV w:val="nil"/>
        </w:tblBorders>
        <w:tblLayout w:type="fixed"/>
        <w:tblLook w:val="0400" w:firstRow="0" w:lastRow="0" w:firstColumn="0" w:lastColumn="0" w:noHBand="0" w:noVBand="1"/>
      </w:tblPr>
      <w:tblGrid>
        <w:gridCol w:w="8460"/>
        <w:gridCol w:w="754"/>
      </w:tblGrid>
      <w:tr w:rsidR="00E95A8F" w:rsidRPr="00B33BB6" w14:paraId="6A57CF5C" w14:textId="77777777" w:rsidTr="00420B43">
        <w:tc>
          <w:tcPr>
            <w:tcW w:w="8460" w:type="dxa"/>
            <w:vAlign w:val="center"/>
          </w:tcPr>
          <w:p w14:paraId="1C889899" w14:textId="77777777" w:rsidR="00E95A8F" w:rsidRPr="00B33BB6" w:rsidRDefault="00000000">
            <w:pPr>
              <w:jc w:val="center"/>
              <w:rPr>
                <w:rFonts w:eastAsia="Cambria Math"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proj,j,y</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H</m:t>
                    </m:r>
                  </m:e>
                  <m:sub>
                    <m:r>
                      <w:rPr>
                        <w:rFonts w:ascii="Cambria Math" w:eastAsia="Cambria Math" w:hAnsi="Cambria Math" w:cs="Arial"/>
                        <w:szCs w:val="22"/>
                      </w:rPr>
                      <m:t>s</m:t>
                    </m:r>
                  </m:sub>
                </m:sSub>
                <m:r>
                  <w:rPr>
                    <w:rFonts w:ascii="Cambria Math" w:eastAsia="Cambria Math" w:hAnsi="Cambria Math" w:cs="Arial"/>
                    <w:szCs w:val="22"/>
                  </w:rPr>
                  <m:t>×nt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proj,j,y</m:t>
                    </m:r>
                  </m:sub>
                </m:sSub>
                <m:r>
                  <w:rPr>
                    <w:rFonts w:ascii="Cambria Math" w:eastAsia="Cambria Math" w:hAnsi="Cambria Math" w:cs="Arial"/>
                    <w:szCs w:val="22"/>
                  </w:rPr>
                  <m:t>×</m:t>
                </m:r>
                <m:f>
                  <m:fPr>
                    <m:ctrlPr>
                      <w:rPr>
                        <w:rFonts w:ascii="Cambria Math" w:eastAsia="Cambria Math" w:hAnsi="Cambria Math" w:cs="Arial"/>
                        <w:i/>
                        <w:szCs w:val="22"/>
                      </w:rPr>
                    </m:ctrlPr>
                  </m:fPr>
                  <m:num>
                    <m:sSub>
                      <m:sSubPr>
                        <m:ctrlPr>
                          <w:rPr>
                            <w:rFonts w:ascii="Cambria Math" w:eastAsia="Cambria Math" w:hAnsi="Cambria Math" w:cs="Arial"/>
                            <w:i/>
                            <w:szCs w:val="22"/>
                          </w:rPr>
                        </m:ctrlPr>
                      </m:sSubPr>
                      <m:e>
                        <m:r>
                          <w:rPr>
                            <w:rFonts w:ascii="Cambria Math" w:eastAsia="Cambria Math" w:hAnsi="Cambria Math" w:cs="Arial"/>
                            <w:szCs w:val="22"/>
                          </w:rPr>
                          <m:t>PTD</m:t>
                        </m:r>
                      </m:e>
                      <m:sub>
                        <m:r>
                          <w:rPr>
                            <w:rFonts w:ascii="Cambria Math" w:eastAsia="Cambria Math" w:hAnsi="Cambria Math" w:cs="Arial"/>
                            <w:szCs w:val="22"/>
                          </w:rPr>
                          <m:t>h,</m:t>
                        </m:r>
                        <m:r>
                          <w:rPr>
                            <w:rFonts w:ascii="Cambria Math" w:eastAsia="Roboto" w:hAnsi="Cambria Math" w:cs="Arial"/>
                            <w:color w:val="040C28"/>
                            <w:szCs w:val="22"/>
                          </w:rPr>
                          <m:t>Ψ,</m:t>
                        </m:r>
                        <m:r>
                          <w:rPr>
                            <w:rFonts w:ascii="Cambria Math" w:eastAsia="Cambria Math" w:hAnsi="Cambria Math" w:cs="Arial"/>
                            <w:szCs w:val="22"/>
                          </w:rPr>
                          <m:t>y</m:t>
                        </m:r>
                      </m:sub>
                    </m:sSub>
                  </m:num>
                  <m:den>
                    <m:r>
                      <w:rPr>
                        <w:rFonts w:ascii="Cambria Math" w:eastAsia="Cambria Math" w:hAnsi="Cambria Math" w:cs="Arial"/>
                        <w:szCs w:val="22"/>
                      </w:rPr>
                      <m:t>CD</m:t>
                    </m:r>
                  </m:den>
                </m:f>
              </m:oMath>
            </m:oMathPara>
          </w:p>
        </w:tc>
        <w:tc>
          <w:tcPr>
            <w:tcW w:w="754" w:type="dxa"/>
            <w:vAlign w:val="center"/>
          </w:tcPr>
          <w:p w14:paraId="3F52E63F" w14:textId="77777777" w:rsidR="00E95A8F" w:rsidRPr="00B33BB6" w:rsidRDefault="00E95A8F">
            <w:pPr>
              <w:rPr>
                <w:rFonts w:cs="Arial"/>
                <w:szCs w:val="22"/>
              </w:rPr>
            </w:pPr>
            <w:bookmarkStart w:id="72" w:name="e21"/>
            <w:r w:rsidRPr="00B33BB6">
              <w:rPr>
                <w:rFonts w:cs="Arial"/>
                <w:szCs w:val="22"/>
              </w:rPr>
              <w:t>(21)</w:t>
            </w:r>
            <w:bookmarkEnd w:id="72"/>
          </w:p>
        </w:tc>
      </w:tr>
    </w:tbl>
    <w:p w14:paraId="45BAD968" w14:textId="77777777" w:rsidR="00E95A8F" w:rsidRPr="00B33BB6" w:rsidRDefault="00E95A8F" w:rsidP="00420B43">
      <w:pPr>
        <w:ind w:left="709"/>
        <w:rPr>
          <w:rFonts w:eastAsia="Montserrat" w:cs="Arial"/>
          <w:szCs w:val="22"/>
        </w:rPr>
      </w:pPr>
      <w:r w:rsidRPr="00B33BB6">
        <w:rPr>
          <w:rFonts w:eastAsia="Montserrat" w:cs="Arial"/>
          <w:szCs w:val="22"/>
        </w:rPr>
        <w:t>Where:</w:t>
      </w:r>
    </w:p>
    <w:p w14:paraId="2C335495" w14:textId="77777777" w:rsidR="00E95A8F" w:rsidRPr="00B33BB6" w:rsidRDefault="00E95A8F" w:rsidP="00420B43">
      <w:pPr>
        <w:ind w:left="709"/>
        <w:rPr>
          <w:rFonts w:eastAsia="Montserrat" w:cs="Arial"/>
          <w:szCs w:val="22"/>
        </w:rPr>
      </w:pPr>
    </w:p>
    <w:tbl>
      <w:tblPr>
        <w:tblStyle w:val="TableGrid"/>
        <w:tblW w:w="9209" w:type="dxa"/>
        <w:tblInd w:w="709" w:type="dxa"/>
        <w:tblLook w:val="04A0" w:firstRow="1" w:lastRow="0" w:firstColumn="1" w:lastColumn="0" w:noHBand="0" w:noVBand="1"/>
      </w:tblPr>
      <w:tblGrid>
        <w:gridCol w:w="1728"/>
        <w:gridCol w:w="5565"/>
        <w:gridCol w:w="1916"/>
      </w:tblGrid>
      <w:tr w:rsidR="00E95A8F" w:rsidRPr="00B33BB6" w14:paraId="25FE7F2E" w14:textId="77777777" w:rsidTr="00420B43">
        <w:tc>
          <w:tcPr>
            <w:tcW w:w="1728" w:type="dxa"/>
          </w:tcPr>
          <w:p w14:paraId="48409DE3" w14:textId="77777777" w:rsidR="00E95A8F" w:rsidRPr="00B33BB6" w:rsidRDefault="00E95A8F">
            <w:pPr>
              <w:rPr>
                <w:rFonts w:eastAsia="Montserrat" w:cs="Arial"/>
                <w:b/>
                <w:szCs w:val="22"/>
              </w:rPr>
            </w:pPr>
            <w:r w:rsidRPr="00B33BB6">
              <w:rPr>
                <w:rFonts w:eastAsia="Montserrat" w:cs="Arial"/>
                <w:b/>
                <w:szCs w:val="22"/>
              </w:rPr>
              <w:t>Parameter</w:t>
            </w:r>
          </w:p>
        </w:tc>
        <w:tc>
          <w:tcPr>
            <w:tcW w:w="5565" w:type="dxa"/>
          </w:tcPr>
          <w:p w14:paraId="71F5EB6C" w14:textId="77777777" w:rsidR="00E95A8F" w:rsidRPr="00B33BB6" w:rsidRDefault="00E95A8F">
            <w:pPr>
              <w:rPr>
                <w:rFonts w:eastAsia="Montserrat" w:cs="Arial"/>
                <w:b/>
                <w:szCs w:val="22"/>
              </w:rPr>
            </w:pPr>
            <w:r w:rsidRPr="00B33BB6">
              <w:rPr>
                <w:rFonts w:eastAsia="Montserrat" w:cs="Arial"/>
                <w:b/>
                <w:szCs w:val="22"/>
              </w:rPr>
              <w:t>Description</w:t>
            </w:r>
          </w:p>
        </w:tc>
        <w:tc>
          <w:tcPr>
            <w:tcW w:w="1916" w:type="dxa"/>
          </w:tcPr>
          <w:p w14:paraId="025585E6" w14:textId="77777777" w:rsidR="00E95A8F" w:rsidRPr="00B33BB6" w:rsidRDefault="00E95A8F">
            <w:pPr>
              <w:rPr>
                <w:rFonts w:eastAsia="Montserrat" w:cs="Arial"/>
                <w:b/>
                <w:szCs w:val="22"/>
              </w:rPr>
            </w:pPr>
            <w:r w:rsidRPr="00B33BB6">
              <w:rPr>
                <w:rFonts w:eastAsia="Montserrat" w:cs="Arial"/>
                <w:b/>
                <w:szCs w:val="22"/>
              </w:rPr>
              <w:t>Unit</w:t>
            </w:r>
          </w:p>
        </w:tc>
      </w:tr>
      <w:tr w:rsidR="00E95A8F" w:rsidRPr="00B33BB6" w14:paraId="22D31B2A" w14:textId="77777777" w:rsidTr="00420B43">
        <w:tc>
          <w:tcPr>
            <w:tcW w:w="1728" w:type="dxa"/>
          </w:tcPr>
          <w:p w14:paraId="2F61CB26" w14:textId="77777777" w:rsidR="00E95A8F"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proj,j,y</m:t>
                    </m:r>
                  </m:sub>
                </m:sSub>
              </m:oMath>
            </m:oMathPara>
          </w:p>
        </w:tc>
        <w:tc>
          <w:tcPr>
            <w:tcW w:w="5565" w:type="dxa"/>
          </w:tcPr>
          <w:p w14:paraId="55BB4D91" w14:textId="77777777" w:rsidR="00E95A8F" w:rsidRPr="00B33BB6" w:rsidRDefault="00E95A8F">
            <w:pPr>
              <w:rPr>
                <w:rFonts w:eastAsia="Montserrat" w:cs="Arial"/>
                <w:b/>
                <w:szCs w:val="22"/>
              </w:rPr>
            </w:pPr>
            <w:r w:rsidRPr="00B33BB6">
              <w:rPr>
                <w:rFonts w:eastAsia="Montserrat" w:cs="Arial"/>
                <w:szCs w:val="22"/>
              </w:rPr>
              <w:t xml:space="preserve">Consumption of fuel </w:t>
            </w:r>
            <w:r w:rsidRPr="00B33BB6">
              <w:rPr>
                <w:rFonts w:eastAsia="Montserrat" w:cs="Arial"/>
                <w:i/>
                <w:szCs w:val="22"/>
              </w:rPr>
              <w:t>j</w:t>
            </w:r>
            <w:r w:rsidRPr="00B33BB6">
              <w:rPr>
                <w:rFonts w:eastAsia="Montserrat" w:cs="Arial"/>
                <w:szCs w:val="22"/>
              </w:rPr>
              <w:t xml:space="preserve"> in project scenario in year </w:t>
            </w:r>
            <w:r w:rsidRPr="00B33BB6">
              <w:rPr>
                <w:rFonts w:eastAsia="Montserrat" w:cs="Arial"/>
                <w:i/>
                <w:szCs w:val="22"/>
              </w:rPr>
              <w:t>y</w:t>
            </w:r>
          </w:p>
        </w:tc>
        <w:tc>
          <w:tcPr>
            <w:tcW w:w="1916" w:type="dxa"/>
          </w:tcPr>
          <w:p w14:paraId="0D9B8893" w14:textId="77777777" w:rsidR="00E95A8F" w:rsidRPr="00B33BB6" w:rsidRDefault="00E95A8F">
            <w:pPr>
              <w:rPr>
                <w:rFonts w:eastAsia="Montserrat" w:cs="Arial"/>
                <w:b/>
                <w:szCs w:val="22"/>
              </w:rPr>
            </w:pPr>
            <w:r w:rsidRPr="00B33BB6">
              <w:rPr>
                <w:rFonts w:eastAsia="Montserrat" w:cs="Arial"/>
                <w:szCs w:val="22"/>
              </w:rPr>
              <w:t>TJ</w:t>
            </w:r>
          </w:p>
        </w:tc>
      </w:tr>
      <w:tr w:rsidR="00E95A8F" w:rsidRPr="00B33BB6" w14:paraId="3BA5A862" w14:textId="77777777" w:rsidTr="00420B43">
        <w:tc>
          <w:tcPr>
            <w:tcW w:w="1728" w:type="dxa"/>
          </w:tcPr>
          <w:p w14:paraId="17C5D0BC"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H</m:t>
                    </m:r>
                  </m:e>
                  <m:sub>
                    <m:r>
                      <w:rPr>
                        <w:rFonts w:ascii="Cambria Math" w:eastAsia="Cambria Math" w:hAnsi="Cambria Math" w:cs="Arial"/>
                        <w:szCs w:val="22"/>
                      </w:rPr>
                      <m:t>s</m:t>
                    </m:r>
                  </m:sub>
                </m:sSub>
              </m:oMath>
            </m:oMathPara>
          </w:p>
        </w:tc>
        <w:tc>
          <w:tcPr>
            <w:tcW w:w="5565" w:type="dxa"/>
          </w:tcPr>
          <w:p w14:paraId="1AE571CC" w14:textId="77777777" w:rsidR="00E95A8F" w:rsidRPr="00B33BB6" w:rsidRDefault="00E95A8F">
            <w:pPr>
              <w:rPr>
                <w:rFonts w:eastAsia="Montserrat" w:cs="Arial"/>
                <w:szCs w:val="22"/>
              </w:rPr>
            </w:pPr>
            <w:r w:rsidRPr="00B33BB6">
              <w:rPr>
                <w:rFonts w:eastAsia="Montserrat" w:cs="Arial"/>
                <w:szCs w:val="22"/>
              </w:rPr>
              <w:t>Average household size (</w:t>
            </w:r>
            <w:proofErr w:type="gramStart"/>
            <w:r w:rsidRPr="00B33BB6">
              <w:rPr>
                <w:rFonts w:eastAsia="Montserrat" w:cs="Arial"/>
                <w:szCs w:val="22"/>
              </w:rPr>
              <w:t>persons</w:t>
            </w:r>
            <w:proofErr w:type="gramEnd"/>
            <w:r w:rsidRPr="00B33BB6">
              <w:rPr>
                <w:rFonts w:eastAsia="Montserrat" w:cs="Arial"/>
                <w:szCs w:val="22"/>
              </w:rPr>
              <w:t xml:space="preserve"> per household, regardless of age or gender)</w:t>
            </w:r>
          </w:p>
        </w:tc>
        <w:tc>
          <w:tcPr>
            <w:tcW w:w="1916" w:type="dxa"/>
          </w:tcPr>
          <w:p w14:paraId="6F4B6D1B" w14:textId="77777777" w:rsidR="00E95A8F" w:rsidRPr="00B33BB6" w:rsidRDefault="00E95A8F">
            <w:pPr>
              <w:rPr>
                <w:rFonts w:eastAsia="Montserrat" w:cs="Arial"/>
                <w:szCs w:val="22"/>
              </w:rPr>
            </w:pPr>
            <w:r w:rsidRPr="00B33BB6">
              <w:rPr>
                <w:rFonts w:eastAsia="Montserrat" w:cs="Arial"/>
                <w:szCs w:val="22"/>
              </w:rPr>
              <w:t>Number</w:t>
            </w:r>
          </w:p>
        </w:tc>
      </w:tr>
      <w:tr w:rsidR="00E95A8F" w:rsidRPr="00B33BB6" w14:paraId="0C1A16C1" w14:textId="77777777" w:rsidTr="00420B43">
        <w:tc>
          <w:tcPr>
            <w:tcW w:w="1728" w:type="dxa"/>
          </w:tcPr>
          <w:p w14:paraId="5D398FF1" w14:textId="77777777" w:rsidR="00E95A8F" w:rsidRPr="00B33BB6" w:rsidRDefault="0001396C">
            <w:pPr>
              <w:rPr>
                <w:rFonts w:eastAsia="Montserrat" w:cs="Arial"/>
                <w:szCs w:val="22"/>
              </w:rPr>
            </w:pPr>
            <m:oMathPara>
              <m:oMath>
                <m:r>
                  <w:rPr>
                    <w:rFonts w:ascii="Cambria Math" w:eastAsia="Cambria Math" w:hAnsi="Cambria Math" w:cs="Arial"/>
                    <w:szCs w:val="22"/>
                  </w:rPr>
                  <m:t>nt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proj,j,y</m:t>
                    </m:r>
                  </m:sub>
                </m:sSub>
              </m:oMath>
            </m:oMathPara>
          </w:p>
        </w:tc>
        <w:tc>
          <w:tcPr>
            <w:tcW w:w="5565" w:type="dxa"/>
          </w:tcPr>
          <w:p w14:paraId="0453F050" w14:textId="77777777" w:rsidR="00E95A8F" w:rsidRPr="00B33BB6" w:rsidRDefault="00E95A8F">
            <w:pPr>
              <w:rPr>
                <w:rFonts w:eastAsia="Montserrat" w:cs="Arial"/>
                <w:szCs w:val="22"/>
              </w:rPr>
            </w:pPr>
            <w:r w:rsidRPr="00B33BB6">
              <w:rPr>
                <w:rFonts w:eastAsia="Montserrat" w:cs="Arial"/>
                <w:szCs w:val="22"/>
              </w:rPr>
              <w:t xml:space="preserve">Energy consumption of project fuel </w:t>
            </w:r>
            <w:r w:rsidRPr="00B33BB6">
              <w:rPr>
                <w:rFonts w:eastAsia="Montserrat" w:cs="Arial"/>
                <w:i/>
                <w:szCs w:val="22"/>
              </w:rPr>
              <w:t>j</w:t>
            </w:r>
            <w:r w:rsidRPr="00B33BB6">
              <w:rPr>
                <w:rFonts w:eastAsia="Montserrat" w:cs="Arial"/>
                <w:szCs w:val="22"/>
              </w:rPr>
              <w:t xml:space="preserve"> for non-CTEC projects as measured by the project KPT during year </w:t>
            </w:r>
            <w:r w:rsidRPr="00B33BB6">
              <w:rPr>
                <w:rFonts w:eastAsia="Montserrat" w:cs="Arial"/>
                <w:i/>
                <w:szCs w:val="22"/>
              </w:rPr>
              <w:t>y</w:t>
            </w:r>
          </w:p>
        </w:tc>
        <w:tc>
          <w:tcPr>
            <w:tcW w:w="1916" w:type="dxa"/>
          </w:tcPr>
          <w:p w14:paraId="2336E5C9" w14:textId="77777777" w:rsidR="00E95A8F" w:rsidRPr="00B33BB6" w:rsidRDefault="00E95A8F">
            <w:pPr>
              <w:rPr>
                <w:rFonts w:eastAsia="Montserrat" w:cs="Arial"/>
                <w:szCs w:val="22"/>
              </w:rPr>
            </w:pPr>
            <w:r w:rsidRPr="00B33BB6">
              <w:rPr>
                <w:rFonts w:eastAsia="Montserrat" w:cs="Arial"/>
                <w:szCs w:val="22"/>
              </w:rPr>
              <w:t>TJ/(person*year)</w:t>
            </w:r>
          </w:p>
        </w:tc>
      </w:tr>
      <w:tr w:rsidR="00E95A8F" w:rsidRPr="00B33BB6" w14:paraId="37D17837" w14:textId="77777777" w:rsidTr="00420B43">
        <w:tc>
          <w:tcPr>
            <w:tcW w:w="1728" w:type="dxa"/>
          </w:tcPr>
          <w:p w14:paraId="5FE7AF92" w14:textId="77777777" w:rsidR="00E95A8F"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PTD</m:t>
                    </m:r>
                  </m:e>
                  <m:sub>
                    <m:r>
                      <w:rPr>
                        <w:rFonts w:ascii="Cambria Math" w:eastAsia="Cambria Math" w:hAnsi="Cambria Math" w:cs="Arial"/>
                        <w:szCs w:val="22"/>
                      </w:rPr>
                      <m:t>h,</m:t>
                    </m:r>
                    <m:r>
                      <w:rPr>
                        <w:rFonts w:ascii="Cambria Math" w:eastAsia="Roboto" w:hAnsi="Cambria Math" w:cs="Arial"/>
                        <w:color w:val="040C28"/>
                        <w:szCs w:val="22"/>
                      </w:rPr>
                      <m:t>Ψ,</m:t>
                    </m:r>
                    <m:r>
                      <w:rPr>
                        <w:rFonts w:ascii="Cambria Math" w:eastAsia="Cambria Math" w:hAnsi="Cambria Math" w:cs="Arial"/>
                        <w:szCs w:val="22"/>
                      </w:rPr>
                      <m:t>y</m:t>
                    </m:r>
                  </m:sub>
                </m:sSub>
              </m:oMath>
            </m:oMathPara>
          </w:p>
        </w:tc>
        <w:tc>
          <w:tcPr>
            <w:tcW w:w="5565" w:type="dxa"/>
          </w:tcPr>
          <w:p w14:paraId="56475C7D" w14:textId="52F77442" w:rsidR="00E95A8F" w:rsidRPr="00B33BB6" w:rsidRDefault="00E95A8F">
            <w:pPr>
              <w:rPr>
                <w:rFonts w:eastAsia="Montserrat" w:cs="Arial"/>
                <w:szCs w:val="22"/>
              </w:rPr>
            </w:pPr>
            <w:r w:rsidRPr="00B33BB6">
              <w:rPr>
                <w:rFonts w:eastAsia="Montserrat" w:cs="Arial"/>
                <w:szCs w:val="22"/>
              </w:rPr>
              <w:t xml:space="preserve">PTDs of the monitoring period during year </w:t>
            </w:r>
            <w:r w:rsidRPr="00B33BB6">
              <w:rPr>
                <w:rFonts w:eastAsia="Montserrat" w:cs="Arial"/>
                <w:i/>
                <w:szCs w:val="22"/>
              </w:rPr>
              <w:t>y</w:t>
            </w:r>
            <w:r w:rsidRPr="00B33BB6">
              <w:rPr>
                <w:rFonts w:eastAsia="Montserrat" w:cs="Arial"/>
                <w:szCs w:val="22"/>
              </w:rPr>
              <w:t xml:space="preserve"> (See </w:t>
            </w:r>
            <w:hyperlink w:anchor="e19" w:history="1">
              <w:r w:rsidRPr="003A1A70">
                <w:rPr>
                  <w:rStyle w:val="Hyperlink"/>
                  <w:rFonts w:eastAsia="Montserrat" w:cs="Arial"/>
                  <w:szCs w:val="22"/>
                  <w:lang w:val="en-GB"/>
                </w:rPr>
                <w:t>Equation (19)</w:t>
              </w:r>
            </w:hyperlink>
            <w:r w:rsidRPr="003A1A70">
              <w:rPr>
                <w:rFonts w:eastAsia="Montserrat" w:cs="Arial"/>
                <w:szCs w:val="22"/>
              </w:rPr>
              <w:t>); as</w:t>
            </w:r>
            <w:r w:rsidRPr="00B33BB6">
              <w:rPr>
                <w:rFonts w:eastAsia="Montserrat" w:cs="Arial"/>
                <w:szCs w:val="22"/>
              </w:rPr>
              <w:t xml:space="preserve"> in the baseline scenario, PTDs are capped at either 90% or 75% </w:t>
            </w:r>
            <w:r w:rsidRPr="002B4BBF">
              <w:rPr>
                <w:rFonts w:eastAsia="Montserrat" w:cs="Arial"/>
                <w:szCs w:val="22"/>
              </w:rPr>
              <w:t xml:space="preserve">depending on customer support actions taken as described in </w:t>
            </w:r>
            <w:hyperlink w:anchor="S1022" w:history="1">
              <w:r w:rsidRPr="002B4BBF">
                <w:rPr>
                  <w:rStyle w:val="Hyperlink"/>
                  <w:rFonts w:eastAsia="Montserrat" w:cs="Arial"/>
                  <w:szCs w:val="22"/>
                  <w:lang w:val="en-GB"/>
                </w:rPr>
                <w:t xml:space="preserve">section </w:t>
              </w:r>
              <w:r w:rsidR="00573B66" w:rsidRPr="002B4BBF">
                <w:rPr>
                  <w:rStyle w:val="Hyperlink"/>
                  <w:rFonts w:eastAsia="Montserrat" w:cs="Arial"/>
                  <w:szCs w:val="22"/>
                </w:rPr>
                <w:t>10.2.2</w:t>
              </w:r>
            </w:hyperlink>
            <w:r w:rsidRPr="002B4BBF">
              <w:rPr>
                <w:rFonts w:eastAsia="Arial" w:cs="Arial"/>
                <w:color w:val="000000"/>
                <w:szCs w:val="22"/>
              </w:rPr>
              <w:t>.</w:t>
            </w:r>
            <w:r w:rsidRPr="002B4BBF">
              <w:rPr>
                <w:rFonts w:eastAsia="Montserrat" w:cs="Arial"/>
                <w:szCs w:val="22"/>
              </w:rPr>
              <w:t xml:space="preserve"> These caps are waived when PTDs are estimated</w:t>
            </w:r>
            <w:r w:rsidRPr="00B33BB6">
              <w:rPr>
                <w:rFonts w:eastAsia="Montserrat" w:cs="Arial"/>
                <w:szCs w:val="22"/>
              </w:rPr>
              <w:t xml:space="preserve"> using SUMs</w:t>
            </w:r>
            <w:r w:rsidRPr="00B33BB6">
              <w:rPr>
                <w:rFonts w:eastAsia="Arial" w:cs="Arial"/>
                <w:color w:val="000000"/>
                <w:szCs w:val="22"/>
              </w:rPr>
              <w:t>.</w:t>
            </w:r>
            <w:r w:rsidRPr="00B33BB6">
              <w:rPr>
                <w:rFonts w:eastAsia="Montserrat" w:cs="Arial"/>
                <w:szCs w:val="22"/>
              </w:rPr>
              <w:t xml:space="preserve">) </w:t>
            </w:r>
          </w:p>
        </w:tc>
        <w:tc>
          <w:tcPr>
            <w:tcW w:w="1916" w:type="dxa"/>
          </w:tcPr>
          <w:p w14:paraId="0AB40932" w14:textId="77777777" w:rsidR="00E95A8F" w:rsidRPr="00B33BB6" w:rsidRDefault="00E95A8F">
            <w:pPr>
              <w:rPr>
                <w:rFonts w:eastAsia="Montserrat" w:cs="Arial"/>
                <w:szCs w:val="22"/>
              </w:rPr>
            </w:pPr>
            <w:r w:rsidRPr="00B33BB6">
              <w:rPr>
                <w:rFonts w:eastAsia="Montserrat" w:cs="Arial"/>
                <w:szCs w:val="22"/>
              </w:rPr>
              <w:t>Number</w:t>
            </w:r>
          </w:p>
        </w:tc>
      </w:tr>
      <w:tr w:rsidR="00E95A8F" w:rsidRPr="00B33BB6" w14:paraId="0AC3D157" w14:textId="77777777" w:rsidTr="00420B43">
        <w:tc>
          <w:tcPr>
            <w:tcW w:w="1728" w:type="dxa"/>
          </w:tcPr>
          <w:p w14:paraId="79FDA088" w14:textId="77777777" w:rsidR="00E95A8F" w:rsidRPr="00B33BB6" w:rsidRDefault="0001396C">
            <w:pPr>
              <w:rPr>
                <w:rFonts w:cs="Arial"/>
                <w:szCs w:val="22"/>
              </w:rPr>
            </w:pPr>
            <m:oMathPara>
              <m:oMath>
                <m:r>
                  <w:rPr>
                    <w:rFonts w:ascii="Cambria Math" w:eastAsia="Cambria Math" w:hAnsi="Cambria Math" w:cs="Arial"/>
                    <w:szCs w:val="22"/>
                  </w:rPr>
                  <m:t>CD</m:t>
                </m:r>
              </m:oMath>
            </m:oMathPara>
          </w:p>
        </w:tc>
        <w:tc>
          <w:tcPr>
            <w:tcW w:w="5565" w:type="dxa"/>
          </w:tcPr>
          <w:p w14:paraId="12047759" w14:textId="77777777" w:rsidR="00E95A8F" w:rsidRPr="00B33BB6" w:rsidRDefault="00E95A8F">
            <w:pPr>
              <w:rPr>
                <w:rFonts w:eastAsia="Montserrat" w:cs="Arial"/>
                <w:szCs w:val="22"/>
              </w:rPr>
            </w:pPr>
            <w:r w:rsidRPr="00B33BB6">
              <w:rPr>
                <w:rFonts w:eastAsia="Montserrat" w:cs="Arial"/>
                <w:szCs w:val="22"/>
              </w:rPr>
              <w:t>Days in a calendar year y. Use 366 for leap years.</w:t>
            </w:r>
          </w:p>
        </w:tc>
        <w:tc>
          <w:tcPr>
            <w:tcW w:w="1916" w:type="dxa"/>
          </w:tcPr>
          <w:p w14:paraId="50634110" w14:textId="77777777" w:rsidR="00E95A8F" w:rsidRPr="00B33BB6" w:rsidRDefault="00E95A8F">
            <w:pPr>
              <w:rPr>
                <w:rFonts w:eastAsia="Montserrat" w:cs="Arial"/>
                <w:szCs w:val="22"/>
              </w:rPr>
            </w:pPr>
            <w:r w:rsidRPr="00B33BB6">
              <w:rPr>
                <w:rFonts w:eastAsia="Montserrat" w:cs="Arial"/>
                <w:szCs w:val="22"/>
              </w:rPr>
              <w:t>Number</w:t>
            </w:r>
          </w:p>
        </w:tc>
      </w:tr>
    </w:tbl>
    <w:p w14:paraId="1542B7DF" w14:textId="77777777" w:rsidR="00E95A8F" w:rsidRPr="00B33BB6" w:rsidRDefault="00E95A8F" w:rsidP="00420B43">
      <w:pPr>
        <w:ind w:left="709"/>
        <w:rPr>
          <w:rFonts w:eastAsia="Montserrat" w:cs="Arial"/>
          <w:szCs w:val="22"/>
        </w:rPr>
      </w:pPr>
    </w:p>
    <w:p w14:paraId="3B94A181" w14:textId="7ACE2F29" w:rsidR="00E95A8F" w:rsidRPr="00B33BB6" w:rsidRDefault="00E95A8F" w:rsidP="00420B43">
      <w:pPr>
        <w:ind w:left="709"/>
        <w:rPr>
          <w:rFonts w:eastAsia="Montserrat" w:cs="Arial"/>
          <w:szCs w:val="22"/>
        </w:rPr>
      </w:pPr>
      <w:r w:rsidRPr="00B33BB6">
        <w:rPr>
          <w:rFonts w:eastAsia="Montserrat" w:cs="Arial"/>
          <w:szCs w:val="22"/>
        </w:rPr>
        <w:t xml:space="preserve">For </w:t>
      </w:r>
      <w:r w:rsidRPr="00B33BB6">
        <w:rPr>
          <w:rFonts w:eastAsia="Montserrat" w:cs="Arial"/>
          <w:b/>
          <w:szCs w:val="22"/>
        </w:rPr>
        <w:t>energy sources other than electricity</w:t>
      </w:r>
      <w:r w:rsidRPr="00B33BB6">
        <w:rPr>
          <w:rFonts w:eastAsia="Montserrat" w:cs="Arial"/>
          <w:szCs w:val="22"/>
        </w:rPr>
        <w:t xml:space="preserve">, </w:t>
      </w:r>
      <w:r w:rsidRPr="003A1A70">
        <w:rPr>
          <w:rFonts w:eastAsia="Montserrat" w:cs="Arial"/>
          <w:szCs w:val="22"/>
        </w:rPr>
        <w:t xml:space="preserve">use </w:t>
      </w:r>
      <w:hyperlink w:anchor="e1" w:history="1">
        <w:r w:rsidRPr="003A1A70">
          <w:rPr>
            <w:rStyle w:val="Hyperlink"/>
            <w:rFonts w:eastAsia="Montserrat" w:cs="Arial"/>
            <w:szCs w:val="22"/>
          </w:rPr>
          <w:t>Equation (1)</w:t>
        </w:r>
      </w:hyperlink>
      <w:r w:rsidRPr="003A1A70">
        <w:rPr>
          <w:rFonts w:eastAsia="Montserrat" w:cs="Arial"/>
          <w:szCs w:val="22"/>
        </w:rPr>
        <w:t xml:space="preserve"> to</w:t>
      </w:r>
      <w:r w:rsidRPr="00B33BB6">
        <w:rPr>
          <w:rFonts w:eastAsia="Montserrat" w:cs="Arial"/>
          <w:szCs w:val="22"/>
        </w:rPr>
        <w:t xml:space="preserve"> convert fuel masses to fuel energy. </w:t>
      </w:r>
    </w:p>
    <w:p w14:paraId="5004B43E" w14:textId="77777777" w:rsidR="00E95A8F" w:rsidRPr="00B33BB6" w:rsidRDefault="00E95A8F" w:rsidP="00420B43">
      <w:pPr>
        <w:ind w:left="709"/>
        <w:rPr>
          <w:rFonts w:eastAsia="Montserrat" w:cs="Arial"/>
          <w:szCs w:val="22"/>
        </w:rPr>
      </w:pPr>
    </w:p>
    <w:p w14:paraId="5F839B51" w14:textId="77777777" w:rsidR="00E95A8F" w:rsidRPr="00B33BB6" w:rsidRDefault="00E95A8F" w:rsidP="00420B43">
      <w:pPr>
        <w:ind w:left="709"/>
        <w:rPr>
          <w:rFonts w:cs="Arial"/>
          <w:szCs w:val="22"/>
        </w:rPr>
      </w:pPr>
      <w:r w:rsidRPr="00B33BB6">
        <w:rPr>
          <w:rFonts w:eastAsia="Montserrat" w:cs="Arial"/>
          <w:szCs w:val="22"/>
        </w:rPr>
        <w:t xml:space="preserve">In the case of </w:t>
      </w:r>
      <w:r w:rsidRPr="00B33BB6">
        <w:rPr>
          <w:rFonts w:eastAsia="Montserrat" w:cs="Arial"/>
          <w:b/>
          <w:szCs w:val="22"/>
        </w:rPr>
        <w:t>non-CTEC electricity use in the project scenario</w:t>
      </w:r>
      <w:r w:rsidRPr="00B33BB6">
        <w:rPr>
          <w:rFonts w:eastAsia="Montserrat" w:cs="Arial"/>
          <w:szCs w:val="22"/>
        </w:rPr>
        <w:t xml:space="preserve">, project emissions must be calculated </w:t>
      </w:r>
      <w:proofErr w:type="gramStart"/>
      <w:r w:rsidRPr="00B33BB6">
        <w:rPr>
          <w:rFonts w:eastAsia="Montserrat" w:cs="Arial"/>
          <w:szCs w:val="22"/>
        </w:rPr>
        <w:t>taking into account</w:t>
      </w:r>
      <w:proofErr w:type="gramEnd"/>
      <w:r w:rsidRPr="00B33BB6">
        <w:rPr>
          <w:rFonts w:eastAsia="Montserrat" w:cs="Arial"/>
          <w:szCs w:val="22"/>
        </w:rPr>
        <w:t xml:space="preserve"> the average electricity consumption measured by the project KPT including the use of a plug-in power meter and its corresponding emission factor. Emissions from electric energy consumption from grid and/or off-grid sources are calculated using Equation (22).</w:t>
      </w:r>
    </w:p>
    <w:p w14:paraId="56EA68BD" w14:textId="77777777" w:rsidR="00E95A8F" w:rsidRPr="00B33BB6" w:rsidRDefault="00E95A8F" w:rsidP="00E95A8F">
      <w:pPr>
        <w:rPr>
          <w:rFonts w:cs="Arial"/>
          <w:szCs w:val="22"/>
        </w:rPr>
      </w:pPr>
    </w:p>
    <w:tbl>
      <w:tblPr>
        <w:tblStyle w:val="TableGrid"/>
        <w:tblW w:w="9216"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0"/>
        <w:gridCol w:w="846"/>
      </w:tblGrid>
      <w:tr w:rsidR="00E95A8F" w:rsidRPr="00B33BB6" w14:paraId="3B8E7E61" w14:textId="77777777" w:rsidTr="00420B43">
        <w:tc>
          <w:tcPr>
            <w:tcW w:w="8370" w:type="dxa"/>
          </w:tcPr>
          <w:p w14:paraId="79C0ED3A" w14:textId="77777777" w:rsidR="00E95A8F" w:rsidRPr="00B33BB6" w:rsidRDefault="00000000">
            <w:pPr>
              <w:rPr>
                <w:rFonts w:cs="Arial"/>
                <w:sz w:val="20"/>
              </w:rPr>
            </w:pPr>
            <m:oMathPara>
              <m:oMath>
                <m:sSub>
                  <m:sSubPr>
                    <m:ctrlPr>
                      <w:rPr>
                        <w:rFonts w:ascii="Cambria Math" w:eastAsia="Cambria Math" w:hAnsi="Cambria Math" w:cs="Arial"/>
                        <w:sz w:val="20"/>
                      </w:rPr>
                    </m:ctrlPr>
                  </m:sSubPr>
                  <m:e>
                    <m:r>
                      <w:rPr>
                        <w:rFonts w:ascii="Cambria Math" w:eastAsia="Cambria Math" w:hAnsi="Cambria Math" w:cs="Arial"/>
                        <w:sz w:val="20"/>
                      </w:rPr>
                      <m:t>PE</m:t>
                    </m:r>
                  </m:e>
                  <m:sub>
                    <m:r>
                      <w:rPr>
                        <w:rFonts w:ascii="Cambria Math" w:eastAsia="Cambria Math" w:hAnsi="Cambria Math" w:cs="Arial"/>
                        <w:sz w:val="20"/>
                      </w:rPr>
                      <m:t>elec,y</m:t>
                    </m:r>
                  </m:sub>
                </m:sSub>
                <m:r>
                  <w:rPr>
                    <w:rFonts w:ascii="Cambria Math" w:eastAsia="Cambria Math" w:hAnsi="Cambria Math" w:cs="Arial"/>
                    <w:sz w:val="20"/>
                  </w:rPr>
                  <m:t>=</m:t>
                </m:r>
                <m:sSup>
                  <m:sSupPr>
                    <m:ctrlPr>
                      <w:rPr>
                        <w:rFonts w:ascii="Cambria Math" w:eastAsia="Cambria Math" w:hAnsi="Cambria Math" w:cs="Arial"/>
                        <w:sz w:val="20"/>
                      </w:rPr>
                    </m:ctrlPr>
                  </m:sSupPr>
                  <m:e>
                    <m:r>
                      <w:rPr>
                        <w:rFonts w:ascii="Cambria Math" w:eastAsia="Cambria Math" w:hAnsi="Cambria Math" w:cs="Arial"/>
                        <w:sz w:val="20"/>
                      </w:rPr>
                      <m:t>10</m:t>
                    </m:r>
                  </m:e>
                  <m:sup>
                    <m:r>
                      <w:rPr>
                        <w:rFonts w:ascii="Cambria Math" w:eastAsia="Cambria Math" w:hAnsi="Cambria Math" w:cs="Arial"/>
                        <w:sz w:val="20"/>
                      </w:rPr>
                      <m:t>-6</m:t>
                    </m:r>
                  </m:sup>
                </m:sSup>
                <m:r>
                  <w:rPr>
                    <w:rFonts w:ascii="Cambria Math" w:eastAsia="Cambria Math" w:hAnsi="Cambria Math" w:cs="Arial"/>
                    <w:sz w:val="20"/>
                  </w:rPr>
                  <m:t>×</m:t>
                </m:r>
                <m:d>
                  <m:dPr>
                    <m:begChr m:val="["/>
                    <m:endChr m:val="]"/>
                    <m:ctrlPr>
                      <w:rPr>
                        <w:rFonts w:ascii="Cambria Math" w:eastAsia="Cambria Math" w:hAnsi="Cambria Math" w:cs="Arial"/>
                        <w:sz w:val="20"/>
                      </w:rPr>
                    </m:ctrlPr>
                  </m:dPr>
                  <m:e>
                    <m:f>
                      <m:fPr>
                        <m:ctrlPr>
                          <w:rPr>
                            <w:rFonts w:ascii="Cambria Math" w:eastAsia="Cambria Math" w:hAnsi="Cambria Math" w:cs="Arial"/>
                            <w:sz w:val="20"/>
                          </w:rPr>
                        </m:ctrlPr>
                      </m:fPr>
                      <m:num>
                        <m:sSub>
                          <m:sSubPr>
                            <m:ctrlPr>
                              <w:rPr>
                                <w:rFonts w:ascii="Cambria Math" w:eastAsia="Cambria Math" w:hAnsi="Cambria Math" w:cs="Arial"/>
                                <w:sz w:val="20"/>
                              </w:rPr>
                            </m:ctrlPr>
                          </m:sSubPr>
                          <m:e>
                            <m:r>
                              <w:rPr>
                                <w:rFonts w:ascii="Cambria Math" w:eastAsia="Cambria Math" w:hAnsi="Cambria Math" w:cs="Arial"/>
                                <w:sz w:val="20"/>
                              </w:rPr>
                              <m:t>EC</m:t>
                            </m:r>
                          </m:e>
                          <m:sub>
                            <m:r>
                              <w:rPr>
                                <w:rFonts w:ascii="Cambria Math" w:eastAsia="Cambria Math" w:hAnsi="Cambria Math" w:cs="Arial"/>
                                <w:sz w:val="20"/>
                              </w:rPr>
                              <m:t>proj,grid,y</m:t>
                            </m:r>
                          </m:sub>
                        </m:sSub>
                        <m:r>
                          <w:rPr>
                            <w:rFonts w:ascii="Cambria Math" w:eastAsia="Cambria Math" w:hAnsi="Cambria Math" w:cs="Arial"/>
                            <w:sz w:val="20"/>
                          </w:rPr>
                          <m:t>×</m:t>
                        </m:r>
                        <m:sSub>
                          <m:sSubPr>
                            <m:ctrlPr>
                              <w:rPr>
                                <w:rFonts w:ascii="Cambria Math" w:eastAsia="Cambria Math" w:hAnsi="Cambria Math" w:cs="Arial"/>
                                <w:sz w:val="20"/>
                              </w:rPr>
                            </m:ctrlPr>
                          </m:sSubPr>
                          <m:e>
                            <m:r>
                              <w:rPr>
                                <w:rFonts w:ascii="Cambria Math" w:eastAsia="Cambria Math" w:hAnsi="Cambria Math" w:cs="Arial"/>
                                <w:sz w:val="20"/>
                              </w:rPr>
                              <m:t>EF</m:t>
                            </m:r>
                          </m:e>
                          <m:sub>
                            <m:r>
                              <w:rPr>
                                <w:rFonts w:ascii="Cambria Math" w:eastAsia="Cambria Math" w:hAnsi="Cambria Math" w:cs="Arial"/>
                                <w:sz w:val="20"/>
                              </w:rPr>
                              <m:t>proj,grid,y</m:t>
                            </m:r>
                          </m:sub>
                        </m:sSub>
                      </m:num>
                      <m:den>
                        <m:r>
                          <w:rPr>
                            <w:rFonts w:ascii="Cambria Math" w:eastAsia="Cambria Math" w:hAnsi="Cambria Math" w:cs="Arial"/>
                            <w:sz w:val="20"/>
                          </w:rPr>
                          <m:t>1-</m:t>
                        </m:r>
                        <m:sSub>
                          <m:sSubPr>
                            <m:ctrlPr>
                              <w:rPr>
                                <w:rFonts w:ascii="Cambria Math" w:eastAsia="Cambria Math" w:hAnsi="Cambria Math" w:cs="Arial"/>
                                <w:i/>
                                <w:sz w:val="20"/>
                              </w:rPr>
                            </m:ctrlPr>
                          </m:sSubPr>
                          <m:e>
                            <m:r>
                              <w:rPr>
                                <w:rFonts w:ascii="Cambria Math" w:eastAsia="Cambria Math" w:hAnsi="Cambria Math" w:cs="Arial"/>
                                <w:sz w:val="20"/>
                              </w:rPr>
                              <m:t>TDL</m:t>
                            </m:r>
                          </m:e>
                          <m:sub>
                            <m:r>
                              <w:rPr>
                                <w:rFonts w:ascii="Cambria Math" w:eastAsia="Cambria Math" w:hAnsi="Cambria Math" w:cs="Arial"/>
                                <w:sz w:val="20"/>
                              </w:rPr>
                              <m:t>y</m:t>
                            </m:r>
                          </m:sub>
                        </m:sSub>
                      </m:den>
                    </m:f>
                    <m:r>
                      <w:rPr>
                        <w:rFonts w:ascii="Cambria Math" w:eastAsia="Cambria Math" w:hAnsi="Cambria Math" w:cs="Arial"/>
                        <w:sz w:val="20"/>
                      </w:rPr>
                      <m:t>+</m:t>
                    </m:r>
                    <m:d>
                      <m:dPr>
                        <m:ctrlPr>
                          <w:rPr>
                            <w:rFonts w:ascii="Cambria Math" w:eastAsia="Cambria Math" w:hAnsi="Cambria Math" w:cs="Arial"/>
                            <w:sz w:val="20"/>
                          </w:rPr>
                        </m:ctrlPr>
                      </m:dPr>
                      <m:e>
                        <m:sSub>
                          <m:sSubPr>
                            <m:ctrlPr>
                              <w:rPr>
                                <w:rFonts w:ascii="Cambria Math" w:eastAsia="Cambria Math" w:hAnsi="Cambria Math" w:cs="Arial"/>
                                <w:sz w:val="20"/>
                              </w:rPr>
                            </m:ctrlPr>
                          </m:sSubPr>
                          <m:e>
                            <m:r>
                              <w:rPr>
                                <w:rFonts w:ascii="Cambria Math" w:eastAsia="Cambria Math" w:hAnsi="Cambria Math" w:cs="Arial"/>
                                <w:sz w:val="20"/>
                              </w:rPr>
                              <m:t>EC</m:t>
                            </m:r>
                          </m:e>
                          <m:sub>
                            <m:r>
                              <w:rPr>
                                <w:rFonts w:ascii="Cambria Math" w:eastAsia="Cambria Math" w:hAnsi="Cambria Math" w:cs="Arial"/>
                                <w:sz w:val="20"/>
                              </w:rPr>
                              <m:t>proj,offgrid,y</m:t>
                            </m:r>
                          </m:sub>
                        </m:sSub>
                        <m:r>
                          <w:rPr>
                            <w:rFonts w:ascii="Cambria Math" w:eastAsia="Cambria Math" w:hAnsi="Cambria Math" w:cs="Arial"/>
                            <w:sz w:val="20"/>
                          </w:rPr>
                          <m:t>×</m:t>
                        </m:r>
                        <m:nary>
                          <m:naryPr>
                            <m:chr m:val="∑"/>
                            <m:supHide m:val="1"/>
                            <m:ctrlPr>
                              <w:rPr>
                                <w:rFonts w:ascii="Cambria Math" w:eastAsia="Cambria Math" w:hAnsi="Cambria Math" w:cs="Arial"/>
                                <w:sz w:val="20"/>
                              </w:rPr>
                            </m:ctrlPr>
                          </m:naryPr>
                          <m:sub>
                            <m:r>
                              <w:rPr>
                                <w:rFonts w:ascii="Cambria Math" w:eastAsia="Cambria Math" w:hAnsi="Cambria Math" w:cs="Arial"/>
                                <w:sz w:val="20"/>
                              </w:rPr>
                              <m:t>k</m:t>
                            </m:r>
                          </m:sub>
                          <m:sup/>
                          <m:e>
                            <m:r>
                              <w:rPr>
                                <w:rFonts w:ascii="Cambria Math" w:eastAsia="Cambria Math" w:hAnsi="Cambria Math" w:cs="Arial"/>
                                <w:sz w:val="20"/>
                              </w:rPr>
                              <m:t xml:space="preserve"> </m:t>
                            </m:r>
                          </m:e>
                        </m:nary>
                        <m:sSub>
                          <m:sSubPr>
                            <m:ctrlPr>
                              <w:rPr>
                                <w:rFonts w:ascii="Cambria Math" w:eastAsia="Cambria Math" w:hAnsi="Cambria Math" w:cs="Arial"/>
                                <w:sz w:val="20"/>
                              </w:rPr>
                            </m:ctrlPr>
                          </m:sSubPr>
                          <m:e>
                            <m:sSub>
                              <m:sSubPr>
                                <m:ctrlPr>
                                  <w:rPr>
                                    <w:rFonts w:ascii="Cambria Math" w:eastAsia="Cambria Math" w:hAnsi="Cambria Math" w:cs="Arial"/>
                                    <w:sz w:val="20"/>
                                  </w:rPr>
                                </m:ctrlPr>
                              </m:sSubPr>
                              <m:e>
                                <m:r>
                                  <w:rPr>
                                    <w:rFonts w:ascii="Cambria Math" w:eastAsia="Cambria Math" w:hAnsi="Cambria Math" w:cs="Arial"/>
                                    <w:sz w:val="20"/>
                                  </w:rPr>
                                  <m:t>f</m:t>
                                </m:r>
                              </m:e>
                              <m:sub>
                                <m:r>
                                  <w:rPr>
                                    <w:rFonts w:ascii="Cambria Math" w:eastAsia="Cambria Math" w:hAnsi="Cambria Math" w:cs="Arial"/>
                                    <w:sz w:val="20"/>
                                  </w:rPr>
                                  <m:t>k,y</m:t>
                                </m:r>
                              </m:sub>
                            </m:sSub>
                            <m:r>
                              <w:rPr>
                                <w:rFonts w:ascii="Cambria Math" w:eastAsia="Cambria Math" w:hAnsi="Cambria Math" w:cs="Arial"/>
                                <w:sz w:val="20"/>
                              </w:rPr>
                              <m:t>×EF</m:t>
                            </m:r>
                          </m:e>
                          <m:sub>
                            <m:r>
                              <w:rPr>
                                <w:rFonts w:ascii="Cambria Math" w:eastAsia="Cambria Math" w:hAnsi="Cambria Math" w:cs="Arial"/>
                                <w:sz w:val="20"/>
                              </w:rPr>
                              <m:t>proj,offgrid,k</m:t>
                            </m:r>
                          </m:sub>
                        </m:sSub>
                      </m:e>
                    </m:d>
                  </m:e>
                </m:d>
              </m:oMath>
            </m:oMathPara>
          </w:p>
        </w:tc>
        <w:tc>
          <w:tcPr>
            <w:tcW w:w="846" w:type="dxa"/>
          </w:tcPr>
          <w:p w14:paraId="7959D0B7" w14:textId="77777777" w:rsidR="00E95A8F" w:rsidRPr="00B33BB6" w:rsidRDefault="00E95A8F">
            <w:pPr>
              <w:jc w:val="right"/>
              <w:rPr>
                <w:rFonts w:cs="Arial"/>
                <w:szCs w:val="22"/>
              </w:rPr>
            </w:pPr>
          </w:p>
          <w:p w14:paraId="05A8E60F" w14:textId="77777777" w:rsidR="00E95A8F" w:rsidRPr="00B33BB6" w:rsidRDefault="00E95A8F">
            <w:pPr>
              <w:jc w:val="right"/>
              <w:rPr>
                <w:rFonts w:cs="Arial"/>
                <w:szCs w:val="22"/>
              </w:rPr>
            </w:pPr>
            <w:bookmarkStart w:id="73" w:name="e22"/>
            <w:r w:rsidRPr="00B33BB6">
              <w:rPr>
                <w:rFonts w:cs="Arial"/>
                <w:szCs w:val="22"/>
              </w:rPr>
              <w:t>(22)</w:t>
            </w:r>
            <w:bookmarkEnd w:id="73"/>
          </w:p>
        </w:tc>
      </w:tr>
      <w:tr w:rsidR="00E95A8F" w:rsidRPr="00B33BB6" w14:paraId="43E34156" w14:textId="77777777" w:rsidTr="00420B43">
        <w:tc>
          <w:tcPr>
            <w:tcW w:w="8370" w:type="dxa"/>
          </w:tcPr>
          <w:p w14:paraId="64931A2A" w14:textId="77777777" w:rsidR="00E95A8F" w:rsidRPr="00B33BB6" w:rsidRDefault="00E95A8F">
            <w:pPr>
              <w:rPr>
                <w:rFonts w:cs="Arial"/>
                <w:szCs w:val="22"/>
              </w:rPr>
            </w:pPr>
          </w:p>
        </w:tc>
        <w:tc>
          <w:tcPr>
            <w:tcW w:w="846" w:type="dxa"/>
          </w:tcPr>
          <w:p w14:paraId="7A5FAFAC" w14:textId="77777777" w:rsidR="00E95A8F" w:rsidRPr="00B33BB6" w:rsidRDefault="00E95A8F">
            <w:pPr>
              <w:jc w:val="right"/>
              <w:rPr>
                <w:rFonts w:cs="Arial"/>
                <w:szCs w:val="22"/>
              </w:rPr>
            </w:pPr>
          </w:p>
        </w:tc>
      </w:tr>
    </w:tbl>
    <w:p w14:paraId="004E50A5" w14:textId="77777777" w:rsidR="00E95A8F" w:rsidRPr="00B33BB6" w:rsidRDefault="00E95A8F" w:rsidP="00420B43">
      <w:pPr>
        <w:ind w:left="709"/>
        <w:rPr>
          <w:rFonts w:cs="Arial"/>
          <w:szCs w:val="22"/>
        </w:rPr>
      </w:pPr>
      <w:r w:rsidRPr="00B33BB6">
        <w:rPr>
          <w:rFonts w:eastAsia="Montserrat" w:cs="Arial"/>
          <w:szCs w:val="22"/>
        </w:rPr>
        <w:t>Where:</w:t>
      </w:r>
    </w:p>
    <w:p w14:paraId="57787998" w14:textId="77777777" w:rsidR="00E95A8F" w:rsidRPr="00B33BB6" w:rsidRDefault="00E95A8F" w:rsidP="00420B43">
      <w:pPr>
        <w:ind w:left="709"/>
        <w:rPr>
          <w:rFonts w:eastAsia="Montserrat" w:cs="Arial"/>
          <w:szCs w:val="22"/>
        </w:rPr>
      </w:pPr>
    </w:p>
    <w:tbl>
      <w:tblPr>
        <w:tblStyle w:val="TableGrid"/>
        <w:tblW w:w="9209" w:type="dxa"/>
        <w:tblInd w:w="709" w:type="dxa"/>
        <w:tblLook w:val="04A0" w:firstRow="1" w:lastRow="0" w:firstColumn="1" w:lastColumn="0" w:noHBand="0" w:noVBand="1"/>
      </w:tblPr>
      <w:tblGrid>
        <w:gridCol w:w="1748"/>
        <w:gridCol w:w="6091"/>
        <w:gridCol w:w="1370"/>
      </w:tblGrid>
      <w:tr w:rsidR="00E95A8F" w:rsidRPr="00B33BB6" w14:paraId="51CD433E" w14:textId="77777777" w:rsidTr="00420B43">
        <w:tc>
          <w:tcPr>
            <w:tcW w:w="1748" w:type="dxa"/>
          </w:tcPr>
          <w:p w14:paraId="43DDAA24" w14:textId="77777777" w:rsidR="00E95A8F" w:rsidRPr="00B33BB6" w:rsidRDefault="00E95A8F">
            <w:pPr>
              <w:rPr>
                <w:rFonts w:eastAsia="Montserrat" w:cs="Arial"/>
                <w:b/>
                <w:szCs w:val="22"/>
              </w:rPr>
            </w:pPr>
            <w:r w:rsidRPr="00B33BB6">
              <w:rPr>
                <w:rFonts w:eastAsia="Montserrat" w:cs="Arial"/>
                <w:b/>
                <w:szCs w:val="22"/>
              </w:rPr>
              <w:lastRenderedPageBreak/>
              <w:t>Parameter</w:t>
            </w:r>
          </w:p>
        </w:tc>
        <w:tc>
          <w:tcPr>
            <w:tcW w:w="6091" w:type="dxa"/>
          </w:tcPr>
          <w:p w14:paraId="29D4FADA" w14:textId="77777777" w:rsidR="00E95A8F" w:rsidRPr="00B33BB6" w:rsidRDefault="00E95A8F">
            <w:pPr>
              <w:rPr>
                <w:rFonts w:eastAsia="Montserrat" w:cs="Arial"/>
                <w:b/>
                <w:szCs w:val="22"/>
              </w:rPr>
            </w:pPr>
            <w:r w:rsidRPr="00B33BB6">
              <w:rPr>
                <w:rFonts w:eastAsia="Montserrat" w:cs="Arial"/>
                <w:b/>
                <w:szCs w:val="22"/>
              </w:rPr>
              <w:t>Description</w:t>
            </w:r>
          </w:p>
        </w:tc>
        <w:tc>
          <w:tcPr>
            <w:tcW w:w="1370" w:type="dxa"/>
          </w:tcPr>
          <w:p w14:paraId="6AA83384" w14:textId="77777777" w:rsidR="00E95A8F" w:rsidRPr="00B33BB6" w:rsidRDefault="00E95A8F">
            <w:pPr>
              <w:rPr>
                <w:rFonts w:eastAsia="Montserrat" w:cs="Arial"/>
                <w:b/>
                <w:szCs w:val="22"/>
              </w:rPr>
            </w:pPr>
            <w:r w:rsidRPr="00B33BB6">
              <w:rPr>
                <w:rFonts w:eastAsia="Montserrat" w:cs="Arial"/>
                <w:b/>
                <w:szCs w:val="22"/>
              </w:rPr>
              <w:t>Unit</w:t>
            </w:r>
          </w:p>
        </w:tc>
      </w:tr>
      <w:tr w:rsidR="00E95A8F" w:rsidRPr="00B33BB6" w14:paraId="1EE542C3" w14:textId="77777777" w:rsidTr="00420B43">
        <w:tc>
          <w:tcPr>
            <w:tcW w:w="1748" w:type="dxa"/>
          </w:tcPr>
          <w:p w14:paraId="4A9977C4" w14:textId="77777777" w:rsidR="00E95A8F"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elec,y</m:t>
                    </m:r>
                  </m:sub>
                </m:sSub>
              </m:oMath>
            </m:oMathPara>
          </w:p>
        </w:tc>
        <w:tc>
          <w:tcPr>
            <w:tcW w:w="6091" w:type="dxa"/>
          </w:tcPr>
          <w:p w14:paraId="7C9476A9" w14:textId="77777777" w:rsidR="00E95A8F" w:rsidRPr="00B33BB6" w:rsidRDefault="00E95A8F">
            <w:pPr>
              <w:rPr>
                <w:rFonts w:eastAsia="Montserrat" w:cs="Arial"/>
                <w:b/>
                <w:szCs w:val="22"/>
              </w:rPr>
            </w:pPr>
            <w:r w:rsidRPr="00B33BB6">
              <w:rPr>
                <w:rFonts w:eastAsia="Montserrat" w:cs="Arial"/>
                <w:szCs w:val="22"/>
              </w:rPr>
              <w:t xml:space="preserve">Emissions from electric energy consumption in year </w:t>
            </w:r>
            <w:r w:rsidRPr="00B33BB6">
              <w:rPr>
                <w:rFonts w:eastAsia="Montserrat" w:cs="Arial"/>
                <w:i/>
                <w:szCs w:val="22"/>
              </w:rPr>
              <w:t>y</w:t>
            </w:r>
            <w:r w:rsidRPr="00B33BB6">
              <w:rPr>
                <w:rFonts w:eastAsia="Montserrat" w:cs="Arial"/>
                <w:szCs w:val="22"/>
              </w:rPr>
              <w:t xml:space="preserve"> </w:t>
            </w:r>
          </w:p>
        </w:tc>
        <w:tc>
          <w:tcPr>
            <w:tcW w:w="1370" w:type="dxa"/>
          </w:tcPr>
          <w:p w14:paraId="66993724" w14:textId="77777777" w:rsidR="00E95A8F" w:rsidRPr="00B33BB6" w:rsidRDefault="00E95A8F">
            <w:pPr>
              <w:rPr>
                <w:rFonts w:eastAsia="Montserrat" w:cs="Arial"/>
                <w:b/>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E95A8F" w:rsidRPr="00B33BB6" w14:paraId="5CC96A18" w14:textId="77777777" w:rsidTr="00420B43">
        <w:tc>
          <w:tcPr>
            <w:tcW w:w="1748" w:type="dxa"/>
          </w:tcPr>
          <w:p w14:paraId="5C3EEEC8"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proj,grid,y</m:t>
                    </m:r>
                  </m:sub>
                </m:sSub>
              </m:oMath>
            </m:oMathPara>
          </w:p>
        </w:tc>
        <w:tc>
          <w:tcPr>
            <w:tcW w:w="6091" w:type="dxa"/>
          </w:tcPr>
          <w:p w14:paraId="755B547B" w14:textId="7589B940" w:rsidR="00E95A8F" w:rsidRPr="003A1A70" w:rsidRDefault="00E95A8F">
            <w:pPr>
              <w:rPr>
                <w:rFonts w:eastAsia="Montserrat" w:cs="Arial"/>
                <w:szCs w:val="22"/>
              </w:rPr>
            </w:pPr>
            <w:r w:rsidRPr="003A1A70">
              <w:rPr>
                <w:rFonts w:eastAsia="Montserrat" w:cs="Arial"/>
                <w:szCs w:val="22"/>
              </w:rPr>
              <w:t xml:space="preserve">Grid electricity consumption for cooking for non-CTEC project in year </w:t>
            </w:r>
            <w:r w:rsidRPr="003A1A70">
              <w:rPr>
                <w:rFonts w:eastAsia="Montserrat" w:cs="Arial"/>
                <w:i/>
                <w:szCs w:val="22"/>
              </w:rPr>
              <w:t xml:space="preserve">y </w:t>
            </w:r>
            <w:r w:rsidRPr="003A1A70">
              <w:rPr>
                <w:rFonts w:eastAsia="Montserrat" w:cs="Arial"/>
                <w:iCs/>
                <w:szCs w:val="22"/>
              </w:rPr>
              <w:t>(</w:t>
            </w:r>
            <w:r w:rsidRPr="003A1A70">
              <w:rPr>
                <w:rFonts w:eastAsia="Montserrat" w:cs="Arial"/>
                <w:szCs w:val="22"/>
              </w:rPr>
              <w:t xml:space="preserve">See </w:t>
            </w:r>
            <w:hyperlink w:anchor="e23" w:history="1">
              <w:r w:rsidRPr="003A1A70">
                <w:rPr>
                  <w:rStyle w:val="Hyperlink"/>
                  <w:rFonts w:eastAsia="Montserrat"/>
                  <w:lang w:val="en-GB"/>
                </w:rPr>
                <w:t>Equation (2</w:t>
              </w:r>
              <w:r w:rsidRPr="003A1A70">
                <w:rPr>
                  <w:rStyle w:val="Hyperlink"/>
                  <w:rFonts w:eastAsia="Montserrat" w:cs="Arial"/>
                  <w:szCs w:val="22"/>
                </w:rPr>
                <w:t>3</w:t>
              </w:r>
              <w:r w:rsidRPr="003A1A70">
                <w:rPr>
                  <w:rStyle w:val="Hyperlink"/>
                  <w:rFonts w:eastAsia="Montserrat"/>
                </w:rPr>
                <w:t>)</w:t>
              </w:r>
            </w:hyperlink>
            <w:r w:rsidRPr="003A1A70">
              <w:rPr>
                <w:rFonts w:eastAsia="Montserrat" w:cs="Arial"/>
                <w:iCs/>
                <w:szCs w:val="22"/>
              </w:rPr>
              <w:t>).</w:t>
            </w:r>
          </w:p>
        </w:tc>
        <w:tc>
          <w:tcPr>
            <w:tcW w:w="1370" w:type="dxa"/>
          </w:tcPr>
          <w:p w14:paraId="4BC4ED1E" w14:textId="77777777" w:rsidR="00E95A8F" w:rsidRPr="00B33BB6" w:rsidRDefault="00E95A8F">
            <w:pPr>
              <w:rPr>
                <w:rFonts w:eastAsia="Montserrat" w:cs="Arial"/>
                <w:szCs w:val="22"/>
              </w:rPr>
            </w:pPr>
            <w:r w:rsidRPr="00B33BB6">
              <w:rPr>
                <w:rFonts w:eastAsia="Montserrat" w:cs="Arial"/>
                <w:szCs w:val="22"/>
              </w:rPr>
              <w:t>kWh</w:t>
            </w:r>
          </w:p>
        </w:tc>
      </w:tr>
      <w:tr w:rsidR="00E95A8F" w:rsidRPr="00B33BB6" w14:paraId="1797655D" w14:textId="77777777" w:rsidTr="00420B43">
        <w:tc>
          <w:tcPr>
            <w:tcW w:w="1748" w:type="dxa"/>
          </w:tcPr>
          <w:p w14:paraId="35F7FE86"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proj,grid,y</m:t>
                    </m:r>
                  </m:sub>
                </m:sSub>
              </m:oMath>
            </m:oMathPara>
          </w:p>
        </w:tc>
        <w:tc>
          <w:tcPr>
            <w:tcW w:w="6091" w:type="dxa"/>
          </w:tcPr>
          <w:p w14:paraId="05EC326D" w14:textId="3A84CE36" w:rsidR="00E95A8F" w:rsidRPr="003A1A70" w:rsidRDefault="00E95A8F">
            <w:pPr>
              <w:rPr>
                <w:rFonts w:eastAsia="Montserrat" w:cs="Arial"/>
                <w:szCs w:val="22"/>
              </w:rPr>
            </w:pPr>
            <w:r w:rsidRPr="003A1A70">
              <w:rPr>
                <w:rFonts w:eastAsia="Montserrat" w:cs="Arial"/>
                <w:szCs w:val="22"/>
              </w:rPr>
              <w:t>Country-specific marginal grid e</w:t>
            </w:r>
            <w:r w:rsidRPr="00934A9C">
              <w:rPr>
                <w:rFonts w:eastAsia="Montserrat" w:cs="Arial"/>
                <w:szCs w:val="22"/>
              </w:rPr>
              <w:t xml:space="preserve">mission factor. See </w:t>
            </w:r>
            <w:hyperlink w:anchor="A2" w:history="1">
              <w:r w:rsidRPr="00934A9C">
                <w:rPr>
                  <w:rStyle w:val="Hyperlink"/>
                  <w:rFonts w:eastAsia="Montserrat" w:cs="Arial"/>
                  <w:szCs w:val="22"/>
                  <w:lang w:val="en-GB"/>
                </w:rPr>
                <w:t xml:space="preserve">Appendix 2: </w:t>
              </w:r>
              <w:r w:rsidRPr="00934A9C">
                <w:rPr>
                  <w:rStyle w:val="Hyperlink"/>
                  <w:rFonts w:eastAsia="Montserrat" w:cs="Arial"/>
                  <w:i/>
                  <w:szCs w:val="22"/>
                </w:rPr>
                <w:t xml:space="preserve">Grid Emission Factors </w:t>
              </w:r>
              <w:r w:rsidRPr="00934A9C">
                <w:rPr>
                  <w:rStyle w:val="Hyperlink"/>
                  <w:rFonts w:eastAsia="Montserrat" w:cs="Arial"/>
                  <w:szCs w:val="22"/>
                </w:rPr>
                <w:t xml:space="preserve">in year </w:t>
              </w:r>
              <w:r w:rsidRPr="00934A9C">
                <w:rPr>
                  <w:rStyle w:val="Hyperlink"/>
                  <w:rFonts w:eastAsia="Montserrat" w:cs="Arial"/>
                  <w:i/>
                  <w:szCs w:val="22"/>
                </w:rPr>
                <w:t>y</w:t>
              </w:r>
            </w:hyperlink>
          </w:p>
        </w:tc>
        <w:tc>
          <w:tcPr>
            <w:tcW w:w="1370" w:type="dxa"/>
          </w:tcPr>
          <w:p w14:paraId="5157279C" w14:textId="77777777" w:rsidR="00E95A8F" w:rsidRPr="00B33BB6" w:rsidRDefault="00E95A8F">
            <w:pPr>
              <w:rPr>
                <w:rFonts w:eastAsia="Montserrat" w:cs="Arial"/>
                <w:szCs w:val="22"/>
              </w:rPr>
            </w:pPr>
            <w:r w:rsidRPr="00B33BB6">
              <w:rPr>
                <w:rFonts w:eastAsia="Montserrat" w:cs="Arial"/>
                <w:szCs w:val="22"/>
              </w:rPr>
              <w:t>gCO</w:t>
            </w:r>
            <w:r w:rsidRPr="00B33BB6">
              <w:rPr>
                <w:rFonts w:eastAsia="Montserrat" w:cs="Arial"/>
                <w:szCs w:val="22"/>
                <w:vertAlign w:val="subscript"/>
              </w:rPr>
              <w:t>2</w:t>
            </w:r>
            <w:r w:rsidRPr="00B33BB6">
              <w:rPr>
                <w:rFonts w:eastAsia="Montserrat" w:cs="Arial"/>
                <w:szCs w:val="22"/>
              </w:rPr>
              <w:t>e/kWh</w:t>
            </w:r>
          </w:p>
        </w:tc>
      </w:tr>
      <w:tr w:rsidR="00E95A8F" w:rsidRPr="00B33BB6" w14:paraId="796434E8" w14:textId="77777777" w:rsidTr="00420B43">
        <w:tc>
          <w:tcPr>
            <w:tcW w:w="1748" w:type="dxa"/>
          </w:tcPr>
          <w:p w14:paraId="26186486" w14:textId="77777777" w:rsidR="00E95A8F" w:rsidRPr="00B33BB6" w:rsidRDefault="00000000">
            <w:pPr>
              <w:rPr>
                <w:rFonts w:eastAsia="Yu Mincho"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proj,offgrid,y</m:t>
                    </m:r>
                  </m:sub>
                </m:sSub>
              </m:oMath>
            </m:oMathPara>
          </w:p>
        </w:tc>
        <w:tc>
          <w:tcPr>
            <w:tcW w:w="6091" w:type="dxa"/>
          </w:tcPr>
          <w:p w14:paraId="10D523F4" w14:textId="7469A0DF" w:rsidR="00E95A8F" w:rsidRPr="003A1A70" w:rsidRDefault="00E95A8F">
            <w:pPr>
              <w:rPr>
                <w:rFonts w:eastAsia="Montserrat" w:cs="Arial"/>
                <w:szCs w:val="22"/>
              </w:rPr>
            </w:pPr>
            <w:r w:rsidRPr="003A1A70">
              <w:rPr>
                <w:rFonts w:eastAsia="Montserrat" w:cs="Arial"/>
                <w:szCs w:val="22"/>
              </w:rPr>
              <w:t xml:space="preserve">Off-grid electricity consumption for cooking in year y (See </w:t>
            </w:r>
            <w:hyperlink w:anchor="e24" w:history="1">
              <w:r w:rsidRPr="003A1A70">
                <w:rPr>
                  <w:rStyle w:val="Hyperlink"/>
                  <w:rFonts w:eastAsia="Montserrat"/>
                  <w:lang w:val="en-GB"/>
                </w:rPr>
                <w:t>Equation (2</w:t>
              </w:r>
              <w:r w:rsidRPr="003A1A70">
                <w:rPr>
                  <w:rStyle w:val="Hyperlink"/>
                  <w:rFonts w:eastAsia="Montserrat" w:cs="Arial"/>
                  <w:szCs w:val="22"/>
                </w:rPr>
                <w:t>4</w:t>
              </w:r>
              <w:r w:rsidRPr="003A1A70">
                <w:rPr>
                  <w:rStyle w:val="Hyperlink"/>
                  <w:rFonts w:eastAsia="Montserrat"/>
                </w:rPr>
                <w:t>)</w:t>
              </w:r>
            </w:hyperlink>
            <w:r w:rsidRPr="003A1A70">
              <w:rPr>
                <w:rFonts w:eastAsia="Montserrat" w:cs="Arial"/>
                <w:szCs w:val="22"/>
              </w:rPr>
              <w:t>).</w:t>
            </w:r>
          </w:p>
        </w:tc>
        <w:tc>
          <w:tcPr>
            <w:tcW w:w="1370" w:type="dxa"/>
          </w:tcPr>
          <w:p w14:paraId="5BD0EEC0" w14:textId="77777777" w:rsidR="00E95A8F" w:rsidRPr="00B33BB6" w:rsidRDefault="00E95A8F">
            <w:pPr>
              <w:rPr>
                <w:rFonts w:eastAsia="Montserrat" w:cs="Arial"/>
                <w:szCs w:val="22"/>
              </w:rPr>
            </w:pPr>
            <w:r w:rsidRPr="00B33BB6">
              <w:rPr>
                <w:rFonts w:eastAsia="Montserrat" w:cs="Arial"/>
                <w:szCs w:val="22"/>
              </w:rPr>
              <w:t>kWh</w:t>
            </w:r>
          </w:p>
        </w:tc>
      </w:tr>
      <w:tr w:rsidR="00E95A8F" w:rsidRPr="00B33BB6" w14:paraId="78B95836" w14:textId="77777777" w:rsidTr="00420B43">
        <w:tc>
          <w:tcPr>
            <w:tcW w:w="1748" w:type="dxa"/>
          </w:tcPr>
          <w:p w14:paraId="144E9D79"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f</m:t>
                    </m:r>
                  </m:e>
                  <m:sub>
                    <m:r>
                      <w:rPr>
                        <w:rFonts w:ascii="Cambria Math" w:eastAsia="Cambria Math" w:hAnsi="Cambria Math" w:cs="Arial"/>
                        <w:szCs w:val="22"/>
                      </w:rPr>
                      <m:t>k,y</m:t>
                    </m:r>
                  </m:sub>
                </m:sSub>
              </m:oMath>
            </m:oMathPara>
          </w:p>
        </w:tc>
        <w:tc>
          <w:tcPr>
            <w:tcW w:w="6091" w:type="dxa"/>
          </w:tcPr>
          <w:p w14:paraId="26FBE1BB" w14:textId="77777777" w:rsidR="00E95A8F" w:rsidRPr="00B33BB6" w:rsidRDefault="00E95A8F">
            <w:pPr>
              <w:rPr>
                <w:rFonts w:eastAsia="Montserrat" w:cs="Arial"/>
                <w:szCs w:val="22"/>
              </w:rPr>
            </w:pPr>
            <w:r w:rsidRPr="00B33BB6">
              <w:rPr>
                <w:rFonts w:eastAsia="Montserrat" w:cs="Arial"/>
                <w:szCs w:val="22"/>
              </w:rPr>
              <w:t xml:space="preserve">Fraction of off-grid electricity provided by source </w:t>
            </w:r>
            <w:r w:rsidRPr="00B33BB6">
              <w:rPr>
                <w:rFonts w:eastAsia="Montserrat" w:cs="Arial"/>
                <w:i/>
                <w:szCs w:val="22"/>
              </w:rPr>
              <w:t>k</w:t>
            </w:r>
            <w:r w:rsidRPr="00B33BB6">
              <w:rPr>
                <w:rFonts w:eastAsia="Montserrat" w:cs="Arial"/>
                <w:szCs w:val="22"/>
              </w:rPr>
              <w:t xml:space="preserve"> in year </w:t>
            </w:r>
            <w:r w:rsidRPr="00B33BB6">
              <w:rPr>
                <w:rFonts w:eastAsia="Montserrat" w:cs="Arial"/>
                <w:i/>
                <w:szCs w:val="22"/>
              </w:rPr>
              <w:t>y</w:t>
            </w:r>
          </w:p>
        </w:tc>
        <w:tc>
          <w:tcPr>
            <w:tcW w:w="1370" w:type="dxa"/>
          </w:tcPr>
          <w:p w14:paraId="280F944F" w14:textId="77777777" w:rsidR="00E95A8F" w:rsidRPr="00B33BB6" w:rsidRDefault="00E95A8F">
            <w:pPr>
              <w:rPr>
                <w:rFonts w:eastAsia="Montserrat" w:cs="Arial"/>
                <w:szCs w:val="22"/>
              </w:rPr>
            </w:pPr>
            <w:r w:rsidRPr="00B33BB6">
              <w:rPr>
                <w:rFonts w:eastAsia="Montserrat" w:cs="Arial"/>
                <w:szCs w:val="22"/>
              </w:rPr>
              <w:t>%</w:t>
            </w:r>
          </w:p>
        </w:tc>
      </w:tr>
      <w:tr w:rsidR="00E95A8F" w:rsidRPr="00B33BB6" w14:paraId="4A64D7C0" w14:textId="77777777" w:rsidTr="00420B43">
        <w:tc>
          <w:tcPr>
            <w:tcW w:w="1748" w:type="dxa"/>
          </w:tcPr>
          <w:p w14:paraId="797A14B0"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proj,offgrid,k</m:t>
                    </m:r>
                  </m:sub>
                </m:sSub>
              </m:oMath>
            </m:oMathPara>
          </w:p>
        </w:tc>
        <w:tc>
          <w:tcPr>
            <w:tcW w:w="6091" w:type="dxa"/>
          </w:tcPr>
          <w:p w14:paraId="5B78948E" w14:textId="18B55559" w:rsidR="00E95A8F" w:rsidRPr="00B33BB6" w:rsidRDefault="00E95A8F">
            <w:pPr>
              <w:rPr>
                <w:rFonts w:eastAsia="Montserrat" w:cs="Arial"/>
                <w:szCs w:val="22"/>
              </w:rPr>
            </w:pPr>
            <w:r w:rsidRPr="00B33BB6">
              <w:rPr>
                <w:rFonts w:eastAsia="Montserrat" w:cs="Arial"/>
                <w:szCs w:val="22"/>
              </w:rPr>
              <w:t xml:space="preserve">Off-grid emission factor for source </w:t>
            </w:r>
            <w:r w:rsidRPr="00B33BB6">
              <w:rPr>
                <w:rFonts w:eastAsia="Montserrat" w:cs="Arial"/>
                <w:i/>
                <w:szCs w:val="22"/>
              </w:rPr>
              <w:t>k</w:t>
            </w:r>
            <w:r w:rsidRPr="00B33BB6">
              <w:rPr>
                <w:rFonts w:eastAsia="Montserrat" w:cs="Arial"/>
                <w:szCs w:val="22"/>
              </w:rPr>
              <w:t xml:space="preserve">. This is a technology-specific value provided </w:t>
            </w:r>
            <w:r w:rsidRPr="00934A9C">
              <w:rPr>
                <w:rFonts w:eastAsia="Montserrat" w:cs="Arial"/>
                <w:szCs w:val="22"/>
              </w:rPr>
              <w:t xml:space="preserve">in </w:t>
            </w:r>
            <w:hyperlink w:anchor="A3" w:history="1">
              <w:r w:rsidRPr="00934A9C">
                <w:rPr>
                  <w:rStyle w:val="Hyperlink"/>
                  <w:rFonts w:eastAsia="Montserrat" w:cs="Arial"/>
                  <w:szCs w:val="22"/>
                  <w:lang w:val="en-GB"/>
                </w:rPr>
                <w:t xml:space="preserve">Appendix 3: </w:t>
              </w:r>
              <w:r w:rsidRPr="00934A9C">
                <w:rPr>
                  <w:rStyle w:val="Hyperlink"/>
                  <w:rFonts w:eastAsia="Montserrat" w:cs="Arial"/>
                  <w:i/>
                  <w:szCs w:val="22"/>
                </w:rPr>
                <w:t>Off-Grid Emission Factors for Select Technologies</w:t>
              </w:r>
            </w:hyperlink>
            <w:r w:rsidRPr="00B33BB6">
              <w:rPr>
                <w:rFonts w:eastAsia="Montserrat" w:cs="Arial"/>
                <w:szCs w:val="22"/>
              </w:rPr>
              <w:t xml:space="preserve"> </w:t>
            </w:r>
          </w:p>
        </w:tc>
        <w:tc>
          <w:tcPr>
            <w:tcW w:w="1370" w:type="dxa"/>
          </w:tcPr>
          <w:p w14:paraId="3BE7E5BA" w14:textId="77777777" w:rsidR="00E95A8F" w:rsidRPr="00B33BB6" w:rsidRDefault="00E95A8F">
            <w:pPr>
              <w:rPr>
                <w:rFonts w:eastAsia="Montserrat" w:cs="Arial"/>
                <w:szCs w:val="22"/>
              </w:rPr>
            </w:pPr>
            <w:r w:rsidRPr="00B33BB6">
              <w:rPr>
                <w:rFonts w:eastAsia="Montserrat" w:cs="Arial"/>
                <w:szCs w:val="22"/>
              </w:rPr>
              <w:t>gCO</w:t>
            </w:r>
            <w:r w:rsidRPr="00B33BB6">
              <w:rPr>
                <w:rFonts w:eastAsia="Montserrat" w:cs="Arial"/>
                <w:szCs w:val="22"/>
                <w:vertAlign w:val="subscript"/>
              </w:rPr>
              <w:t>2</w:t>
            </w:r>
            <w:r w:rsidRPr="00B33BB6">
              <w:rPr>
                <w:rFonts w:eastAsia="Montserrat" w:cs="Arial"/>
                <w:szCs w:val="22"/>
              </w:rPr>
              <w:t>e/kWh</w:t>
            </w:r>
          </w:p>
        </w:tc>
      </w:tr>
      <w:tr w:rsidR="00E95A8F" w:rsidRPr="00B33BB6" w14:paraId="5E36729D" w14:textId="77777777" w:rsidTr="00420B43">
        <w:tc>
          <w:tcPr>
            <w:tcW w:w="1748" w:type="dxa"/>
          </w:tcPr>
          <w:p w14:paraId="19B5D005" w14:textId="77777777" w:rsidR="00E95A8F" w:rsidRPr="00B33BB6" w:rsidRDefault="00000000">
            <w:pPr>
              <w:rPr>
                <w:rFonts w:cs="Arial"/>
                <w:i/>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TDL</m:t>
                    </m:r>
                  </m:e>
                  <m:sub>
                    <m:r>
                      <w:rPr>
                        <w:rFonts w:ascii="Cambria Math" w:eastAsia="Cambria Math" w:hAnsi="Cambria Math" w:cs="Arial"/>
                        <w:szCs w:val="22"/>
                      </w:rPr>
                      <m:t>y</m:t>
                    </m:r>
                  </m:sub>
                </m:sSub>
              </m:oMath>
            </m:oMathPara>
          </w:p>
        </w:tc>
        <w:tc>
          <w:tcPr>
            <w:tcW w:w="6091" w:type="dxa"/>
          </w:tcPr>
          <w:p w14:paraId="6EFA1F8A" w14:textId="77777777" w:rsidR="00E95A8F" w:rsidRPr="00B33BB6" w:rsidRDefault="00E95A8F">
            <w:pPr>
              <w:rPr>
                <w:rFonts w:eastAsia="Montserrat" w:cs="Arial"/>
                <w:szCs w:val="22"/>
              </w:rPr>
            </w:pPr>
            <w:r w:rsidRPr="00B33BB6">
              <w:rPr>
                <w:rFonts w:eastAsia="Montserrat" w:cs="Arial"/>
                <w:szCs w:val="22"/>
              </w:rPr>
              <w:t xml:space="preserve">Average technical T&amp;D losses for providing electricity in year </w:t>
            </w:r>
            <w:r w:rsidRPr="00B33BB6">
              <w:rPr>
                <w:rFonts w:eastAsia="Montserrat" w:cs="Arial"/>
                <w:i/>
                <w:szCs w:val="22"/>
              </w:rPr>
              <w:t>y</w:t>
            </w:r>
            <w:r w:rsidRPr="00B33BB6">
              <w:rPr>
                <w:rFonts w:eastAsia="Montserrat" w:cs="Arial"/>
                <w:szCs w:val="22"/>
              </w:rPr>
              <w:t xml:space="preserve"> </w:t>
            </w:r>
          </w:p>
        </w:tc>
        <w:tc>
          <w:tcPr>
            <w:tcW w:w="1370" w:type="dxa"/>
          </w:tcPr>
          <w:p w14:paraId="0C98D52A" w14:textId="77777777" w:rsidR="00E95A8F" w:rsidRPr="00B33BB6" w:rsidRDefault="00E95A8F">
            <w:pPr>
              <w:rPr>
                <w:rFonts w:eastAsia="Montserrat" w:cs="Arial"/>
                <w:szCs w:val="22"/>
              </w:rPr>
            </w:pPr>
            <w:r w:rsidRPr="00B33BB6">
              <w:rPr>
                <w:rFonts w:eastAsia="Montserrat" w:cs="Arial"/>
                <w:szCs w:val="22"/>
              </w:rPr>
              <w:t>%</w:t>
            </w:r>
          </w:p>
        </w:tc>
      </w:tr>
      <w:tr w:rsidR="00E95A8F" w:rsidRPr="00B33BB6" w14:paraId="67111C2B" w14:textId="77777777" w:rsidTr="00420B43">
        <w:tc>
          <w:tcPr>
            <w:tcW w:w="1748" w:type="dxa"/>
          </w:tcPr>
          <w:p w14:paraId="69D7E060" w14:textId="77777777" w:rsidR="00E95A8F" w:rsidRPr="00B33BB6" w:rsidRDefault="00000000">
            <w:pPr>
              <w:rPr>
                <w:rFonts w:cs="Arial"/>
                <w:szCs w:val="22"/>
              </w:rPr>
            </w:pPr>
            <m:oMathPara>
              <m:oMath>
                <m:sSup>
                  <m:sSupPr>
                    <m:ctrlPr>
                      <w:rPr>
                        <w:rFonts w:ascii="Cambria Math" w:eastAsia="Cambria Math" w:hAnsi="Cambria Math" w:cs="Arial"/>
                        <w:szCs w:val="22"/>
                      </w:rPr>
                    </m:ctrlPr>
                  </m:sSupPr>
                  <m:e>
                    <m:r>
                      <w:rPr>
                        <w:rFonts w:ascii="Cambria Math" w:eastAsia="Cambria Math" w:hAnsi="Cambria Math" w:cs="Arial"/>
                        <w:szCs w:val="22"/>
                      </w:rPr>
                      <m:t>10</m:t>
                    </m:r>
                  </m:e>
                  <m:sup>
                    <m:r>
                      <w:rPr>
                        <w:rFonts w:ascii="Cambria Math" w:eastAsia="Cambria Math" w:hAnsi="Cambria Math" w:cs="Arial"/>
                        <w:szCs w:val="22"/>
                      </w:rPr>
                      <m:t>-6</m:t>
                    </m:r>
                  </m:sup>
                </m:sSup>
              </m:oMath>
            </m:oMathPara>
          </w:p>
        </w:tc>
        <w:tc>
          <w:tcPr>
            <w:tcW w:w="6091" w:type="dxa"/>
          </w:tcPr>
          <w:p w14:paraId="19C7BFEF" w14:textId="77777777" w:rsidR="00E95A8F" w:rsidRPr="00B33BB6" w:rsidRDefault="00E95A8F">
            <w:pPr>
              <w:rPr>
                <w:rFonts w:eastAsia="Montserrat" w:cs="Arial"/>
                <w:szCs w:val="22"/>
              </w:rPr>
            </w:pPr>
            <w:r w:rsidRPr="00B33BB6">
              <w:rPr>
                <w:rFonts w:eastAsia="Montserrat" w:cs="Arial"/>
                <w:szCs w:val="22"/>
              </w:rPr>
              <w:t>Unit conversion for grams CO</w:t>
            </w:r>
            <w:r w:rsidRPr="00B33BB6">
              <w:rPr>
                <w:rFonts w:eastAsia="Montserrat" w:cs="Arial"/>
                <w:szCs w:val="22"/>
                <w:vertAlign w:val="subscript"/>
              </w:rPr>
              <w:t>2</w:t>
            </w:r>
            <w:r w:rsidRPr="00B33BB6">
              <w:rPr>
                <w:rFonts w:eastAsia="Montserrat" w:cs="Arial"/>
                <w:szCs w:val="22"/>
              </w:rPr>
              <w:t xml:space="preserve">e to </w:t>
            </w:r>
            <w:proofErr w:type="spellStart"/>
            <w:r w:rsidRPr="00B33BB6">
              <w:rPr>
                <w:rFonts w:eastAsia="Montserrat" w:cs="Arial"/>
                <w:szCs w:val="22"/>
              </w:rPr>
              <w:t>tonnes</w:t>
            </w:r>
            <w:proofErr w:type="spellEnd"/>
            <w:r w:rsidRPr="00B33BB6">
              <w:rPr>
                <w:rFonts w:eastAsia="Montserrat" w:cs="Arial"/>
                <w:szCs w:val="22"/>
              </w:rPr>
              <w:t xml:space="preserve"> CO</w:t>
            </w:r>
            <w:r w:rsidRPr="00B33BB6">
              <w:rPr>
                <w:rFonts w:eastAsia="Montserrat" w:cs="Arial"/>
                <w:szCs w:val="22"/>
                <w:vertAlign w:val="subscript"/>
              </w:rPr>
              <w:t>2</w:t>
            </w:r>
            <w:r w:rsidRPr="00B33BB6">
              <w:rPr>
                <w:rFonts w:eastAsia="Montserrat" w:cs="Arial"/>
                <w:szCs w:val="22"/>
              </w:rPr>
              <w:t xml:space="preserve">e </w:t>
            </w:r>
          </w:p>
        </w:tc>
        <w:tc>
          <w:tcPr>
            <w:tcW w:w="1370" w:type="dxa"/>
          </w:tcPr>
          <w:p w14:paraId="1F1AED5F" w14:textId="77777777" w:rsidR="00E95A8F" w:rsidRPr="00B33BB6" w:rsidRDefault="00E95A8F">
            <w:pPr>
              <w:rPr>
                <w:rFonts w:eastAsia="Montserrat" w:cs="Arial"/>
                <w:szCs w:val="22"/>
              </w:rPr>
            </w:pPr>
          </w:p>
        </w:tc>
      </w:tr>
    </w:tbl>
    <w:p w14:paraId="1672827A" w14:textId="77777777" w:rsidR="00E95A8F" w:rsidRPr="00B33BB6" w:rsidRDefault="00E95A8F" w:rsidP="00420B43">
      <w:pPr>
        <w:ind w:left="709"/>
        <w:rPr>
          <w:rFonts w:cs="Arial"/>
          <w:szCs w:val="22"/>
        </w:rPr>
      </w:pPr>
    </w:p>
    <w:p w14:paraId="42044887" w14:textId="77777777" w:rsidR="00E95A8F" w:rsidRPr="00B33BB6" w:rsidRDefault="00E95A8F" w:rsidP="00420B43">
      <w:pPr>
        <w:ind w:left="709"/>
        <w:rPr>
          <w:rFonts w:eastAsia="Montserrat" w:cs="Arial"/>
          <w:szCs w:val="22"/>
        </w:rPr>
      </w:pPr>
      <w:r w:rsidRPr="00B33BB6">
        <w:rPr>
          <w:rFonts w:eastAsia="Montserrat" w:cs="Arial"/>
          <w:szCs w:val="22"/>
        </w:rPr>
        <w:t>Electricity consumption shall be determined using plug-in power meters during the KPT and calculated using Equation (23) for grid electricity, and/or Equation (24) for off-grid electricity:</w:t>
      </w:r>
    </w:p>
    <w:p w14:paraId="395F4473" w14:textId="77777777" w:rsidR="00E95A8F" w:rsidRPr="00B33BB6" w:rsidRDefault="00E95A8F" w:rsidP="00420B43">
      <w:pPr>
        <w:ind w:left="709"/>
        <w:rPr>
          <w:rFonts w:eastAsia="Montserrat" w:cs="Arial"/>
          <w:szCs w:val="22"/>
        </w:rPr>
      </w:pPr>
    </w:p>
    <w:tbl>
      <w:tblPr>
        <w:tblW w:w="9270" w:type="dxa"/>
        <w:tblInd w:w="709" w:type="dxa"/>
        <w:tblLayout w:type="fixed"/>
        <w:tblLook w:val="0400" w:firstRow="0" w:lastRow="0" w:firstColumn="0" w:lastColumn="0" w:noHBand="0" w:noVBand="1"/>
      </w:tblPr>
      <w:tblGrid>
        <w:gridCol w:w="8598"/>
        <w:gridCol w:w="672"/>
      </w:tblGrid>
      <w:tr w:rsidR="00E95A8F" w:rsidRPr="00B33BB6" w14:paraId="32B9232E" w14:textId="77777777" w:rsidTr="00420B43">
        <w:trPr>
          <w:trHeight w:val="759"/>
        </w:trPr>
        <w:tc>
          <w:tcPr>
            <w:tcW w:w="8598" w:type="dxa"/>
            <w:vMerge w:val="restart"/>
          </w:tcPr>
          <w:p w14:paraId="16D1CEB7" w14:textId="77777777" w:rsidR="00E95A8F" w:rsidRPr="00B33BB6" w:rsidRDefault="00000000">
            <w:pPr>
              <w:jc w:val="cente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proj,grid,y</m:t>
                    </m:r>
                  </m:sub>
                </m:sSub>
                <m:r>
                  <w:rPr>
                    <w:rFonts w:ascii="Cambria Math" w:eastAsia="Cambria Math" w:hAnsi="Cambria Math" w:cs="Arial"/>
                    <w:szCs w:val="22"/>
                  </w:rPr>
                  <m:t>=</m:t>
                </m:r>
                <m:sSub>
                  <m:sSubPr>
                    <m:ctrlPr>
                      <w:rPr>
                        <w:rFonts w:ascii="Cambria Math" w:eastAsia="Cambria Math" w:hAnsi="Cambria Math" w:cs="Arial"/>
                        <w:szCs w:val="22"/>
                      </w:rPr>
                    </m:ctrlPr>
                  </m:sSubPr>
                  <m:e>
                    <m:sSub>
                      <m:sSubPr>
                        <m:ctrlPr>
                          <w:rPr>
                            <w:rFonts w:ascii="Cambria Math" w:eastAsia="Cambria Math" w:hAnsi="Cambria Math" w:cs="Arial"/>
                            <w:szCs w:val="22"/>
                          </w:rPr>
                        </m:ctrlPr>
                      </m:sSubPr>
                      <m:e>
                        <m:r>
                          <w:rPr>
                            <w:rFonts w:ascii="Cambria Math" w:eastAsia="Cambria Math" w:hAnsi="Cambria Math" w:cs="Arial"/>
                            <w:szCs w:val="22"/>
                          </w:rPr>
                          <m:t>H</m:t>
                        </m:r>
                      </m:e>
                      <m:sub>
                        <m:r>
                          <w:rPr>
                            <w:rFonts w:ascii="Cambria Math" w:eastAsia="Cambria Math" w:hAnsi="Cambria Math" w:cs="Arial"/>
                            <w:szCs w:val="22"/>
                          </w:rPr>
                          <m:t>s</m:t>
                        </m:r>
                      </m:sub>
                    </m:sSub>
                    <m:r>
                      <w:rPr>
                        <w:rFonts w:ascii="Cambria Math" w:eastAsia="Cambria Math" w:hAnsi="Cambria Math" w:cs="Arial"/>
                        <w:szCs w:val="22"/>
                      </w:rPr>
                      <m:t xml:space="preserve">× </m:t>
                    </m:r>
                    <m:f>
                      <m:fPr>
                        <m:ctrlPr>
                          <w:rPr>
                            <w:rFonts w:ascii="Cambria Math" w:eastAsia="Cambria Math" w:hAnsi="Cambria Math" w:cs="Arial"/>
                            <w:i/>
                            <w:szCs w:val="22"/>
                          </w:rPr>
                        </m:ctrlPr>
                      </m:fPr>
                      <m:num>
                        <m:sSub>
                          <m:sSubPr>
                            <m:ctrlPr>
                              <w:rPr>
                                <w:rFonts w:ascii="Cambria Math" w:eastAsia="Cambria Math" w:hAnsi="Cambria Math" w:cs="Arial"/>
                                <w:i/>
                                <w:szCs w:val="22"/>
                              </w:rPr>
                            </m:ctrlPr>
                          </m:sSubPr>
                          <m:e>
                            <m:r>
                              <w:rPr>
                                <w:rFonts w:ascii="Cambria Math" w:eastAsia="Cambria Math" w:hAnsi="Cambria Math" w:cs="Arial"/>
                                <w:szCs w:val="22"/>
                              </w:rPr>
                              <m:t>PTD</m:t>
                            </m:r>
                          </m:e>
                          <m:sub>
                            <m:r>
                              <w:rPr>
                                <w:rFonts w:ascii="Cambria Math" w:eastAsia="Cambria Math" w:hAnsi="Cambria Math" w:cs="Arial"/>
                                <w:szCs w:val="22"/>
                              </w:rPr>
                              <m:t>h,</m:t>
                            </m:r>
                            <m:r>
                              <w:rPr>
                                <w:rFonts w:ascii="Cambria Math" w:eastAsia="Roboto" w:hAnsi="Cambria Math" w:cs="Arial"/>
                                <w:color w:val="040C28"/>
                                <w:szCs w:val="22"/>
                              </w:rPr>
                              <m:t>Ψ,</m:t>
                            </m:r>
                            <m:r>
                              <w:rPr>
                                <w:rFonts w:ascii="Cambria Math" w:eastAsia="Cambria Math" w:hAnsi="Cambria Math" w:cs="Arial"/>
                                <w:szCs w:val="22"/>
                              </w:rPr>
                              <m:t>y</m:t>
                            </m:r>
                          </m:sub>
                        </m:sSub>
                      </m:num>
                      <m:den>
                        <m:r>
                          <w:rPr>
                            <w:rFonts w:ascii="Cambria Math" w:eastAsia="Cambria Math" w:hAnsi="Cambria Math" w:cs="Arial"/>
                            <w:szCs w:val="22"/>
                          </w:rPr>
                          <m:t>CD</m:t>
                        </m:r>
                      </m:den>
                    </m:f>
                    <m:r>
                      <w:rPr>
                        <w:rFonts w:ascii="Cambria Math" w:eastAsia="Cambria Math" w:hAnsi="Cambria Math" w:cs="Arial"/>
                        <w:szCs w:val="22"/>
                      </w:rPr>
                      <m:t>×EC</m:t>
                    </m:r>
                  </m:e>
                  <m:sub>
                    <m:eqArr>
                      <m:eqArrPr>
                        <m:ctrlPr>
                          <w:rPr>
                            <w:rFonts w:ascii="Cambria Math" w:eastAsia="Cambria Math" w:hAnsi="Cambria Math" w:cs="Arial"/>
                            <w:i/>
                            <w:szCs w:val="22"/>
                          </w:rPr>
                        </m:ctrlPr>
                      </m:eqArrPr>
                      <m:e>
                        <m:r>
                          <w:rPr>
                            <w:rFonts w:ascii="Cambria Math" w:eastAsia="Cambria Math" w:hAnsi="Cambria Math" w:cs="Arial"/>
                            <w:szCs w:val="22"/>
                          </w:rPr>
                          <m:t>proj,grid,KPT</m:t>
                        </m:r>
                      </m:e>
                      <m:e>
                        <m:r>
                          <w:rPr>
                            <w:rFonts w:ascii="Cambria Math" w:eastAsia="Cambria Math" w:hAnsi="Cambria Math" w:cs="Arial"/>
                            <w:szCs w:val="22"/>
                          </w:rPr>
                          <m:t xml:space="preserve"> </m:t>
                        </m:r>
                      </m:e>
                    </m:eqArr>
                    <m:r>
                      <w:rPr>
                        <w:rFonts w:ascii="Cambria Math" w:eastAsia="Cambria Math" w:hAnsi="Cambria Math" w:cs="Arial"/>
                        <w:szCs w:val="22"/>
                      </w:rPr>
                      <m:t>y</m:t>
                    </m:r>
                  </m:sub>
                </m:sSub>
              </m:oMath>
            </m:oMathPara>
          </w:p>
          <w:p w14:paraId="09F3FB48" w14:textId="77777777" w:rsidR="00E95A8F" w:rsidRPr="00B33BB6" w:rsidRDefault="00E95A8F">
            <w:pPr>
              <w:jc w:val="center"/>
              <w:rPr>
                <w:rFonts w:eastAsia="Montserrat" w:cs="Arial"/>
                <w:szCs w:val="22"/>
              </w:rPr>
            </w:pPr>
          </w:p>
          <w:p w14:paraId="6FFBA07E" w14:textId="77777777" w:rsidR="00E95A8F" w:rsidRPr="00B33BB6" w:rsidRDefault="00E95A8F">
            <w:pPr>
              <w:jc w:val="center"/>
              <w:rPr>
                <w:rFonts w:eastAsia="Montserrat" w:cs="Arial"/>
                <w:szCs w:val="22"/>
              </w:rPr>
            </w:pPr>
          </w:p>
          <w:p w14:paraId="2348E97A" w14:textId="77777777" w:rsidR="00E95A8F" w:rsidRPr="00B33BB6" w:rsidRDefault="00000000">
            <w:pPr>
              <w:jc w:val="center"/>
              <w:rPr>
                <w:rFonts w:eastAsia="Montserrat" w:cs="Arial"/>
                <w:szCs w:val="22"/>
              </w:rPr>
            </w:pPr>
            <m:oMathPara>
              <m:oMathParaPr>
                <m:jc m:val="center"/>
              </m:oMathParaPr>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proj,offgrid,y</m:t>
                    </m:r>
                  </m:sub>
                </m:sSub>
                <m:r>
                  <w:rPr>
                    <w:rFonts w:ascii="Cambria Math" w:eastAsia="Cambria Math" w:hAnsi="Cambria Math" w:cs="Arial"/>
                    <w:szCs w:val="22"/>
                  </w:rPr>
                  <m:t>=</m:t>
                </m:r>
                <m:sSub>
                  <m:sSubPr>
                    <m:ctrlPr>
                      <w:rPr>
                        <w:rFonts w:ascii="Cambria Math" w:eastAsia="Cambria Math" w:hAnsi="Cambria Math" w:cs="Arial"/>
                        <w:szCs w:val="22"/>
                      </w:rPr>
                    </m:ctrlPr>
                  </m:sSubPr>
                  <m:e>
                    <m:sSub>
                      <m:sSubPr>
                        <m:ctrlPr>
                          <w:rPr>
                            <w:rFonts w:ascii="Cambria Math" w:eastAsia="Cambria Math" w:hAnsi="Cambria Math" w:cs="Arial"/>
                            <w:szCs w:val="22"/>
                          </w:rPr>
                        </m:ctrlPr>
                      </m:sSubPr>
                      <m:e>
                        <m:r>
                          <w:rPr>
                            <w:rFonts w:ascii="Cambria Math" w:eastAsia="Cambria Math" w:hAnsi="Cambria Math" w:cs="Arial"/>
                            <w:szCs w:val="22"/>
                          </w:rPr>
                          <m:t>H</m:t>
                        </m:r>
                      </m:e>
                      <m:sub>
                        <m:r>
                          <w:rPr>
                            <w:rFonts w:ascii="Cambria Math" w:eastAsia="Cambria Math" w:hAnsi="Cambria Math" w:cs="Arial"/>
                            <w:szCs w:val="22"/>
                          </w:rPr>
                          <m:t>s</m:t>
                        </m:r>
                      </m:sub>
                    </m:sSub>
                    <m:r>
                      <w:rPr>
                        <w:rFonts w:ascii="Cambria Math" w:eastAsia="Cambria Math" w:hAnsi="Cambria Math" w:cs="Arial"/>
                        <w:szCs w:val="22"/>
                      </w:rPr>
                      <m:t xml:space="preserve">× </m:t>
                    </m:r>
                    <m:f>
                      <m:fPr>
                        <m:ctrlPr>
                          <w:rPr>
                            <w:rFonts w:ascii="Cambria Math" w:eastAsia="Cambria Math" w:hAnsi="Cambria Math" w:cs="Arial"/>
                            <w:i/>
                            <w:szCs w:val="22"/>
                          </w:rPr>
                        </m:ctrlPr>
                      </m:fPr>
                      <m:num>
                        <m:sSub>
                          <m:sSubPr>
                            <m:ctrlPr>
                              <w:rPr>
                                <w:rFonts w:ascii="Cambria Math" w:eastAsia="Cambria Math" w:hAnsi="Cambria Math" w:cs="Arial"/>
                                <w:i/>
                                <w:szCs w:val="22"/>
                              </w:rPr>
                            </m:ctrlPr>
                          </m:sSubPr>
                          <m:e>
                            <m:r>
                              <w:rPr>
                                <w:rFonts w:ascii="Cambria Math" w:eastAsia="Cambria Math" w:hAnsi="Cambria Math" w:cs="Arial"/>
                                <w:szCs w:val="22"/>
                              </w:rPr>
                              <m:t>PTD</m:t>
                            </m:r>
                          </m:e>
                          <m:sub>
                            <m:r>
                              <w:rPr>
                                <w:rFonts w:ascii="Cambria Math" w:eastAsia="Cambria Math" w:hAnsi="Cambria Math" w:cs="Arial"/>
                                <w:szCs w:val="22"/>
                              </w:rPr>
                              <m:t>h,</m:t>
                            </m:r>
                            <m:r>
                              <w:rPr>
                                <w:rFonts w:ascii="Cambria Math" w:eastAsia="Roboto" w:hAnsi="Cambria Math" w:cs="Arial"/>
                                <w:color w:val="040C28"/>
                                <w:szCs w:val="22"/>
                              </w:rPr>
                              <m:t>Ψ,</m:t>
                            </m:r>
                            <m:r>
                              <w:rPr>
                                <w:rFonts w:ascii="Cambria Math" w:eastAsia="Cambria Math" w:hAnsi="Cambria Math" w:cs="Arial"/>
                                <w:szCs w:val="22"/>
                              </w:rPr>
                              <m:t>y</m:t>
                            </m:r>
                          </m:sub>
                        </m:sSub>
                      </m:num>
                      <m:den>
                        <m:r>
                          <w:rPr>
                            <w:rFonts w:ascii="Cambria Math" w:eastAsia="Cambria Math" w:hAnsi="Cambria Math" w:cs="Arial"/>
                            <w:szCs w:val="22"/>
                          </w:rPr>
                          <m:t>CD</m:t>
                        </m:r>
                      </m:den>
                    </m:f>
                    <m:r>
                      <w:rPr>
                        <w:rFonts w:ascii="Cambria Math" w:eastAsia="Cambria Math" w:hAnsi="Cambria Math" w:cs="Arial"/>
                        <w:szCs w:val="22"/>
                      </w:rPr>
                      <m:t>×EC</m:t>
                    </m:r>
                  </m:e>
                  <m:sub>
                    <m:eqArr>
                      <m:eqArrPr>
                        <m:ctrlPr>
                          <w:rPr>
                            <w:rFonts w:ascii="Cambria Math" w:eastAsia="Cambria Math" w:hAnsi="Cambria Math" w:cs="Arial"/>
                            <w:i/>
                            <w:szCs w:val="22"/>
                          </w:rPr>
                        </m:ctrlPr>
                      </m:eqArrPr>
                      <m:e>
                        <m:r>
                          <w:rPr>
                            <w:rFonts w:ascii="Cambria Math" w:eastAsia="Cambria Math" w:hAnsi="Cambria Math" w:cs="Arial"/>
                            <w:szCs w:val="22"/>
                          </w:rPr>
                          <m:t>proj,offgrid,KPT</m:t>
                        </m:r>
                      </m:e>
                      <m:e>
                        <m:r>
                          <w:rPr>
                            <w:rFonts w:ascii="Cambria Math" w:eastAsia="Cambria Math" w:hAnsi="Cambria Math" w:cs="Arial"/>
                            <w:szCs w:val="22"/>
                          </w:rPr>
                          <m:t xml:space="preserve"> </m:t>
                        </m:r>
                      </m:e>
                    </m:eqArr>
                    <m:r>
                      <w:rPr>
                        <w:rFonts w:ascii="Cambria Math" w:eastAsia="Cambria Math" w:hAnsi="Cambria Math" w:cs="Arial"/>
                        <w:szCs w:val="22"/>
                      </w:rPr>
                      <m:t>y</m:t>
                    </m:r>
                  </m:sub>
                </m:sSub>
              </m:oMath>
            </m:oMathPara>
          </w:p>
          <w:p w14:paraId="3F31AFC8" w14:textId="77777777" w:rsidR="00E95A8F" w:rsidRPr="00B33BB6" w:rsidRDefault="00E95A8F">
            <w:pPr>
              <w:jc w:val="center"/>
              <w:rPr>
                <w:rFonts w:eastAsia="Montserrat" w:cs="Arial"/>
                <w:szCs w:val="22"/>
              </w:rPr>
            </w:pPr>
          </w:p>
        </w:tc>
        <w:tc>
          <w:tcPr>
            <w:tcW w:w="672" w:type="dxa"/>
          </w:tcPr>
          <w:p w14:paraId="703169EA" w14:textId="77777777" w:rsidR="00E95A8F" w:rsidRPr="00B33BB6" w:rsidRDefault="00E95A8F">
            <w:pPr>
              <w:jc w:val="center"/>
              <w:rPr>
                <w:rFonts w:cs="Arial"/>
                <w:szCs w:val="22"/>
              </w:rPr>
            </w:pPr>
            <w:bookmarkStart w:id="74" w:name="_heading=h.1ci93xb" w:colFirst="0" w:colLast="0"/>
            <w:bookmarkStart w:id="75" w:name="e23"/>
            <w:bookmarkEnd w:id="74"/>
            <w:r w:rsidRPr="00B33BB6">
              <w:rPr>
                <w:rFonts w:cs="Arial"/>
                <w:szCs w:val="22"/>
              </w:rPr>
              <w:t>(23)</w:t>
            </w:r>
            <w:bookmarkEnd w:id="75"/>
          </w:p>
        </w:tc>
      </w:tr>
      <w:tr w:rsidR="00E95A8F" w:rsidRPr="00B33BB6" w14:paraId="6FCFEB55" w14:textId="77777777" w:rsidTr="00420B43">
        <w:trPr>
          <w:trHeight w:val="759"/>
        </w:trPr>
        <w:tc>
          <w:tcPr>
            <w:tcW w:w="8598" w:type="dxa"/>
            <w:vMerge/>
          </w:tcPr>
          <w:p w14:paraId="03876837" w14:textId="77777777" w:rsidR="00E95A8F" w:rsidRPr="00B33BB6" w:rsidRDefault="00E95A8F">
            <w:pPr>
              <w:jc w:val="center"/>
              <w:rPr>
                <w:rFonts w:eastAsia="Montserrat" w:cs="Arial"/>
                <w:szCs w:val="22"/>
              </w:rPr>
            </w:pPr>
          </w:p>
        </w:tc>
        <w:tc>
          <w:tcPr>
            <w:tcW w:w="672" w:type="dxa"/>
          </w:tcPr>
          <w:p w14:paraId="7CB5CAE9" w14:textId="77777777" w:rsidR="00E95A8F" w:rsidRPr="00B33BB6" w:rsidRDefault="00E95A8F">
            <w:pPr>
              <w:rPr>
                <w:rFonts w:cs="Arial"/>
                <w:szCs w:val="22"/>
              </w:rPr>
            </w:pPr>
          </w:p>
          <w:p w14:paraId="6536510A" w14:textId="77777777" w:rsidR="00E95A8F" w:rsidRPr="00B33BB6" w:rsidRDefault="00E95A8F">
            <w:pPr>
              <w:rPr>
                <w:rFonts w:cs="Arial"/>
                <w:szCs w:val="22"/>
              </w:rPr>
            </w:pPr>
            <w:r w:rsidRPr="00B33BB6">
              <w:rPr>
                <w:rFonts w:cs="Arial"/>
                <w:szCs w:val="22"/>
              </w:rPr>
              <w:t xml:space="preserve"> </w:t>
            </w:r>
            <w:bookmarkStart w:id="76" w:name="e24"/>
            <w:r w:rsidRPr="00B33BB6">
              <w:rPr>
                <w:rFonts w:cs="Arial"/>
                <w:szCs w:val="22"/>
              </w:rPr>
              <w:t>(24)</w:t>
            </w:r>
            <w:bookmarkEnd w:id="76"/>
          </w:p>
        </w:tc>
      </w:tr>
    </w:tbl>
    <w:p w14:paraId="16842201" w14:textId="77777777" w:rsidR="00E95A8F" w:rsidRPr="00B33BB6" w:rsidRDefault="00E95A8F" w:rsidP="00420B43">
      <w:pPr>
        <w:ind w:left="709"/>
        <w:rPr>
          <w:rFonts w:eastAsia="Montserrat" w:cs="Arial"/>
          <w:szCs w:val="22"/>
        </w:rPr>
      </w:pPr>
      <w:r w:rsidRPr="00B33BB6">
        <w:rPr>
          <w:rFonts w:eastAsia="Montserrat" w:cs="Arial"/>
          <w:szCs w:val="22"/>
        </w:rPr>
        <w:t>Where:</w:t>
      </w:r>
    </w:p>
    <w:p w14:paraId="66193915" w14:textId="77777777" w:rsidR="00E95A8F" w:rsidRPr="00B33BB6" w:rsidRDefault="00E95A8F" w:rsidP="00E95A8F">
      <w:pPr>
        <w:rPr>
          <w:rFonts w:eastAsia="Montserrat" w:cs="Arial"/>
          <w:szCs w:val="22"/>
        </w:rPr>
      </w:pPr>
    </w:p>
    <w:tbl>
      <w:tblPr>
        <w:tblStyle w:val="TableGrid"/>
        <w:tblW w:w="9209" w:type="dxa"/>
        <w:tblInd w:w="596" w:type="dxa"/>
        <w:tblLook w:val="04A0" w:firstRow="1" w:lastRow="0" w:firstColumn="1" w:lastColumn="0" w:noHBand="0" w:noVBand="1"/>
      </w:tblPr>
      <w:tblGrid>
        <w:gridCol w:w="2095"/>
        <w:gridCol w:w="4646"/>
        <w:gridCol w:w="2468"/>
      </w:tblGrid>
      <w:tr w:rsidR="00E95A8F" w:rsidRPr="00B33BB6" w14:paraId="7D20E5EC" w14:textId="77777777" w:rsidTr="00420B43">
        <w:tc>
          <w:tcPr>
            <w:tcW w:w="2095" w:type="dxa"/>
          </w:tcPr>
          <w:p w14:paraId="70AFC7B9" w14:textId="77777777" w:rsidR="00E95A8F" w:rsidRPr="00B33BB6" w:rsidRDefault="00E95A8F">
            <w:pPr>
              <w:rPr>
                <w:rFonts w:eastAsia="Montserrat" w:cs="Arial"/>
                <w:b/>
                <w:szCs w:val="22"/>
              </w:rPr>
            </w:pPr>
            <w:r w:rsidRPr="00B33BB6">
              <w:rPr>
                <w:rFonts w:eastAsia="Montserrat" w:cs="Arial"/>
                <w:b/>
                <w:szCs w:val="22"/>
              </w:rPr>
              <w:t>Parameter</w:t>
            </w:r>
          </w:p>
        </w:tc>
        <w:tc>
          <w:tcPr>
            <w:tcW w:w="4646" w:type="dxa"/>
          </w:tcPr>
          <w:p w14:paraId="228DF008" w14:textId="77777777" w:rsidR="00E95A8F" w:rsidRPr="00B33BB6" w:rsidRDefault="00E95A8F">
            <w:pPr>
              <w:rPr>
                <w:rFonts w:eastAsia="Montserrat" w:cs="Arial"/>
                <w:b/>
                <w:szCs w:val="22"/>
              </w:rPr>
            </w:pPr>
            <w:r w:rsidRPr="00B33BB6">
              <w:rPr>
                <w:rFonts w:eastAsia="Montserrat" w:cs="Arial"/>
                <w:b/>
                <w:szCs w:val="22"/>
              </w:rPr>
              <w:t>Description</w:t>
            </w:r>
          </w:p>
        </w:tc>
        <w:tc>
          <w:tcPr>
            <w:tcW w:w="2468" w:type="dxa"/>
          </w:tcPr>
          <w:p w14:paraId="3A3E2512" w14:textId="77777777" w:rsidR="00E95A8F" w:rsidRPr="00B33BB6" w:rsidRDefault="00E95A8F">
            <w:pPr>
              <w:rPr>
                <w:rFonts w:eastAsia="Montserrat" w:cs="Arial"/>
                <w:b/>
                <w:szCs w:val="22"/>
              </w:rPr>
            </w:pPr>
            <w:r w:rsidRPr="00B33BB6">
              <w:rPr>
                <w:rFonts w:eastAsia="Montserrat" w:cs="Arial"/>
                <w:b/>
                <w:szCs w:val="22"/>
              </w:rPr>
              <w:t>Unit</w:t>
            </w:r>
          </w:p>
        </w:tc>
      </w:tr>
      <w:tr w:rsidR="00E95A8F" w:rsidRPr="00B33BB6" w14:paraId="56772927" w14:textId="77777777" w:rsidTr="00420B43">
        <w:tc>
          <w:tcPr>
            <w:tcW w:w="2095" w:type="dxa"/>
          </w:tcPr>
          <w:p w14:paraId="72218C63" w14:textId="77777777" w:rsidR="00E95A8F" w:rsidRPr="00B33BB6" w:rsidRDefault="00000000">
            <w:pPr>
              <w:rPr>
                <w:rFonts w:eastAsia="Montserrat" w:cs="Arial"/>
                <w:b/>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proj,grid,y</m:t>
                    </m:r>
                  </m:sub>
                </m:sSub>
              </m:oMath>
            </m:oMathPara>
          </w:p>
        </w:tc>
        <w:tc>
          <w:tcPr>
            <w:tcW w:w="4646" w:type="dxa"/>
          </w:tcPr>
          <w:p w14:paraId="0C13A356" w14:textId="77777777" w:rsidR="00E95A8F" w:rsidRPr="00B33BB6" w:rsidRDefault="00E95A8F">
            <w:pPr>
              <w:rPr>
                <w:rFonts w:eastAsia="Montserrat" w:cs="Arial"/>
                <w:b/>
                <w:szCs w:val="22"/>
              </w:rPr>
            </w:pPr>
            <w:r w:rsidRPr="00B33BB6">
              <w:rPr>
                <w:rFonts w:eastAsia="Montserrat" w:cs="Arial"/>
                <w:szCs w:val="22"/>
              </w:rPr>
              <w:t xml:space="preserve">Grid electricity consumption for cooking for non-CTEC project in year </w:t>
            </w:r>
            <w:r w:rsidRPr="00B33BB6">
              <w:rPr>
                <w:rFonts w:eastAsia="Montserrat" w:cs="Arial"/>
                <w:i/>
                <w:szCs w:val="22"/>
              </w:rPr>
              <w:t>y</w:t>
            </w:r>
            <w:r w:rsidRPr="00B33BB6">
              <w:rPr>
                <w:rFonts w:eastAsia="Montserrat" w:cs="Arial"/>
                <w:szCs w:val="22"/>
              </w:rPr>
              <w:t xml:space="preserve"> </w:t>
            </w:r>
          </w:p>
        </w:tc>
        <w:tc>
          <w:tcPr>
            <w:tcW w:w="2468" w:type="dxa"/>
          </w:tcPr>
          <w:p w14:paraId="686DC6F9" w14:textId="77777777" w:rsidR="00E95A8F" w:rsidRPr="00B33BB6" w:rsidRDefault="00E95A8F">
            <w:pPr>
              <w:rPr>
                <w:rFonts w:eastAsia="Montserrat" w:cs="Arial"/>
                <w:b/>
                <w:szCs w:val="22"/>
              </w:rPr>
            </w:pPr>
            <w:r w:rsidRPr="00B33BB6">
              <w:rPr>
                <w:rFonts w:eastAsia="Montserrat" w:cs="Arial"/>
                <w:szCs w:val="22"/>
              </w:rPr>
              <w:t>kWh</w:t>
            </w:r>
          </w:p>
        </w:tc>
      </w:tr>
      <w:tr w:rsidR="00E95A8F" w:rsidRPr="00B33BB6" w14:paraId="453302C5" w14:textId="77777777" w:rsidTr="00420B43">
        <w:tc>
          <w:tcPr>
            <w:tcW w:w="2095" w:type="dxa"/>
          </w:tcPr>
          <w:p w14:paraId="3472B02F"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proj,offgrid,y</m:t>
                    </m:r>
                  </m:sub>
                </m:sSub>
              </m:oMath>
            </m:oMathPara>
          </w:p>
        </w:tc>
        <w:tc>
          <w:tcPr>
            <w:tcW w:w="4646" w:type="dxa"/>
          </w:tcPr>
          <w:p w14:paraId="2EDDCDF2" w14:textId="77777777" w:rsidR="00E95A8F" w:rsidRPr="00B33BB6" w:rsidRDefault="00E95A8F">
            <w:pPr>
              <w:rPr>
                <w:rFonts w:eastAsia="Montserrat" w:cs="Arial"/>
                <w:szCs w:val="22"/>
              </w:rPr>
            </w:pPr>
            <w:r w:rsidRPr="00B33BB6">
              <w:rPr>
                <w:rFonts w:eastAsia="Montserrat" w:cs="Arial"/>
                <w:szCs w:val="22"/>
              </w:rPr>
              <w:t xml:space="preserve">Grid electricity consumption for cooking for non-CTEC project in year </w:t>
            </w:r>
            <w:r w:rsidRPr="00B33BB6">
              <w:rPr>
                <w:rFonts w:eastAsia="Montserrat" w:cs="Arial"/>
                <w:i/>
                <w:szCs w:val="22"/>
              </w:rPr>
              <w:t>y</w:t>
            </w:r>
            <w:r w:rsidRPr="00B33BB6">
              <w:rPr>
                <w:rFonts w:eastAsia="Montserrat" w:cs="Arial"/>
                <w:szCs w:val="22"/>
              </w:rPr>
              <w:t xml:space="preserve"> </w:t>
            </w:r>
          </w:p>
        </w:tc>
        <w:tc>
          <w:tcPr>
            <w:tcW w:w="2468" w:type="dxa"/>
          </w:tcPr>
          <w:p w14:paraId="0E3292B6" w14:textId="77777777" w:rsidR="00E95A8F" w:rsidRPr="00B33BB6" w:rsidRDefault="00E95A8F">
            <w:pPr>
              <w:rPr>
                <w:rFonts w:eastAsia="Montserrat" w:cs="Arial"/>
                <w:szCs w:val="22"/>
              </w:rPr>
            </w:pPr>
            <w:r w:rsidRPr="00B33BB6">
              <w:rPr>
                <w:rFonts w:eastAsia="Montserrat" w:cs="Arial"/>
                <w:szCs w:val="22"/>
              </w:rPr>
              <w:t>kWh</w:t>
            </w:r>
          </w:p>
        </w:tc>
      </w:tr>
      <w:tr w:rsidR="00E95A8F" w:rsidRPr="00B33BB6" w14:paraId="5B8324BB" w14:textId="77777777" w:rsidTr="00420B43">
        <w:tc>
          <w:tcPr>
            <w:tcW w:w="2095" w:type="dxa"/>
          </w:tcPr>
          <w:p w14:paraId="50FE1150"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H</m:t>
                    </m:r>
                  </m:e>
                  <m:sub>
                    <m:r>
                      <w:rPr>
                        <w:rFonts w:ascii="Cambria Math" w:eastAsia="Cambria Math" w:hAnsi="Cambria Math" w:cs="Arial"/>
                        <w:szCs w:val="22"/>
                      </w:rPr>
                      <m:t>s</m:t>
                    </m:r>
                  </m:sub>
                </m:sSub>
              </m:oMath>
            </m:oMathPara>
          </w:p>
        </w:tc>
        <w:tc>
          <w:tcPr>
            <w:tcW w:w="4646" w:type="dxa"/>
          </w:tcPr>
          <w:p w14:paraId="3DEB0A6C" w14:textId="77777777" w:rsidR="00E95A8F" w:rsidRPr="00B33BB6" w:rsidRDefault="00E95A8F">
            <w:pPr>
              <w:rPr>
                <w:rFonts w:eastAsia="Montserrat" w:cs="Arial"/>
                <w:szCs w:val="22"/>
              </w:rPr>
            </w:pPr>
            <w:r w:rsidRPr="00B33BB6">
              <w:rPr>
                <w:rFonts w:eastAsia="Montserrat" w:cs="Arial"/>
                <w:szCs w:val="22"/>
              </w:rPr>
              <w:t>Average household size (</w:t>
            </w:r>
            <w:proofErr w:type="gramStart"/>
            <w:r w:rsidRPr="00B33BB6">
              <w:rPr>
                <w:rFonts w:eastAsia="Montserrat" w:cs="Arial"/>
                <w:szCs w:val="22"/>
              </w:rPr>
              <w:t>persons</w:t>
            </w:r>
            <w:proofErr w:type="gramEnd"/>
            <w:r w:rsidRPr="00B33BB6">
              <w:rPr>
                <w:rFonts w:eastAsia="Montserrat" w:cs="Arial"/>
                <w:szCs w:val="22"/>
              </w:rPr>
              <w:t xml:space="preserve"> per household, regardless of age or gender)</w:t>
            </w:r>
          </w:p>
        </w:tc>
        <w:tc>
          <w:tcPr>
            <w:tcW w:w="2468" w:type="dxa"/>
          </w:tcPr>
          <w:p w14:paraId="7CFB9B56" w14:textId="77777777" w:rsidR="00E95A8F" w:rsidRPr="00B33BB6" w:rsidRDefault="00E95A8F">
            <w:pPr>
              <w:rPr>
                <w:rFonts w:eastAsia="Montserrat" w:cs="Arial"/>
                <w:szCs w:val="22"/>
              </w:rPr>
            </w:pPr>
            <w:r w:rsidRPr="00B33BB6">
              <w:rPr>
                <w:rFonts w:eastAsia="Montserrat" w:cs="Arial"/>
                <w:szCs w:val="22"/>
              </w:rPr>
              <w:t>Number</w:t>
            </w:r>
          </w:p>
        </w:tc>
      </w:tr>
      <w:tr w:rsidR="00E95A8F" w:rsidRPr="00B33BB6" w14:paraId="1A02673F" w14:textId="77777777" w:rsidTr="00420B43">
        <w:tc>
          <w:tcPr>
            <w:tcW w:w="2095" w:type="dxa"/>
          </w:tcPr>
          <w:p w14:paraId="512508C0" w14:textId="77777777" w:rsidR="00E95A8F"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PTD</m:t>
                    </m:r>
                  </m:e>
                  <m:sub>
                    <m:r>
                      <w:rPr>
                        <w:rFonts w:ascii="Cambria Math" w:eastAsia="Cambria Math" w:hAnsi="Cambria Math" w:cs="Arial"/>
                        <w:szCs w:val="22"/>
                      </w:rPr>
                      <m:t>h,</m:t>
                    </m:r>
                    <m:r>
                      <w:rPr>
                        <w:rFonts w:ascii="Cambria Math" w:eastAsia="Roboto" w:hAnsi="Cambria Math" w:cs="Arial"/>
                        <w:color w:val="040C28"/>
                        <w:szCs w:val="22"/>
                      </w:rPr>
                      <m:t>Ψ,</m:t>
                    </m:r>
                    <m:r>
                      <w:rPr>
                        <w:rFonts w:ascii="Cambria Math" w:eastAsia="Cambria Math" w:hAnsi="Cambria Math" w:cs="Arial"/>
                        <w:szCs w:val="22"/>
                      </w:rPr>
                      <m:t>y</m:t>
                    </m:r>
                  </m:sub>
                </m:sSub>
              </m:oMath>
            </m:oMathPara>
          </w:p>
        </w:tc>
        <w:tc>
          <w:tcPr>
            <w:tcW w:w="4646" w:type="dxa"/>
          </w:tcPr>
          <w:p w14:paraId="14CDA065" w14:textId="77777777" w:rsidR="00E95A8F" w:rsidRPr="00B33BB6" w:rsidRDefault="00E95A8F">
            <w:pPr>
              <w:rPr>
                <w:rFonts w:eastAsia="Montserrat" w:cs="Arial"/>
                <w:szCs w:val="22"/>
              </w:rPr>
            </w:pPr>
            <w:r w:rsidRPr="00B33BB6">
              <w:rPr>
                <w:rFonts w:eastAsia="Montserrat" w:cs="Arial"/>
                <w:szCs w:val="22"/>
              </w:rPr>
              <w:t xml:space="preserve">PTDs of the monitoring period during year </w:t>
            </w:r>
            <w:r w:rsidRPr="00B33BB6">
              <w:rPr>
                <w:rFonts w:eastAsia="Montserrat" w:cs="Arial"/>
                <w:i/>
                <w:szCs w:val="22"/>
              </w:rPr>
              <w:t>y</w:t>
            </w:r>
            <w:r w:rsidRPr="00B33BB6">
              <w:rPr>
                <w:rFonts w:eastAsia="Montserrat" w:cs="Arial"/>
                <w:szCs w:val="22"/>
              </w:rPr>
              <w:t xml:space="preserve"> </w:t>
            </w:r>
          </w:p>
        </w:tc>
        <w:tc>
          <w:tcPr>
            <w:tcW w:w="2468" w:type="dxa"/>
          </w:tcPr>
          <w:p w14:paraId="2F8EF2B9" w14:textId="77777777" w:rsidR="00E95A8F" w:rsidRPr="00B33BB6" w:rsidRDefault="00E95A8F">
            <w:pPr>
              <w:rPr>
                <w:rFonts w:eastAsia="Montserrat" w:cs="Arial"/>
                <w:szCs w:val="22"/>
              </w:rPr>
            </w:pPr>
            <w:r w:rsidRPr="00B33BB6">
              <w:rPr>
                <w:rFonts w:eastAsia="Montserrat" w:cs="Arial"/>
                <w:szCs w:val="22"/>
              </w:rPr>
              <w:t>Number</w:t>
            </w:r>
          </w:p>
        </w:tc>
      </w:tr>
      <w:tr w:rsidR="00E95A8F" w:rsidRPr="00B33BB6" w14:paraId="1B57691F" w14:textId="77777777" w:rsidTr="00420B43">
        <w:tc>
          <w:tcPr>
            <w:tcW w:w="2095" w:type="dxa"/>
          </w:tcPr>
          <w:p w14:paraId="693F8CAA" w14:textId="77777777" w:rsidR="00E95A8F"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proj,grid,KPT,y</m:t>
                    </m:r>
                  </m:sub>
                </m:sSub>
              </m:oMath>
            </m:oMathPara>
          </w:p>
        </w:tc>
        <w:tc>
          <w:tcPr>
            <w:tcW w:w="4646" w:type="dxa"/>
          </w:tcPr>
          <w:p w14:paraId="4604391D" w14:textId="77777777" w:rsidR="00E95A8F" w:rsidRPr="00B33BB6" w:rsidRDefault="00E95A8F">
            <w:pPr>
              <w:rPr>
                <w:rFonts w:eastAsia="Montserrat" w:cs="Arial"/>
                <w:szCs w:val="22"/>
              </w:rPr>
            </w:pPr>
            <w:r w:rsidRPr="00B33BB6">
              <w:rPr>
                <w:rFonts w:eastAsia="Montserrat" w:cs="Arial"/>
                <w:szCs w:val="22"/>
              </w:rPr>
              <w:t xml:space="preserve">Grid electricity consumption in project KPT in year </w:t>
            </w:r>
            <w:r w:rsidRPr="00B33BB6">
              <w:rPr>
                <w:rFonts w:eastAsia="Montserrat" w:cs="Arial"/>
                <w:i/>
                <w:szCs w:val="22"/>
              </w:rPr>
              <w:t>y</w:t>
            </w:r>
            <w:r w:rsidRPr="00B33BB6">
              <w:rPr>
                <w:rFonts w:eastAsia="Montserrat" w:cs="Arial"/>
                <w:szCs w:val="22"/>
              </w:rPr>
              <w:t xml:space="preserve"> </w:t>
            </w:r>
          </w:p>
        </w:tc>
        <w:tc>
          <w:tcPr>
            <w:tcW w:w="2468" w:type="dxa"/>
          </w:tcPr>
          <w:p w14:paraId="2B0FE1D5" w14:textId="77777777" w:rsidR="00E95A8F" w:rsidRPr="00B33BB6" w:rsidRDefault="00E95A8F">
            <w:pPr>
              <w:rPr>
                <w:rFonts w:eastAsia="Montserrat" w:cs="Arial"/>
                <w:szCs w:val="22"/>
              </w:rPr>
            </w:pPr>
            <w:r w:rsidRPr="00B33BB6">
              <w:rPr>
                <w:rFonts w:eastAsia="Montserrat" w:cs="Arial"/>
                <w:szCs w:val="22"/>
              </w:rPr>
              <w:t>kWh/(person*year)</w:t>
            </w:r>
          </w:p>
        </w:tc>
      </w:tr>
      <w:tr w:rsidR="00E95A8F" w:rsidRPr="00B33BB6" w14:paraId="1EB051CE" w14:textId="77777777" w:rsidTr="00420B43">
        <w:tc>
          <w:tcPr>
            <w:tcW w:w="2095" w:type="dxa"/>
          </w:tcPr>
          <w:p w14:paraId="03687B58"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proj,offgrid,KPT,y</m:t>
                    </m:r>
                  </m:sub>
                </m:sSub>
              </m:oMath>
            </m:oMathPara>
          </w:p>
        </w:tc>
        <w:tc>
          <w:tcPr>
            <w:tcW w:w="4646" w:type="dxa"/>
          </w:tcPr>
          <w:p w14:paraId="5A509178" w14:textId="77777777" w:rsidR="00E95A8F" w:rsidRPr="00B33BB6" w:rsidRDefault="00E95A8F">
            <w:pPr>
              <w:rPr>
                <w:rFonts w:eastAsia="Montserrat" w:cs="Arial"/>
                <w:szCs w:val="22"/>
              </w:rPr>
            </w:pPr>
            <w:r w:rsidRPr="00B33BB6">
              <w:rPr>
                <w:rFonts w:eastAsia="Montserrat" w:cs="Arial"/>
                <w:szCs w:val="22"/>
              </w:rPr>
              <w:t xml:space="preserve">Off-grid electricity consumption in project KPT in year </w:t>
            </w:r>
            <w:r w:rsidRPr="00B33BB6">
              <w:rPr>
                <w:rFonts w:eastAsia="Montserrat" w:cs="Arial"/>
                <w:i/>
                <w:szCs w:val="22"/>
              </w:rPr>
              <w:t>y</w:t>
            </w:r>
            <w:r w:rsidRPr="00B33BB6">
              <w:rPr>
                <w:rFonts w:eastAsia="Montserrat" w:cs="Arial"/>
                <w:szCs w:val="22"/>
              </w:rPr>
              <w:t xml:space="preserve"> </w:t>
            </w:r>
          </w:p>
        </w:tc>
        <w:tc>
          <w:tcPr>
            <w:tcW w:w="2468" w:type="dxa"/>
          </w:tcPr>
          <w:p w14:paraId="5FE992C4" w14:textId="77777777" w:rsidR="00E95A8F" w:rsidRPr="00B33BB6" w:rsidRDefault="00E95A8F">
            <w:pPr>
              <w:rPr>
                <w:rFonts w:eastAsia="Montserrat" w:cs="Arial"/>
                <w:szCs w:val="22"/>
              </w:rPr>
            </w:pPr>
            <w:r w:rsidRPr="00B33BB6">
              <w:rPr>
                <w:rFonts w:eastAsia="Montserrat" w:cs="Arial"/>
                <w:szCs w:val="22"/>
              </w:rPr>
              <w:t>kWh/(person*year)</w:t>
            </w:r>
          </w:p>
        </w:tc>
      </w:tr>
    </w:tbl>
    <w:p w14:paraId="6EAE10A4" w14:textId="77777777" w:rsidR="001F7A95" w:rsidRDefault="001F7A95" w:rsidP="001F7A95">
      <w:pPr>
        <w:pStyle w:val="ListParagraph"/>
        <w:shd w:val="clear" w:color="auto" w:fill="FFFFFF" w:themeFill="background1"/>
        <w:spacing w:after="160" w:line="276" w:lineRule="auto"/>
        <w:ind w:left="0"/>
        <w:contextualSpacing w:val="0"/>
        <w:jc w:val="left"/>
        <w:rPr>
          <w:rFonts w:cs="Arial"/>
          <w:b/>
          <w:bCs/>
        </w:rPr>
      </w:pPr>
    </w:p>
    <w:p w14:paraId="25EE4D60" w14:textId="065E8CC7" w:rsidR="001F7A95" w:rsidRPr="00346734" w:rsidRDefault="001F7A95" w:rsidP="001F7A95">
      <w:pPr>
        <w:pStyle w:val="SDMPara"/>
        <w:shd w:val="clear" w:color="auto" w:fill="FFFFFF" w:themeFill="background1"/>
        <w:spacing w:after="160" w:line="276" w:lineRule="auto"/>
        <w:jc w:val="left"/>
        <w:rPr>
          <w:rFonts w:eastAsia="Montserrat"/>
          <w:b/>
        </w:rPr>
      </w:pPr>
      <w:r w:rsidRPr="00420B43">
        <w:rPr>
          <w:b/>
        </w:rPr>
        <w:t>Upstream emissions for the project scenario</w:t>
      </w:r>
      <w:r w:rsidR="00346734">
        <w:rPr>
          <w:b/>
        </w:rPr>
        <w:t xml:space="preserve">: </w:t>
      </w:r>
      <w:r w:rsidRPr="00346734">
        <w:rPr>
          <w:rFonts w:eastAsia="Montserrat"/>
        </w:rPr>
        <w:t>Upstream emissions for fuels in year y in the project scenario (</w:t>
      </w:r>
      <m:oMath>
        <m:sSub>
          <m:sSubPr>
            <m:ctrlPr>
              <w:rPr>
                <w:rFonts w:ascii="Cambria Math" w:eastAsia="Cambria Math" w:hAnsi="Cambria Math"/>
              </w:rPr>
            </m:ctrlPr>
          </m:sSubPr>
          <m:e>
            <m:r>
              <w:rPr>
                <w:rFonts w:ascii="Cambria Math" w:eastAsia="Cambria Math" w:hAnsi="Cambria Math"/>
              </w:rPr>
              <m:t>UE</m:t>
            </m:r>
          </m:e>
          <m:sub>
            <m:r>
              <w:rPr>
                <w:rFonts w:ascii="Cambria Math" w:eastAsia="Cambria Math" w:hAnsi="Cambria Math"/>
              </w:rPr>
              <m:t>proj,j,y</m:t>
            </m:r>
          </m:sub>
        </m:sSub>
      </m:oMath>
      <w:r w:rsidRPr="00346734">
        <w:rPr>
          <w:rFonts w:eastAsia="Montserrat"/>
        </w:rPr>
        <w:t>) for all fuels except electricity are calculated as follows:</w:t>
      </w:r>
    </w:p>
    <w:p w14:paraId="421B18F1" w14:textId="77777777" w:rsidR="001F7A95" w:rsidRPr="00B33BB6" w:rsidRDefault="001F7A95" w:rsidP="001F7A95">
      <w:pPr>
        <w:rPr>
          <w:rFonts w:eastAsia="Montserrat" w:cs="Arial"/>
          <w:szCs w:val="22"/>
        </w:rPr>
      </w:pPr>
    </w:p>
    <w:tbl>
      <w:tblPr>
        <w:tblW w:w="9375" w:type="dxa"/>
        <w:tblInd w:w="-142" w:type="dxa"/>
        <w:tblBorders>
          <w:top w:val="nil"/>
          <w:left w:val="nil"/>
          <w:bottom w:val="nil"/>
          <w:right w:val="nil"/>
          <w:insideH w:val="nil"/>
          <w:insideV w:val="nil"/>
        </w:tblBorders>
        <w:tblLayout w:type="fixed"/>
        <w:tblLook w:val="0400" w:firstRow="0" w:lastRow="0" w:firstColumn="0" w:lastColumn="0" w:noHBand="0" w:noVBand="1"/>
      </w:tblPr>
      <w:tblGrid>
        <w:gridCol w:w="8506"/>
        <w:gridCol w:w="869"/>
      </w:tblGrid>
      <w:tr w:rsidR="001F7A95" w:rsidRPr="00B33BB6" w14:paraId="4A08F250" w14:textId="77777777">
        <w:tc>
          <w:tcPr>
            <w:tcW w:w="8506" w:type="dxa"/>
            <w:vAlign w:val="center"/>
          </w:tcPr>
          <w:p w14:paraId="2498B0D1" w14:textId="77777777" w:rsidR="001F7A95" w:rsidRPr="00B33BB6" w:rsidRDefault="00000000">
            <w:pPr>
              <w:jc w:val="center"/>
              <w:rPr>
                <w:rFonts w:eastAsia="Cambria Math"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proj,j,y</m:t>
                    </m:r>
                  </m:sub>
                </m:sSub>
                <m:r>
                  <w:rPr>
                    <w:rFonts w:ascii="Cambria Math" w:eastAsia="Cambria Math" w:hAnsi="Cambria Math" w:cs="Arial"/>
                    <w:szCs w:val="22"/>
                  </w:rPr>
                  <m:t xml:space="preserve"> =</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proj,j,y</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j,upstream</m:t>
                    </m:r>
                  </m:sub>
                </m:sSub>
              </m:oMath>
            </m:oMathPara>
          </w:p>
        </w:tc>
        <w:tc>
          <w:tcPr>
            <w:tcW w:w="869" w:type="dxa"/>
            <w:vAlign w:val="center"/>
          </w:tcPr>
          <w:p w14:paraId="10C3FE8C" w14:textId="77777777" w:rsidR="001F7A95" w:rsidRPr="00B33BB6" w:rsidRDefault="001F7A95">
            <w:pPr>
              <w:jc w:val="right"/>
              <w:rPr>
                <w:rFonts w:eastAsia="Montserrat" w:cs="Arial"/>
                <w:szCs w:val="22"/>
              </w:rPr>
            </w:pPr>
            <w:bookmarkStart w:id="77" w:name="e28"/>
            <w:r w:rsidRPr="00B33BB6">
              <w:rPr>
                <w:rFonts w:cs="Arial"/>
                <w:szCs w:val="22"/>
              </w:rPr>
              <w:t>(28)</w:t>
            </w:r>
            <w:bookmarkEnd w:id="77"/>
          </w:p>
        </w:tc>
      </w:tr>
    </w:tbl>
    <w:p w14:paraId="5444BC68" w14:textId="77777777" w:rsidR="001F7A95" w:rsidRPr="00B33BB6" w:rsidRDefault="001F7A95" w:rsidP="001F7A95">
      <w:pPr>
        <w:rPr>
          <w:rFonts w:eastAsia="Montserrat" w:cs="Arial"/>
          <w:szCs w:val="22"/>
        </w:rPr>
      </w:pPr>
    </w:p>
    <w:p w14:paraId="6BFCB759" w14:textId="77777777" w:rsidR="001F7A95" w:rsidRPr="00B33BB6" w:rsidRDefault="001F7A95" w:rsidP="00346734">
      <w:pPr>
        <w:ind w:left="709"/>
        <w:rPr>
          <w:rFonts w:eastAsia="Montserrat" w:cs="Arial"/>
          <w:szCs w:val="22"/>
        </w:rPr>
      </w:pPr>
      <w:r w:rsidRPr="00B33BB6">
        <w:rPr>
          <w:rFonts w:eastAsia="Montserrat" w:cs="Arial"/>
          <w:szCs w:val="22"/>
        </w:rPr>
        <w:lastRenderedPageBreak/>
        <w:t xml:space="preserve">For CTEC projects using the back-calculation approach, </w:t>
      </w:r>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proj,j,y</m:t>
            </m:r>
          </m:sub>
        </m:sSub>
      </m:oMath>
      <w:r w:rsidRPr="00B33BB6">
        <w:rPr>
          <w:rFonts w:eastAsia="Montserrat" w:cs="Arial"/>
          <w:szCs w:val="22"/>
        </w:rPr>
        <w:t xml:space="preserve"> shall be taken as equal to </w:t>
      </w:r>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oMath>
    </w:p>
    <w:p w14:paraId="5912BBCE" w14:textId="77777777" w:rsidR="001F7A95" w:rsidRPr="00B33BB6" w:rsidRDefault="001F7A95" w:rsidP="00346734">
      <w:pPr>
        <w:ind w:left="709"/>
        <w:rPr>
          <w:rFonts w:eastAsia="Montserrat" w:cs="Arial"/>
          <w:szCs w:val="22"/>
        </w:rPr>
      </w:pPr>
    </w:p>
    <w:p w14:paraId="3EBBAC05" w14:textId="77777777" w:rsidR="001F7A95" w:rsidRPr="00B33BB6" w:rsidRDefault="001F7A95" w:rsidP="00346734">
      <w:pPr>
        <w:ind w:left="709"/>
        <w:rPr>
          <w:rFonts w:eastAsia="Montserrat" w:cs="Arial"/>
          <w:szCs w:val="22"/>
        </w:rPr>
      </w:pPr>
      <w:r w:rsidRPr="00B33BB6">
        <w:rPr>
          <w:rFonts w:eastAsia="Montserrat" w:cs="Arial"/>
          <w:szCs w:val="22"/>
        </w:rPr>
        <w:t xml:space="preserve">For CTEC projects using the KPT approach, </w:t>
      </w:r>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proj,j,y</m:t>
            </m:r>
          </m:sub>
        </m:sSub>
      </m:oMath>
      <w:r w:rsidRPr="00B33BB6">
        <w:rPr>
          <w:rFonts w:eastAsia="Montserrat" w:cs="Arial"/>
          <w:szCs w:val="22"/>
        </w:rPr>
        <w:t xml:space="preserve"> is calculated by scaling the amount of energy consumption for each fuel during the KPT per TJ of project fuel during the KPT by the total tracked project fuel consumption per year: </w:t>
      </w:r>
    </w:p>
    <w:tbl>
      <w:tblPr>
        <w:tblW w:w="9375" w:type="dxa"/>
        <w:tblInd w:w="567" w:type="dxa"/>
        <w:tblBorders>
          <w:top w:val="nil"/>
          <w:left w:val="nil"/>
          <w:bottom w:val="nil"/>
          <w:right w:val="nil"/>
          <w:insideH w:val="nil"/>
          <w:insideV w:val="nil"/>
        </w:tblBorders>
        <w:tblLayout w:type="fixed"/>
        <w:tblLook w:val="0400" w:firstRow="0" w:lastRow="0" w:firstColumn="0" w:lastColumn="0" w:noHBand="0" w:noVBand="1"/>
      </w:tblPr>
      <w:tblGrid>
        <w:gridCol w:w="8506"/>
        <w:gridCol w:w="869"/>
      </w:tblGrid>
      <w:tr w:rsidR="001F7A95" w:rsidRPr="00B33BB6" w14:paraId="39B7D5BD" w14:textId="77777777" w:rsidTr="00346734">
        <w:tc>
          <w:tcPr>
            <w:tcW w:w="8506" w:type="dxa"/>
            <w:vAlign w:val="center"/>
          </w:tcPr>
          <w:p w14:paraId="40C32205" w14:textId="77777777" w:rsidR="001F7A95" w:rsidRPr="00B33BB6" w:rsidRDefault="001F7A95">
            <w:pPr>
              <w:rPr>
                <w:rFonts w:eastAsia="Montserrat" w:cs="Arial"/>
                <w:szCs w:val="22"/>
              </w:rPr>
            </w:pPr>
          </w:p>
        </w:tc>
        <w:tc>
          <w:tcPr>
            <w:tcW w:w="869" w:type="dxa"/>
            <w:vAlign w:val="center"/>
          </w:tcPr>
          <w:p w14:paraId="18FCEA5E" w14:textId="77777777" w:rsidR="001F7A95" w:rsidRPr="00B33BB6" w:rsidRDefault="001F7A95">
            <w:pPr>
              <w:jc w:val="right"/>
              <w:rPr>
                <w:rFonts w:cs="Arial"/>
                <w:szCs w:val="22"/>
              </w:rPr>
            </w:pPr>
          </w:p>
        </w:tc>
      </w:tr>
      <w:tr w:rsidR="001F7A95" w:rsidRPr="00B33BB6" w14:paraId="1FF7811A" w14:textId="77777777" w:rsidTr="00346734">
        <w:tc>
          <w:tcPr>
            <w:tcW w:w="8506" w:type="dxa"/>
            <w:vAlign w:val="center"/>
          </w:tcPr>
          <w:p w14:paraId="5C8F9956" w14:textId="77777777" w:rsidR="001F7A95" w:rsidRPr="00B33BB6" w:rsidRDefault="00000000">
            <w:pPr>
              <w:jc w:val="center"/>
              <w:rPr>
                <w:rFonts w:eastAsia="Cambria Math"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proj,j,y</m:t>
                    </m:r>
                  </m:sub>
                </m:sSub>
                <m:r>
                  <w:rPr>
                    <w:rFonts w:ascii="Cambria Math" w:eastAsia="Cambria Math" w:hAnsi="Cambria Math" w:cs="Arial"/>
                    <w:szCs w:val="22"/>
                  </w:rPr>
                  <m:t xml:space="preserve"> =</m:t>
                </m:r>
                <m:f>
                  <m:fPr>
                    <m:ctrlPr>
                      <w:rPr>
                        <w:rFonts w:ascii="Cambria Math" w:hAnsi="Cambria Math" w:cs="Arial"/>
                        <w:i/>
                        <w:szCs w:val="22"/>
                      </w:rPr>
                    </m:ctrlPr>
                  </m:fPr>
                  <m:num>
                    <m:sSub>
                      <m:sSubPr>
                        <m:ctrlPr>
                          <w:rPr>
                            <w:rFonts w:ascii="Cambria Math" w:hAnsi="Cambria Math" w:cs="Arial"/>
                            <w:i/>
                            <w:szCs w:val="22"/>
                          </w:rPr>
                        </m:ctrlPr>
                      </m:sSubPr>
                      <m:e>
                        <m:r>
                          <w:rPr>
                            <w:rFonts w:ascii="Cambria Math" w:hAnsi="Cambria Math" w:cs="Arial"/>
                            <w:szCs w:val="22"/>
                          </w:rPr>
                          <m:t>tEC</m:t>
                        </m:r>
                      </m:e>
                      <m:sub>
                        <m:r>
                          <w:rPr>
                            <w:rFonts w:ascii="Cambria Math" w:hAnsi="Cambria Math" w:cs="Arial"/>
                            <w:szCs w:val="22"/>
                          </w:rPr>
                          <m:t>proj,KPT,j</m:t>
                        </m:r>
                      </m:sub>
                    </m:sSub>
                  </m:num>
                  <m:den>
                    <m:sSub>
                      <m:sSubPr>
                        <m:ctrlPr>
                          <w:rPr>
                            <w:rFonts w:ascii="Cambria Math" w:hAnsi="Cambria Math" w:cs="Arial"/>
                            <w:i/>
                            <w:szCs w:val="22"/>
                          </w:rPr>
                        </m:ctrlPr>
                      </m:sSubPr>
                      <m:e>
                        <m:r>
                          <w:rPr>
                            <w:rFonts w:ascii="Cambria Math" w:hAnsi="Cambria Math" w:cs="Arial"/>
                            <w:szCs w:val="22"/>
                          </w:rPr>
                          <m:t>tEC</m:t>
                        </m:r>
                      </m:e>
                      <m:sub>
                        <m:r>
                          <w:rPr>
                            <w:rFonts w:ascii="Cambria Math" w:hAnsi="Cambria Math" w:cs="Arial"/>
                            <w:szCs w:val="22"/>
                          </w:rPr>
                          <m:t>proj,KPT,j-project</m:t>
                        </m:r>
                      </m:sub>
                    </m:sSub>
                  </m:den>
                </m:f>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oMath>
            </m:oMathPara>
          </w:p>
        </w:tc>
        <w:tc>
          <w:tcPr>
            <w:tcW w:w="869" w:type="dxa"/>
            <w:vAlign w:val="center"/>
          </w:tcPr>
          <w:p w14:paraId="0BFA64BE" w14:textId="77777777" w:rsidR="001F7A95" w:rsidRPr="00B33BB6" w:rsidRDefault="001F7A95">
            <w:pPr>
              <w:jc w:val="right"/>
              <w:rPr>
                <w:rFonts w:eastAsia="Montserrat" w:cs="Arial"/>
                <w:szCs w:val="22"/>
              </w:rPr>
            </w:pPr>
            <w:r w:rsidRPr="00B33BB6">
              <w:rPr>
                <w:rFonts w:cs="Arial"/>
                <w:szCs w:val="22"/>
              </w:rPr>
              <w:t>(</w:t>
            </w:r>
            <w:bookmarkStart w:id="78" w:name="e30"/>
            <w:r w:rsidRPr="00B33BB6">
              <w:rPr>
                <w:rFonts w:cs="Arial"/>
                <w:szCs w:val="22"/>
              </w:rPr>
              <w:t>30)</w:t>
            </w:r>
            <w:bookmarkEnd w:id="78"/>
          </w:p>
        </w:tc>
      </w:tr>
    </w:tbl>
    <w:p w14:paraId="75207F22" w14:textId="77777777" w:rsidR="001F7A95" w:rsidRPr="00B33BB6" w:rsidRDefault="001F7A95" w:rsidP="00346734">
      <w:pPr>
        <w:ind w:left="709"/>
        <w:rPr>
          <w:rFonts w:eastAsia="Segoe UI" w:cs="Arial"/>
          <w:color w:val="333333"/>
          <w:szCs w:val="22"/>
          <w:lang w:val="es-GT"/>
        </w:rPr>
      </w:pPr>
    </w:p>
    <w:p w14:paraId="7ABA407F" w14:textId="77777777" w:rsidR="001F7A95" w:rsidRPr="00B33BB6" w:rsidRDefault="001F7A95" w:rsidP="00346734">
      <w:pPr>
        <w:ind w:left="709"/>
        <w:rPr>
          <w:rFonts w:eastAsia="Montserrat" w:cs="Arial"/>
          <w:szCs w:val="22"/>
        </w:rPr>
      </w:pPr>
      <w:r w:rsidRPr="00B33BB6">
        <w:rPr>
          <w:rFonts w:eastAsia="Montserrat" w:cs="Arial"/>
          <w:szCs w:val="22"/>
        </w:rPr>
        <w:t>Where:</w:t>
      </w:r>
    </w:p>
    <w:p w14:paraId="56493FCC" w14:textId="77777777" w:rsidR="001F7A95" w:rsidRPr="00B33BB6" w:rsidRDefault="001F7A95" w:rsidP="001F7A95">
      <w:pPr>
        <w:rPr>
          <w:rFonts w:eastAsia="Montserrat" w:cs="Arial"/>
          <w:szCs w:val="22"/>
        </w:rPr>
      </w:pPr>
    </w:p>
    <w:tbl>
      <w:tblPr>
        <w:tblStyle w:val="TableGrid"/>
        <w:tblW w:w="9209" w:type="dxa"/>
        <w:tblInd w:w="596" w:type="dxa"/>
        <w:tblLayout w:type="fixed"/>
        <w:tblLook w:val="04A0" w:firstRow="1" w:lastRow="0" w:firstColumn="1" w:lastColumn="0" w:noHBand="0" w:noVBand="1"/>
      </w:tblPr>
      <w:tblGrid>
        <w:gridCol w:w="2122"/>
        <w:gridCol w:w="4819"/>
        <w:gridCol w:w="2268"/>
      </w:tblGrid>
      <w:tr w:rsidR="001F7A95" w:rsidRPr="00B33BB6" w14:paraId="7C4FC6DC" w14:textId="77777777" w:rsidTr="00346734">
        <w:tc>
          <w:tcPr>
            <w:tcW w:w="2122" w:type="dxa"/>
          </w:tcPr>
          <w:p w14:paraId="53215218" w14:textId="77777777" w:rsidR="001F7A95" w:rsidRPr="00B33BB6" w:rsidRDefault="001F7A95">
            <w:pPr>
              <w:rPr>
                <w:rFonts w:eastAsia="Montserrat" w:cs="Arial"/>
                <w:b/>
                <w:bCs/>
                <w:szCs w:val="22"/>
              </w:rPr>
            </w:pPr>
            <w:r w:rsidRPr="00B33BB6">
              <w:rPr>
                <w:rFonts w:eastAsia="Montserrat" w:cs="Arial"/>
                <w:b/>
                <w:bCs/>
                <w:szCs w:val="22"/>
              </w:rPr>
              <w:t>Parameter</w:t>
            </w:r>
          </w:p>
        </w:tc>
        <w:tc>
          <w:tcPr>
            <w:tcW w:w="4819" w:type="dxa"/>
          </w:tcPr>
          <w:p w14:paraId="40574C85" w14:textId="77777777" w:rsidR="001F7A95" w:rsidRPr="00B33BB6" w:rsidRDefault="001F7A95">
            <w:pPr>
              <w:rPr>
                <w:rFonts w:eastAsia="Montserrat" w:cs="Arial"/>
                <w:b/>
                <w:bCs/>
                <w:szCs w:val="22"/>
              </w:rPr>
            </w:pPr>
            <w:r w:rsidRPr="00B33BB6">
              <w:rPr>
                <w:rFonts w:eastAsia="Montserrat" w:cs="Arial"/>
                <w:b/>
                <w:bCs/>
                <w:szCs w:val="22"/>
              </w:rPr>
              <w:t>Description</w:t>
            </w:r>
          </w:p>
        </w:tc>
        <w:tc>
          <w:tcPr>
            <w:tcW w:w="2268" w:type="dxa"/>
          </w:tcPr>
          <w:p w14:paraId="701F5012" w14:textId="77777777" w:rsidR="001F7A95" w:rsidRPr="00B33BB6" w:rsidRDefault="001F7A95">
            <w:pPr>
              <w:rPr>
                <w:rFonts w:eastAsia="Montserrat" w:cs="Arial"/>
                <w:b/>
                <w:bCs/>
                <w:szCs w:val="22"/>
              </w:rPr>
            </w:pPr>
            <w:r w:rsidRPr="00B33BB6">
              <w:rPr>
                <w:rFonts w:eastAsia="Montserrat" w:cs="Arial"/>
                <w:b/>
                <w:bCs/>
                <w:szCs w:val="22"/>
              </w:rPr>
              <w:t>Unit</w:t>
            </w:r>
          </w:p>
        </w:tc>
      </w:tr>
      <w:tr w:rsidR="001F7A95" w:rsidRPr="00B33BB6" w14:paraId="16616D01" w14:textId="77777777" w:rsidTr="00346734">
        <w:tc>
          <w:tcPr>
            <w:tcW w:w="2122" w:type="dxa"/>
          </w:tcPr>
          <w:p w14:paraId="1B8CDD96" w14:textId="77777777" w:rsidR="001F7A95" w:rsidRPr="00B33BB6" w:rsidRDefault="00000000">
            <w:pPr>
              <w:rPr>
                <w:rFonts w:eastAsia="Montserrat" w:cs="Arial"/>
                <w:b/>
                <w:bCs/>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UE</m:t>
                    </m:r>
                  </m:e>
                  <m:sub>
                    <m:r>
                      <w:rPr>
                        <w:rFonts w:ascii="Cambria Math" w:eastAsia="Cambria Math" w:hAnsi="Cambria Math" w:cs="Arial"/>
                        <w:szCs w:val="22"/>
                      </w:rPr>
                      <m:t>proj,j,y</m:t>
                    </m:r>
                  </m:sub>
                </m:sSub>
              </m:oMath>
            </m:oMathPara>
          </w:p>
        </w:tc>
        <w:tc>
          <w:tcPr>
            <w:tcW w:w="4819" w:type="dxa"/>
          </w:tcPr>
          <w:p w14:paraId="061D7A1E" w14:textId="77777777" w:rsidR="001F7A95" w:rsidRPr="00B33BB6" w:rsidRDefault="001F7A95">
            <w:pPr>
              <w:rPr>
                <w:rFonts w:eastAsia="Montserrat" w:cs="Arial"/>
                <w:b/>
                <w:bCs/>
                <w:szCs w:val="22"/>
              </w:rPr>
            </w:pPr>
            <w:r w:rsidRPr="00B33BB6">
              <w:rPr>
                <w:rFonts w:eastAsia="Montserrat" w:cs="Arial"/>
                <w:szCs w:val="22"/>
              </w:rPr>
              <w:t>Upstream emissions for project fuel</w:t>
            </w:r>
            <w:r w:rsidRPr="00B33BB6">
              <w:rPr>
                <w:rFonts w:eastAsia="Montserrat" w:cs="Arial"/>
                <w:i/>
                <w:iCs/>
                <w:szCs w:val="22"/>
              </w:rPr>
              <w:t xml:space="preserve"> j </w:t>
            </w:r>
            <w:r w:rsidRPr="00B33BB6">
              <w:rPr>
                <w:rFonts w:eastAsia="Montserrat" w:cs="Arial"/>
                <w:szCs w:val="22"/>
              </w:rPr>
              <w:t xml:space="preserve">in year </w:t>
            </w:r>
            <w:r w:rsidRPr="00B33BB6">
              <w:rPr>
                <w:rFonts w:eastAsia="Montserrat" w:cs="Arial"/>
                <w:i/>
                <w:iCs/>
                <w:szCs w:val="22"/>
              </w:rPr>
              <w:t>y</w:t>
            </w:r>
          </w:p>
        </w:tc>
        <w:tc>
          <w:tcPr>
            <w:tcW w:w="2268" w:type="dxa"/>
          </w:tcPr>
          <w:p w14:paraId="33E29456" w14:textId="77777777" w:rsidR="001F7A95" w:rsidRPr="00B33BB6" w:rsidRDefault="001F7A95">
            <w:pPr>
              <w:rPr>
                <w:rFonts w:eastAsia="Montserrat" w:cs="Arial"/>
                <w:b/>
                <w:bCs/>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1F7A95" w:rsidRPr="00B33BB6" w14:paraId="559CACF3" w14:textId="77777777" w:rsidTr="00346734">
        <w:tc>
          <w:tcPr>
            <w:tcW w:w="2122" w:type="dxa"/>
          </w:tcPr>
          <w:p w14:paraId="329F76F6" w14:textId="77777777" w:rsidR="001F7A95"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proj,j,y</m:t>
                    </m:r>
                  </m:sub>
                </m:sSub>
              </m:oMath>
            </m:oMathPara>
          </w:p>
        </w:tc>
        <w:tc>
          <w:tcPr>
            <w:tcW w:w="4819" w:type="dxa"/>
          </w:tcPr>
          <w:p w14:paraId="2AA38CAA" w14:textId="77777777" w:rsidR="001F7A95" w:rsidRPr="00B33BB6" w:rsidRDefault="001F7A95">
            <w:pPr>
              <w:rPr>
                <w:rFonts w:eastAsia="Montserrat" w:cs="Arial"/>
                <w:szCs w:val="22"/>
              </w:rPr>
            </w:pPr>
            <w:r w:rsidRPr="00B33BB6">
              <w:rPr>
                <w:rFonts w:eastAsia="Montserrat" w:cs="Arial"/>
                <w:szCs w:val="22"/>
              </w:rPr>
              <w:t xml:space="preserve">Energy consumption for project </w:t>
            </w:r>
            <w:proofErr w:type="gramStart"/>
            <w:r w:rsidRPr="00B33BB6">
              <w:rPr>
                <w:rFonts w:eastAsia="Montserrat" w:cs="Arial"/>
                <w:szCs w:val="22"/>
              </w:rPr>
              <w:t xml:space="preserve">fuel </w:t>
            </w:r>
            <w:r w:rsidRPr="00B33BB6">
              <w:rPr>
                <w:rFonts w:eastAsia="Montserrat" w:cs="Arial"/>
                <w:i/>
                <w:szCs w:val="22"/>
              </w:rPr>
              <w:t>j</w:t>
            </w:r>
            <w:proofErr w:type="gramEnd"/>
            <w:r w:rsidRPr="00B33BB6">
              <w:rPr>
                <w:rFonts w:eastAsia="Montserrat" w:cs="Arial"/>
                <w:szCs w:val="22"/>
              </w:rPr>
              <w:t xml:space="preserve"> in the project scenario in year </w:t>
            </w:r>
            <w:r w:rsidRPr="00B33BB6">
              <w:rPr>
                <w:rFonts w:eastAsia="Montserrat" w:cs="Arial"/>
                <w:i/>
                <w:szCs w:val="22"/>
              </w:rPr>
              <w:t>y</w:t>
            </w:r>
            <w:r w:rsidRPr="00B33BB6">
              <w:rPr>
                <w:rFonts w:eastAsia="Montserrat" w:cs="Arial"/>
                <w:szCs w:val="22"/>
              </w:rPr>
              <w:t xml:space="preserve"> </w:t>
            </w:r>
          </w:p>
        </w:tc>
        <w:tc>
          <w:tcPr>
            <w:tcW w:w="2268" w:type="dxa"/>
          </w:tcPr>
          <w:p w14:paraId="5F5832AB" w14:textId="77777777" w:rsidR="001F7A95" w:rsidRPr="00B33BB6" w:rsidRDefault="001F7A95">
            <w:pPr>
              <w:rPr>
                <w:rFonts w:eastAsia="Montserrat" w:cs="Arial"/>
                <w:szCs w:val="22"/>
              </w:rPr>
            </w:pPr>
            <w:r w:rsidRPr="00B33BB6">
              <w:rPr>
                <w:rFonts w:eastAsia="Montserrat" w:cs="Arial"/>
                <w:szCs w:val="22"/>
              </w:rPr>
              <w:t>TJ</w:t>
            </w:r>
          </w:p>
        </w:tc>
      </w:tr>
      <w:tr w:rsidR="001F7A95" w:rsidRPr="00B33BB6" w14:paraId="3055F8AF" w14:textId="77777777" w:rsidTr="00346734">
        <w:tc>
          <w:tcPr>
            <w:tcW w:w="2122" w:type="dxa"/>
          </w:tcPr>
          <w:p w14:paraId="76A3D684" w14:textId="77777777" w:rsidR="001F7A95"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EF</m:t>
                    </m:r>
                  </m:e>
                  <m:sub>
                    <m:r>
                      <w:rPr>
                        <w:rFonts w:ascii="Cambria Math" w:eastAsia="Cambria Math" w:hAnsi="Cambria Math" w:cs="Arial"/>
                        <w:szCs w:val="22"/>
                      </w:rPr>
                      <m:t>j,upstream</m:t>
                    </m:r>
                  </m:sub>
                </m:sSub>
              </m:oMath>
            </m:oMathPara>
          </w:p>
        </w:tc>
        <w:tc>
          <w:tcPr>
            <w:tcW w:w="4819" w:type="dxa"/>
          </w:tcPr>
          <w:p w14:paraId="066989E8" w14:textId="77777777" w:rsidR="001F7A95" w:rsidRPr="00B33BB6" w:rsidRDefault="001F7A95">
            <w:pPr>
              <w:rPr>
                <w:rFonts w:eastAsia="Montserrat" w:cs="Arial"/>
                <w:szCs w:val="22"/>
              </w:rPr>
            </w:pPr>
            <w:r w:rsidRPr="00B33BB6">
              <w:rPr>
                <w:rFonts w:eastAsia="Montserrat" w:cs="Arial"/>
                <w:szCs w:val="22"/>
              </w:rPr>
              <w:t xml:space="preserve">Upstream emission factor for fuel </w:t>
            </w:r>
            <w:r w:rsidRPr="00B33BB6">
              <w:rPr>
                <w:rFonts w:eastAsia="Montserrat" w:cs="Arial"/>
                <w:i/>
                <w:szCs w:val="22"/>
              </w:rPr>
              <w:t xml:space="preserve">j </w:t>
            </w:r>
            <w:r w:rsidRPr="00B33BB6">
              <w:rPr>
                <w:rFonts w:eastAsia="Montserrat" w:cs="Arial"/>
                <w:szCs w:val="22"/>
              </w:rPr>
              <w:t xml:space="preserve">  </w:t>
            </w:r>
          </w:p>
        </w:tc>
        <w:tc>
          <w:tcPr>
            <w:tcW w:w="2268" w:type="dxa"/>
          </w:tcPr>
          <w:p w14:paraId="19DC37D0" w14:textId="77777777" w:rsidR="001F7A95" w:rsidRPr="00B33BB6" w:rsidRDefault="001F7A95">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/TJ</w:t>
            </w:r>
          </w:p>
        </w:tc>
      </w:tr>
      <w:tr w:rsidR="001F7A95" w:rsidRPr="00B33BB6" w14:paraId="6E5D6CC7" w14:textId="77777777" w:rsidTr="00346734">
        <w:tc>
          <w:tcPr>
            <w:tcW w:w="2122" w:type="dxa"/>
          </w:tcPr>
          <w:p w14:paraId="6D322E68" w14:textId="77777777" w:rsidR="001F7A95"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proj,KPT,j</m:t>
                    </m:r>
                  </m:sub>
                </m:sSub>
              </m:oMath>
            </m:oMathPara>
          </w:p>
        </w:tc>
        <w:tc>
          <w:tcPr>
            <w:tcW w:w="4819" w:type="dxa"/>
          </w:tcPr>
          <w:p w14:paraId="392B4E02" w14:textId="44CD1B78" w:rsidR="001F7A95" w:rsidRPr="00B33BB6" w:rsidRDefault="001F7A95">
            <w:pPr>
              <w:rPr>
                <w:rFonts w:eastAsia="Montserrat" w:cs="Arial"/>
                <w:szCs w:val="22"/>
              </w:rPr>
            </w:pPr>
            <w:r w:rsidRPr="00B33BB6">
              <w:rPr>
                <w:rFonts w:eastAsia="Montserrat" w:cs="Arial"/>
                <w:szCs w:val="22"/>
              </w:rPr>
              <w:t>Energy consumption of each fuel</w:t>
            </w:r>
            <w:r w:rsidRPr="00B33BB6">
              <w:rPr>
                <w:rFonts w:eastAsia="Montserrat" w:cs="Arial"/>
                <w:i/>
                <w:szCs w:val="22"/>
              </w:rPr>
              <w:t xml:space="preserve"> j</w:t>
            </w:r>
            <w:r w:rsidRPr="00B33BB6">
              <w:rPr>
                <w:rFonts w:eastAsia="Montserrat" w:cs="Arial"/>
                <w:szCs w:val="22"/>
              </w:rPr>
              <w:t xml:space="preserve"> used in project households</w:t>
            </w:r>
            <w:r w:rsidRPr="00B33BB6">
              <w:rPr>
                <w:rFonts w:eastAsia="Montserrat" w:cs="Arial"/>
                <w:i/>
                <w:szCs w:val="22"/>
              </w:rPr>
              <w:t xml:space="preserve"> </w:t>
            </w:r>
            <w:r w:rsidRPr="00B33BB6">
              <w:rPr>
                <w:rFonts w:eastAsia="Montserrat" w:cs="Arial"/>
                <w:szCs w:val="22"/>
              </w:rPr>
              <w:t xml:space="preserve">from project KPT for CTEC projects. Where fuels such as pellets and briquettes are made from a mix of renewable and non-renewable sources (e.g., renewable agricultural waste and non-renewable wood), each source should </w:t>
            </w:r>
            <w:proofErr w:type="gramStart"/>
            <w:r w:rsidRPr="00B33BB6">
              <w:rPr>
                <w:rFonts w:eastAsia="Montserrat" w:cs="Arial"/>
                <w:szCs w:val="22"/>
              </w:rPr>
              <w:t>be considered</w:t>
            </w:r>
            <w:proofErr w:type="gramEnd"/>
            <w:r w:rsidRPr="00B33BB6">
              <w:rPr>
                <w:rFonts w:eastAsia="Montserrat" w:cs="Arial"/>
                <w:szCs w:val="22"/>
              </w:rPr>
              <w:t xml:space="preserve"> its own fuel (See example </w:t>
            </w:r>
            <w:r w:rsidRPr="00C3324D">
              <w:rPr>
                <w:rFonts w:eastAsia="Montserrat" w:cs="Arial"/>
                <w:szCs w:val="22"/>
              </w:rPr>
              <w:t xml:space="preserve">in </w:t>
            </w:r>
            <w:hyperlink w:anchor="footnote11" w:history="1">
              <w:r w:rsidRPr="00C3324D">
                <w:rPr>
                  <w:rStyle w:val="Hyperlink"/>
                  <w:rFonts w:eastAsia="Montserrat" w:cs="Arial"/>
                  <w:szCs w:val="22"/>
                  <w:lang w:val="en-GB"/>
                </w:rPr>
                <w:t>footnote 1</w:t>
              </w:r>
              <w:r w:rsidR="008B6AC3" w:rsidRPr="00C3324D">
                <w:rPr>
                  <w:rStyle w:val="Hyperlink"/>
                  <w:rFonts w:eastAsia="Montserrat" w:cs="Arial"/>
                  <w:szCs w:val="22"/>
                </w:rPr>
                <w:t>1</w:t>
              </w:r>
            </w:hyperlink>
            <w:r w:rsidRPr="00C3324D">
              <w:rPr>
                <w:rFonts w:eastAsia="Montserrat" w:cs="Arial"/>
                <w:szCs w:val="22"/>
              </w:rPr>
              <w:t>).</w:t>
            </w:r>
          </w:p>
        </w:tc>
        <w:tc>
          <w:tcPr>
            <w:tcW w:w="2268" w:type="dxa"/>
          </w:tcPr>
          <w:p w14:paraId="4D5C70BA" w14:textId="77777777" w:rsidR="001F7A95" w:rsidRPr="00B33BB6" w:rsidRDefault="001F7A95">
            <w:pPr>
              <w:rPr>
                <w:rFonts w:eastAsia="Montserrat" w:cs="Arial"/>
                <w:szCs w:val="22"/>
              </w:rPr>
            </w:pPr>
            <w:r w:rsidRPr="00B33BB6">
              <w:rPr>
                <w:rFonts w:eastAsia="Montserrat" w:cs="Arial"/>
                <w:szCs w:val="22"/>
              </w:rPr>
              <w:t>TJ/(person*year)</w:t>
            </w:r>
          </w:p>
        </w:tc>
      </w:tr>
      <w:tr w:rsidR="001F7A95" w:rsidRPr="00B33BB6" w14:paraId="222CE1EB" w14:textId="77777777" w:rsidTr="00346734">
        <w:tc>
          <w:tcPr>
            <w:tcW w:w="2122" w:type="dxa"/>
          </w:tcPr>
          <w:p w14:paraId="11230D00" w14:textId="77777777" w:rsidR="001F7A95" w:rsidRPr="00B33BB6" w:rsidRDefault="0001396C">
            <w:pPr>
              <w:rPr>
                <w:rFonts w:cs="Arial"/>
                <w:szCs w:val="22"/>
              </w:rPr>
            </w:pPr>
            <m:oMathPara>
              <m:oMath>
                <m:r>
                  <w:rPr>
                    <w:rFonts w:ascii="Cambria Math" w:eastAsia="Cambria Math" w:hAnsi="Cambria Math" w:cs="Arial"/>
                    <w:szCs w:val="22"/>
                  </w:rPr>
                  <m:t>t</m:t>
                </m:r>
                <m:sSub>
                  <m:sSubPr>
                    <m:ctrlPr>
                      <w:rPr>
                        <w:rFonts w:ascii="Cambria Math" w:eastAsia="Cambria Math" w:hAnsi="Cambria Math" w:cs="Arial"/>
                        <w:szCs w:val="22"/>
                      </w:rPr>
                    </m:ctrlPr>
                  </m:sSubPr>
                  <m:e>
                    <m:r>
                      <w:rPr>
                        <w:rFonts w:ascii="Cambria Math" w:eastAsia="Cambria Math" w:hAnsi="Cambria Math" w:cs="Arial"/>
                        <w:szCs w:val="22"/>
                      </w:rPr>
                      <m:t>EC</m:t>
                    </m:r>
                  </m:e>
                  <m:sub>
                    <m:r>
                      <w:rPr>
                        <w:rFonts w:ascii="Cambria Math" w:eastAsia="Cambria Math" w:hAnsi="Cambria Math" w:cs="Arial"/>
                        <w:szCs w:val="22"/>
                      </w:rPr>
                      <m:t>proj,KPT,j-project</m:t>
                    </m:r>
                  </m:sub>
                </m:sSub>
              </m:oMath>
            </m:oMathPara>
          </w:p>
        </w:tc>
        <w:tc>
          <w:tcPr>
            <w:tcW w:w="4819" w:type="dxa"/>
          </w:tcPr>
          <w:p w14:paraId="08B67279" w14:textId="77777777" w:rsidR="001F7A95" w:rsidRPr="00B33BB6" w:rsidRDefault="001F7A95">
            <w:pPr>
              <w:rPr>
                <w:rFonts w:eastAsia="Montserrat" w:cs="Arial"/>
                <w:szCs w:val="22"/>
              </w:rPr>
            </w:pPr>
            <w:r w:rsidRPr="00B33BB6">
              <w:rPr>
                <w:rFonts w:eastAsia="Montserrat" w:cs="Arial"/>
                <w:szCs w:val="22"/>
              </w:rPr>
              <w:t xml:space="preserve">Tracked energy consumption of project fuel </w:t>
            </w:r>
            <w:r w:rsidRPr="00B33BB6">
              <w:rPr>
                <w:rFonts w:eastAsia="Montserrat" w:cs="Arial"/>
                <w:i/>
                <w:iCs/>
                <w:szCs w:val="22"/>
              </w:rPr>
              <w:t>j</w:t>
            </w:r>
            <w:r w:rsidRPr="00B33BB6">
              <w:rPr>
                <w:rFonts w:eastAsia="Montserrat" w:cs="Arial"/>
                <w:szCs w:val="22"/>
              </w:rPr>
              <w:t xml:space="preserve"> for project cookstove only based on project KPT </w:t>
            </w:r>
          </w:p>
        </w:tc>
        <w:tc>
          <w:tcPr>
            <w:tcW w:w="2268" w:type="dxa"/>
          </w:tcPr>
          <w:p w14:paraId="5A524BA5" w14:textId="77777777" w:rsidR="001F7A95" w:rsidRPr="00B33BB6" w:rsidRDefault="001F7A95">
            <w:pPr>
              <w:rPr>
                <w:rFonts w:eastAsia="Montserrat" w:cs="Arial"/>
                <w:szCs w:val="22"/>
              </w:rPr>
            </w:pPr>
            <w:r w:rsidRPr="00B33BB6">
              <w:rPr>
                <w:rFonts w:eastAsia="Montserrat" w:cs="Arial"/>
                <w:szCs w:val="22"/>
              </w:rPr>
              <w:t>TJ/(person*year)</w:t>
            </w:r>
          </w:p>
        </w:tc>
      </w:tr>
      <w:tr w:rsidR="001F7A95" w:rsidRPr="00B33BB6" w14:paraId="47A4CC84" w14:textId="77777777" w:rsidTr="00346734">
        <w:tc>
          <w:tcPr>
            <w:tcW w:w="2122" w:type="dxa"/>
          </w:tcPr>
          <w:p w14:paraId="2EE3BA35" w14:textId="77777777" w:rsidR="001F7A95" w:rsidRPr="00B33BB6" w:rsidRDefault="00000000">
            <w:pP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tEC</m:t>
                    </m:r>
                  </m:e>
                  <m:sub>
                    <m:r>
                      <w:rPr>
                        <w:rFonts w:ascii="Cambria Math" w:eastAsia="Cambria Math" w:hAnsi="Cambria Math" w:cs="Arial"/>
                        <w:szCs w:val="22"/>
                      </w:rPr>
                      <m:t>proj,j,y</m:t>
                    </m:r>
                  </m:sub>
                </m:sSub>
              </m:oMath>
            </m:oMathPara>
          </w:p>
        </w:tc>
        <w:tc>
          <w:tcPr>
            <w:tcW w:w="4819" w:type="dxa"/>
          </w:tcPr>
          <w:p w14:paraId="716B41D1" w14:textId="77777777" w:rsidR="001F7A95" w:rsidRPr="00B33BB6" w:rsidRDefault="001F7A95">
            <w:pPr>
              <w:rPr>
                <w:rFonts w:eastAsia="Montserrat" w:cs="Arial"/>
                <w:szCs w:val="22"/>
              </w:rPr>
            </w:pPr>
            <w:r w:rsidRPr="00B33BB6">
              <w:rPr>
                <w:rFonts w:eastAsia="Montserrat" w:cs="Arial"/>
                <w:szCs w:val="22"/>
              </w:rPr>
              <w:t xml:space="preserve">Total tracked energy consumption of project fuel </w:t>
            </w:r>
            <w:r w:rsidRPr="00B33BB6">
              <w:rPr>
                <w:rFonts w:eastAsia="Montserrat" w:cs="Arial"/>
                <w:i/>
                <w:iCs/>
                <w:szCs w:val="22"/>
              </w:rPr>
              <w:t xml:space="preserve">j </w:t>
            </w:r>
            <w:r w:rsidRPr="00B33BB6">
              <w:rPr>
                <w:rFonts w:eastAsia="Montserrat" w:cs="Arial"/>
                <w:szCs w:val="22"/>
              </w:rPr>
              <w:t xml:space="preserve">for CTEC projects in year </w:t>
            </w:r>
            <w:r w:rsidRPr="00B33BB6">
              <w:rPr>
                <w:rFonts w:eastAsia="Montserrat" w:cs="Arial"/>
                <w:i/>
                <w:iCs/>
                <w:szCs w:val="22"/>
              </w:rPr>
              <w:t>y</w:t>
            </w:r>
            <w:r w:rsidRPr="00B33BB6">
              <w:rPr>
                <w:rFonts w:eastAsia="Montserrat" w:cs="Arial"/>
                <w:szCs w:val="22"/>
              </w:rPr>
              <w:t xml:space="preserve"> </w:t>
            </w:r>
          </w:p>
        </w:tc>
        <w:tc>
          <w:tcPr>
            <w:tcW w:w="2268" w:type="dxa"/>
          </w:tcPr>
          <w:p w14:paraId="3AC8E277" w14:textId="77777777" w:rsidR="001F7A95" w:rsidRPr="00B33BB6" w:rsidRDefault="001F7A95">
            <w:pPr>
              <w:rPr>
                <w:rFonts w:eastAsia="Montserrat" w:cs="Arial"/>
                <w:szCs w:val="22"/>
              </w:rPr>
            </w:pPr>
            <w:r w:rsidRPr="00B33BB6">
              <w:rPr>
                <w:rFonts w:eastAsia="Montserrat" w:cs="Arial"/>
                <w:szCs w:val="22"/>
              </w:rPr>
              <w:t>TJ</w:t>
            </w:r>
          </w:p>
        </w:tc>
      </w:tr>
    </w:tbl>
    <w:p w14:paraId="1846C344" w14:textId="77777777" w:rsidR="001F7A95" w:rsidRPr="00B33BB6" w:rsidRDefault="001F7A95" w:rsidP="001F7A95">
      <w:pPr>
        <w:rPr>
          <w:rFonts w:eastAsia="Montserrat" w:cs="Arial"/>
          <w:szCs w:val="22"/>
        </w:rPr>
      </w:pPr>
    </w:p>
    <w:p w14:paraId="5486A649" w14:textId="2A41FDBF" w:rsidR="009D33DE" w:rsidRPr="003675B0" w:rsidRDefault="001F7A95" w:rsidP="00346734">
      <w:pPr>
        <w:ind w:left="709"/>
        <w:rPr>
          <w:rFonts w:eastAsia="Montserrat" w:cs="Arial"/>
          <w:szCs w:val="22"/>
        </w:rPr>
      </w:pPr>
      <w:r w:rsidRPr="00B33BB6">
        <w:rPr>
          <w:rFonts w:eastAsia="Montserrat" w:cs="Arial"/>
          <w:szCs w:val="22"/>
        </w:rPr>
        <w:t xml:space="preserve">Upstream emissions from electricity generation are included in the grid/off-grid emission factors which are presented </w:t>
      </w:r>
      <w:r w:rsidRPr="00934A9C">
        <w:rPr>
          <w:rFonts w:eastAsia="Montserrat" w:cs="Arial"/>
          <w:szCs w:val="22"/>
        </w:rPr>
        <w:t xml:space="preserve">in </w:t>
      </w:r>
      <w:hyperlink w:anchor="A2" w:history="1">
        <w:r w:rsidRPr="00934A9C">
          <w:rPr>
            <w:rStyle w:val="Hyperlink"/>
            <w:rFonts w:eastAsia="Montserrat" w:cs="Arial"/>
            <w:szCs w:val="22"/>
          </w:rPr>
          <w:t xml:space="preserve">Appendix </w:t>
        </w:r>
        <w:r w:rsidRPr="00934A9C">
          <w:rPr>
            <w:rStyle w:val="Hyperlink"/>
            <w:rFonts w:cs="Arial"/>
            <w:szCs w:val="22"/>
            <w:cs/>
          </w:rPr>
          <w:t>‎</w:t>
        </w:r>
        <w:r w:rsidRPr="00934A9C">
          <w:rPr>
            <w:rStyle w:val="Hyperlink"/>
            <w:rFonts w:eastAsia="Montserrat" w:cs="Arial"/>
            <w:szCs w:val="22"/>
          </w:rPr>
          <w:t>2</w:t>
        </w:r>
      </w:hyperlink>
      <w:r w:rsidRPr="00934A9C">
        <w:rPr>
          <w:rFonts w:eastAsia="Montserrat" w:cs="Arial"/>
          <w:szCs w:val="22"/>
        </w:rPr>
        <w:t xml:space="preserve"> and </w:t>
      </w:r>
      <w:hyperlink w:anchor="A3" w:history="1">
        <w:r w:rsidRPr="00934A9C">
          <w:rPr>
            <w:rStyle w:val="Hyperlink"/>
            <w:rFonts w:eastAsia="Montserrat" w:cs="Arial"/>
            <w:szCs w:val="22"/>
          </w:rPr>
          <w:t>Appendix 3</w:t>
        </w:r>
      </w:hyperlink>
      <w:r w:rsidRPr="00934A9C">
        <w:rPr>
          <w:rFonts w:eastAsia="Montserrat" w:cs="Arial"/>
          <w:szCs w:val="22"/>
        </w:rPr>
        <w:t>.</w:t>
      </w:r>
      <w:r w:rsidRPr="00B33BB6">
        <w:rPr>
          <w:rFonts w:eastAsia="Montserrat" w:cs="Arial"/>
          <w:szCs w:val="22"/>
        </w:rPr>
        <w:t xml:space="preserve"> The emission factor accounting for the technical T&amp;D losses for providing electricity is not included in the grid emission factors. Technical T&amp;D losses are accounted for separately.</w:t>
      </w:r>
    </w:p>
    <w:p w14:paraId="73C9DAC2" w14:textId="70776B19" w:rsidR="00E95A8F" w:rsidRPr="00346734" w:rsidRDefault="00E95A8F" w:rsidP="00E95A8F">
      <w:pPr>
        <w:pStyle w:val="SDMPara"/>
        <w:rPr>
          <w:rFonts w:eastAsia="Montserrat"/>
          <w:color w:val="000000" w:themeColor="text1"/>
        </w:rPr>
      </w:pPr>
      <w:r w:rsidRPr="00346734">
        <w:rPr>
          <w:b/>
          <w:bCs/>
          <w:color w:val="000000" w:themeColor="text1"/>
        </w:rPr>
        <w:t>Adjustment for the potential impact of the Hawthorne effect for non-CTEC projects</w:t>
      </w:r>
      <w:r w:rsidR="00346734">
        <w:rPr>
          <w:color w:val="000000" w:themeColor="text1"/>
        </w:rPr>
        <w:t xml:space="preserve">: </w:t>
      </w:r>
      <w:r w:rsidRPr="00346734">
        <w:rPr>
          <w:rFonts w:eastAsia="Montserrat"/>
        </w:rPr>
        <w:t>To account for the potential impacts of the Hawthorne Effect on project KPTs for non-CTEC projects, the methodology applies a Hawthorne Effect adjustment factor (</w:t>
      </w:r>
      <m:oMath>
        <m:sSub>
          <m:sSubPr>
            <m:ctrlPr>
              <w:rPr>
                <w:rFonts w:ascii="Cambria Math" w:eastAsia="Cambria Math" w:hAnsi="Cambria Math"/>
                <w:i/>
              </w:rPr>
            </m:ctrlPr>
          </m:sSubPr>
          <m:e>
            <m:r>
              <w:rPr>
                <w:rFonts w:ascii="Cambria Math" w:eastAsia="Cambria Math" w:hAnsi="Cambria Math"/>
              </w:rPr>
              <m:t>HE</m:t>
            </m:r>
          </m:e>
          <m:sub>
            <m:r>
              <w:rPr>
                <w:rFonts w:ascii="Cambria Math" w:eastAsia="Cambria Math" w:hAnsi="Cambria Math"/>
              </w:rPr>
              <m:t>ind</m:t>
            </m:r>
          </m:sub>
        </m:sSub>
      </m:oMath>
      <w:r w:rsidRPr="00346734">
        <w:rPr>
          <w:rFonts w:eastAsia="Montserrat"/>
        </w:rPr>
        <w:t>). This factor adjusts the calculated emissions reductions. For methodological consistency, the adjustment is incorporated directly in the project emissions calculation.</w:t>
      </w:r>
    </w:p>
    <w:p w14:paraId="21DA335F" w14:textId="77777777" w:rsidR="00E95A8F" w:rsidRPr="00B33BB6" w:rsidRDefault="00E95A8F" w:rsidP="00E95A8F">
      <w:pPr>
        <w:rPr>
          <w:rFonts w:eastAsia="Montserrat" w:cs="Arial"/>
          <w:szCs w:val="22"/>
        </w:rPr>
      </w:pPr>
    </w:p>
    <w:p w14:paraId="0D7FB328" w14:textId="765A9317" w:rsidR="00B54A98" w:rsidRPr="00B54A98" w:rsidRDefault="00B54A98" w:rsidP="00B54A98">
      <w:pPr>
        <w:pStyle w:val="SDMPara"/>
        <w:rPr>
          <w:rFonts w:eastAsia="Montserrat"/>
        </w:rPr>
      </w:pPr>
      <w:r w:rsidRPr="00B54A98">
        <w:rPr>
          <w:rFonts w:eastAsia="Montserrat"/>
          <w:b/>
          <w:bCs/>
        </w:rPr>
        <w:t>Final</w:t>
      </w:r>
      <w:r w:rsidR="00E95A8F" w:rsidRPr="00B54A98">
        <w:rPr>
          <w:rFonts w:eastAsia="Montserrat"/>
          <w:b/>
          <w:bCs/>
        </w:rPr>
        <w:t xml:space="preserve"> project emissions</w:t>
      </w:r>
      <w:r>
        <w:rPr>
          <w:rFonts w:eastAsia="Montserrat"/>
        </w:rPr>
        <w:t>:</w:t>
      </w:r>
    </w:p>
    <w:p w14:paraId="4AF196C2" w14:textId="460D683B" w:rsidR="00E95A8F" w:rsidRPr="00B54A98" w:rsidRDefault="00B54A98" w:rsidP="00B54A98">
      <w:pPr>
        <w:pStyle w:val="SDMSubPara1"/>
        <w:rPr>
          <w:rFonts w:eastAsia="Montserrat"/>
        </w:rPr>
      </w:pPr>
      <w:r>
        <w:rPr>
          <w:rFonts w:eastAsia="Montserrat"/>
        </w:rPr>
        <w:t>Final</w:t>
      </w:r>
      <w:r w:rsidRPr="00B33BB6">
        <w:rPr>
          <w:rFonts w:eastAsia="Montserrat"/>
        </w:rPr>
        <w:t xml:space="preserve"> project emissions</w:t>
      </w:r>
      <w:r w:rsidR="00E95A8F" w:rsidRPr="00B54A98">
        <w:rPr>
          <w:rFonts w:eastAsia="Montserrat"/>
        </w:rPr>
        <w:t xml:space="preserve"> (</w:t>
      </w:r>
      <m:oMath>
        <m:sSub>
          <m:sSubPr>
            <m:ctrlPr>
              <w:rPr>
                <w:rFonts w:ascii="Cambria Math" w:eastAsia="Cambria Math" w:hAnsi="Cambria Math"/>
                <w:i/>
              </w:rPr>
            </m:ctrlPr>
          </m:sSubPr>
          <m:e>
            <m:r>
              <w:rPr>
                <w:rFonts w:ascii="Cambria Math" w:eastAsia="Cambria Math" w:hAnsi="Cambria Math"/>
              </w:rPr>
              <m:t>PE</m:t>
            </m:r>
          </m:e>
          <m:sub>
            <m:r>
              <w:rPr>
                <w:rFonts w:ascii="Cambria Math" w:eastAsia="Cambria Math" w:hAnsi="Cambria Math"/>
              </w:rPr>
              <m:t>y</m:t>
            </m:r>
          </m:sub>
        </m:sSub>
      </m:oMath>
      <w:r w:rsidR="00E95A8F" w:rsidRPr="00B54A98">
        <w:rPr>
          <w:rFonts w:eastAsia="Montserrat"/>
        </w:rPr>
        <w:t>) are calculated using Equation (25).</w:t>
      </w:r>
    </w:p>
    <w:p w14:paraId="313162C0" w14:textId="77777777" w:rsidR="00E95A8F" w:rsidRPr="00B33BB6" w:rsidRDefault="00E95A8F" w:rsidP="00E95A8F">
      <w:pPr>
        <w:rPr>
          <w:rFonts w:eastAsia="Montserrat" w:cs="Arial"/>
          <w:szCs w:val="22"/>
        </w:rPr>
      </w:pPr>
    </w:p>
    <w:tbl>
      <w:tblPr>
        <w:tblW w:w="9214" w:type="dxa"/>
        <w:tblInd w:w="601" w:type="dxa"/>
        <w:tblBorders>
          <w:top w:val="nil"/>
          <w:left w:val="nil"/>
          <w:bottom w:val="nil"/>
          <w:right w:val="nil"/>
          <w:insideH w:val="nil"/>
          <w:insideV w:val="nil"/>
        </w:tblBorders>
        <w:tblLayout w:type="fixed"/>
        <w:tblLook w:val="0400" w:firstRow="0" w:lastRow="0" w:firstColumn="0" w:lastColumn="0" w:noHBand="0" w:noVBand="1"/>
      </w:tblPr>
      <w:tblGrid>
        <w:gridCol w:w="8364"/>
        <w:gridCol w:w="850"/>
      </w:tblGrid>
      <w:tr w:rsidR="00E95A8F" w:rsidRPr="00B33BB6" w14:paraId="06DAF2B5" w14:textId="77777777" w:rsidTr="00B54A98">
        <w:tc>
          <w:tcPr>
            <w:tcW w:w="8364" w:type="dxa"/>
          </w:tcPr>
          <w:p w14:paraId="4EA62429" w14:textId="77777777" w:rsidR="00E95A8F"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PE</m:t>
                    </m:r>
                  </m:e>
                  <m:sub>
                    <m:r>
                      <w:rPr>
                        <w:rFonts w:ascii="Cambria Math" w:eastAsia="Cambria Math" w:hAnsi="Cambria Math" w:cs="Arial"/>
                        <w:szCs w:val="22"/>
                      </w:rPr>
                      <m:t>y</m:t>
                    </m:r>
                  </m:sub>
                </m:sSub>
                <m:r>
                  <w:rPr>
                    <w:rFonts w:ascii="Cambria Math" w:eastAsia="Cambria Math" w:hAnsi="Cambria Math" w:cs="Arial"/>
                    <w:szCs w:val="22"/>
                  </w:rPr>
                  <m:t>=</m:t>
                </m:r>
                <m:sSub>
                  <m:sSubPr>
                    <m:ctrlPr>
                      <w:rPr>
                        <w:rFonts w:ascii="Cambria Math" w:eastAsia="Cambria Math" w:hAnsi="Cambria Math" w:cs="Arial"/>
                        <w:i/>
                        <w:szCs w:val="22"/>
                      </w:rPr>
                    </m:ctrlPr>
                  </m:sSubPr>
                  <m:e>
                    <m:r>
                      <w:rPr>
                        <w:rFonts w:ascii="Cambria Math" w:eastAsia="Cambria Math" w:hAnsi="Cambria Math" w:cs="Arial"/>
                        <w:szCs w:val="22"/>
                      </w:rPr>
                      <m:t>PE</m:t>
                    </m:r>
                  </m:e>
                  <m:sub>
                    <m:r>
                      <w:rPr>
                        <w:rFonts w:ascii="Cambria Math" w:eastAsia="Cambria Math" w:hAnsi="Cambria Math" w:cs="Arial"/>
                        <w:szCs w:val="22"/>
                      </w:rPr>
                      <m:t>unadj,y</m:t>
                    </m:r>
                  </m:sub>
                </m:sSub>
                <m:r>
                  <w:rPr>
                    <w:rFonts w:ascii="Cambria Math" w:eastAsia="Cambria Math" w:hAnsi="Cambria Math" w:cs="Arial"/>
                    <w:szCs w:val="22"/>
                  </w:rPr>
                  <m:t>+</m:t>
                </m:r>
                <m:d>
                  <m:dPr>
                    <m:ctrlPr>
                      <w:rPr>
                        <w:rFonts w:ascii="Cambria Math" w:eastAsia="Cambria Math" w:hAnsi="Cambria Math" w:cs="Arial"/>
                        <w:szCs w:val="22"/>
                      </w:rPr>
                    </m:ctrlPr>
                  </m:dPr>
                  <m:e>
                    <m:sSub>
                      <m:sSubPr>
                        <m:ctrlPr>
                          <w:rPr>
                            <w:rFonts w:ascii="Cambria Math" w:eastAsia="Cambria Math" w:hAnsi="Cambria Math" w:cs="Arial"/>
                            <w:szCs w:val="22"/>
                          </w:rPr>
                        </m:ctrlPr>
                      </m:sSubPr>
                      <m:e>
                        <m:r>
                          <w:rPr>
                            <w:rFonts w:ascii="Cambria Math" w:eastAsia="Cambria Math" w:hAnsi="Cambria Math" w:cs="Arial"/>
                            <w:szCs w:val="22"/>
                          </w:rPr>
                          <m:t>BE</m:t>
                        </m:r>
                      </m:e>
                      <m:sub>
                        <m:r>
                          <w:rPr>
                            <w:rFonts w:ascii="Cambria Math" w:eastAsia="Cambria Math" w:hAnsi="Cambria Math" w:cs="Arial"/>
                            <w:szCs w:val="22"/>
                          </w:rPr>
                          <m:t>final,y</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unadj,y</m:t>
                        </m:r>
                      </m:sub>
                    </m:sSub>
                  </m:e>
                </m:d>
                <m:r>
                  <w:rPr>
                    <w:rFonts w:ascii="Cambria Math" w:eastAsia="Cambria Math" w:hAnsi="Cambria Math" w:cs="Arial"/>
                    <w:szCs w:val="22"/>
                  </w:rPr>
                  <m:t>×</m:t>
                </m:r>
                <m:d>
                  <m:dPr>
                    <m:ctrlPr>
                      <w:rPr>
                        <w:rFonts w:ascii="Cambria Math" w:eastAsia="Cambria Math" w:hAnsi="Cambria Math" w:cs="Arial"/>
                        <w:i/>
                        <w:szCs w:val="22"/>
                      </w:rPr>
                    </m:ctrlPr>
                  </m:dPr>
                  <m:e>
                    <m:r>
                      <w:rPr>
                        <w:rFonts w:ascii="Cambria Math" w:eastAsia="Cambria Math" w:hAnsi="Cambria Math" w:cs="Arial"/>
                        <w:szCs w:val="22"/>
                      </w:rPr>
                      <m:t>1-</m:t>
                    </m:r>
                    <m:sSub>
                      <m:sSubPr>
                        <m:ctrlPr>
                          <w:rPr>
                            <w:rFonts w:ascii="Cambria Math" w:eastAsia="Cambria Math" w:hAnsi="Cambria Math" w:cs="Arial"/>
                            <w:szCs w:val="22"/>
                          </w:rPr>
                        </m:ctrlPr>
                      </m:sSubPr>
                      <m:e>
                        <m:r>
                          <w:rPr>
                            <w:rFonts w:ascii="Cambria Math" w:eastAsia="Cambria Math" w:hAnsi="Cambria Math" w:cs="Arial"/>
                            <w:szCs w:val="22"/>
                          </w:rPr>
                          <m:t>HE</m:t>
                        </m:r>
                      </m:e>
                      <m:sub>
                        <m:r>
                          <w:rPr>
                            <w:rFonts w:ascii="Cambria Math" w:eastAsia="Cambria Math" w:hAnsi="Cambria Math" w:cs="Arial"/>
                            <w:szCs w:val="22"/>
                          </w:rPr>
                          <m:t>ind</m:t>
                        </m:r>
                      </m:sub>
                    </m:sSub>
                  </m:e>
                </m:d>
              </m:oMath>
            </m:oMathPara>
          </w:p>
        </w:tc>
        <w:tc>
          <w:tcPr>
            <w:tcW w:w="850" w:type="dxa"/>
          </w:tcPr>
          <w:p w14:paraId="56C60C83" w14:textId="77777777" w:rsidR="00E95A8F" w:rsidRPr="00B33BB6" w:rsidRDefault="00E95A8F">
            <w:pPr>
              <w:jc w:val="right"/>
              <w:rPr>
                <w:rFonts w:cs="Arial"/>
                <w:szCs w:val="22"/>
              </w:rPr>
            </w:pPr>
            <w:bookmarkStart w:id="79" w:name="e25"/>
            <w:r w:rsidRPr="00B33BB6">
              <w:rPr>
                <w:rFonts w:cs="Arial"/>
                <w:szCs w:val="22"/>
              </w:rPr>
              <w:t>(25</w:t>
            </w:r>
            <w:bookmarkEnd w:id="79"/>
            <w:r w:rsidRPr="00B33BB6">
              <w:rPr>
                <w:rFonts w:cs="Arial"/>
                <w:szCs w:val="22"/>
              </w:rPr>
              <w:t>)</w:t>
            </w:r>
          </w:p>
        </w:tc>
      </w:tr>
    </w:tbl>
    <w:p w14:paraId="189DB990" w14:textId="77777777" w:rsidR="00E95A8F" w:rsidRPr="00B33BB6" w:rsidRDefault="00E95A8F" w:rsidP="00E95A8F">
      <w:pPr>
        <w:rPr>
          <w:rFonts w:eastAsia="Montserrat" w:cs="Arial"/>
          <w:szCs w:val="22"/>
        </w:rPr>
      </w:pPr>
    </w:p>
    <w:p w14:paraId="1DEC441C" w14:textId="77777777" w:rsidR="00DF570E" w:rsidRDefault="00DF570E">
      <w:pPr>
        <w:jc w:val="left"/>
        <w:rPr>
          <w:rFonts w:eastAsia="Montserrat" w:cs="Arial"/>
          <w:szCs w:val="22"/>
        </w:rPr>
      </w:pPr>
      <w:r>
        <w:rPr>
          <w:rFonts w:eastAsia="Montserrat" w:cs="Arial"/>
          <w:szCs w:val="22"/>
        </w:rPr>
        <w:br w:type="page"/>
      </w:r>
    </w:p>
    <w:p w14:paraId="75E47870" w14:textId="5EAFEB8C" w:rsidR="00E95A8F" w:rsidRPr="00B33BB6" w:rsidRDefault="00E95A8F" w:rsidP="00B54A98">
      <w:pPr>
        <w:ind w:left="709"/>
        <w:rPr>
          <w:rFonts w:eastAsia="Montserrat" w:cs="Arial"/>
          <w:szCs w:val="22"/>
        </w:rPr>
      </w:pPr>
      <w:r w:rsidRPr="00B33BB6">
        <w:rPr>
          <w:rFonts w:eastAsia="Montserrat" w:cs="Arial"/>
          <w:szCs w:val="22"/>
        </w:rPr>
        <w:lastRenderedPageBreak/>
        <w:t>Where:</w:t>
      </w:r>
    </w:p>
    <w:p w14:paraId="58ED6A8E" w14:textId="77777777" w:rsidR="00E95A8F" w:rsidRPr="00B33BB6" w:rsidRDefault="00E95A8F" w:rsidP="00B54A98">
      <w:pPr>
        <w:ind w:left="709"/>
        <w:rPr>
          <w:rFonts w:eastAsia="Montserrat" w:cs="Arial"/>
          <w:szCs w:val="22"/>
        </w:rPr>
      </w:pPr>
    </w:p>
    <w:tbl>
      <w:tblPr>
        <w:tblStyle w:val="TableGrid"/>
        <w:tblW w:w="9209" w:type="dxa"/>
        <w:tblInd w:w="709" w:type="dxa"/>
        <w:tblLook w:val="04A0" w:firstRow="1" w:lastRow="0" w:firstColumn="1" w:lastColumn="0" w:noHBand="0" w:noVBand="1"/>
      </w:tblPr>
      <w:tblGrid>
        <w:gridCol w:w="1696"/>
        <w:gridCol w:w="5670"/>
        <w:gridCol w:w="1843"/>
      </w:tblGrid>
      <w:tr w:rsidR="00E95A8F" w:rsidRPr="00B33BB6" w14:paraId="01A8AB71" w14:textId="77777777" w:rsidTr="00B54A98">
        <w:tc>
          <w:tcPr>
            <w:tcW w:w="1696" w:type="dxa"/>
          </w:tcPr>
          <w:p w14:paraId="271DABD2" w14:textId="77777777" w:rsidR="00E95A8F" w:rsidRPr="00B33BB6" w:rsidRDefault="00E95A8F">
            <w:pPr>
              <w:rPr>
                <w:rFonts w:eastAsia="Montserrat" w:cs="Arial"/>
                <w:b/>
                <w:bCs/>
                <w:szCs w:val="22"/>
              </w:rPr>
            </w:pPr>
            <w:r w:rsidRPr="00B33BB6">
              <w:rPr>
                <w:rFonts w:eastAsia="Montserrat" w:cs="Arial"/>
                <w:b/>
                <w:bCs/>
                <w:szCs w:val="22"/>
              </w:rPr>
              <w:t>Parameter</w:t>
            </w:r>
          </w:p>
        </w:tc>
        <w:tc>
          <w:tcPr>
            <w:tcW w:w="5670" w:type="dxa"/>
          </w:tcPr>
          <w:p w14:paraId="38554FC9" w14:textId="77777777" w:rsidR="00E95A8F" w:rsidRPr="00B33BB6" w:rsidRDefault="00E95A8F">
            <w:pPr>
              <w:rPr>
                <w:rFonts w:eastAsia="Montserrat" w:cs="Arial"/>
                <w:b/>
                <w:bCs/>
                <w:szCs w:val="22"/>
              </w:rPr>
            </w:pPr>
            <w:r w:rsidRPr="00B33BB6">
              <w:rPr>
                <w:rFonts w:eastAsia="Montserrat" w:cs="Arial"/>
                <w:b/>
                <w:bCs/>
                <w:szCs w:val="22"/>
              </w:rPr>
              <w:t>Description</w:t>
            </w:r>
          </w:p>
        </w:tc>
        <w:tc>
          <w:tcPr>
            <w:tcW w:w="1843" w:type="dxa"/>
          </w:tcPr>
          <w:p w14:paraId="3BE2AA36" w14:textId="77777777" w:rsidR="00E95A8F" w:rsidRPr="00B33BB6" w:rsidRDefault="00E95A8F">
            <w:pPr>
              <w:rPr>
                <w:rFonts w:eastAsia="Montserrat" w:cs="Arial"/>
                <w:b/>
                <w:bCs/>
                <w:szCs w:val="22"/>
              </w:rPr>
            </w:pPr>
            <w:r w:rsidRPr="00B33BB6">
              <w:rPr>
                <w:rFonts w:eastAsia="Montserrat" w:cs="Arial"/>
                <w:b/>
                <w:bCs/>
                <w:szCs w:val="22"/>
              </w:rPr>
              <w:t>Unit</w:t>
            </w:r>
          </w:p>
        </w:tc>
      </w:tr>
      <w:tr w:rsidR="00E95A8F" w:rsidRPr="00B33BB6" w14:paraId="38E0ABF3" w14:textId="77777777" w:rsidTr="00B54A98">
        <w:tc>
          <w:tcPr>
            <w:tcW w:w="1696" w:type="dxa"/>
          </w:tcPr>
          <w:p w14:paraId="3EC5CF04" w14:textId="77777777" w:rsidR="00E95A8F" w:rsidRPr="00B33BB6" w:rsidRDefault="00000000">
            <w:pPr>
              <w:rPr>
                <w:rFonts w:eastAsia="Montserrat" w:cs="Arial"/>
                <w:b/>
                <w:bCs/>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y</m:t>
                    </m:r>
                  </m:sub>
                </m:sSub>
              </m:oMath>
            </m:oMathPara>
          </w:p>
        </w:tc>
        <w:tc>
          <w:tcPr>
            <w:tcW w:w="5670" w:type="dxa"/>
          </w:tcPr>
          <w:p w14:paraId="45A39270" w14:textId="77777777" w:rsidR="00E95A8F" w:rsidRPr="00B33BB6" w:rsidRDefault="00E95A8F">
            <w:pPr>
              <w:rPr>
                <w:rFonts w:eastAsia="Montserrat" w:cs="Arial"/>
                <w:b/>
                <w:bCs/>
                <w:szCs w:val="22"/>
              </w:rPr>
            </w:pPr>
            <w:r w:rsidRPr="00B33BB6">
              <w:rPr>
                <w:rFonts w:eastAsia="Montserrat" w:cs="Arial"/>
                <w:szCs w:val="22"/>
              </w:rPr>
              <w:t xml:space="preserve">Final project emissions during year </w:t>
            </w:r>
            <w:r w:rsidRPr="00B33BB6">
              <w:rPr>
                <w:rFonts w:eastAsia="Montserrat" w:cs="Arial"/>
                <w:i/>
                <w:szCs w:val="22"/>
              </w:rPr>
              <w:t>y</w:t>
            </w:r>
          </w:p>
        </w:tc>
        <w:tc>
          <w:tcPr>
            <w:tcW w:w="1843" w:type="dxa"/>
          </w:tcPr>
          <w:p w14:paraId="2F35AAA8" w14:textId="77777777" w:rsidR="00E95A8F" w:rsidRPr="00B33BB6" w:rsidRDefault="00E95A8F">
            <w:pPr>
              <w:rPr>
                <w:rFonts w:eastAsia="Montserrat" w:cs="Arial"/>
                <w:b/>
                <w:bCs/>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E95A8F" w:rsidRPr="00B33BB6" w14:paraId="75854952" w14:textId="77777777" w:rsidTr="00B54A98">
        <w:tc>
          <w:tcPr>
            <w:tcW w:w="1696" w:type="dxa"/>
          </w:tcPr>
          <w:p w14:paraId="1E31569B" w14:textId="77777777" w:rsidR="00E95A8F" w:rsidRPr="00B33BB6" w:rsidRDefault="00000000">
            <w:pPr>
              <w:rPr>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unadj,y</m:t>
                    </m:r>
                  </m:sub>
                </m:sSub>
              </m:oMath>
            </m:oMathPara>
          </w:p>
        </w:tc>
        <w:tc>
          <w:tcPr>
            <w:tcW w:w="5670" w:type="dxa"/>
          </w:tcPr>
          <w:p w14:paraId="65D43D2A" w14:textId="77777777" w:rsidR="00E95A8F" w:rsidRPr="00B33BB6" w:rsidRDefault="00E95A8F">
            <w:pPr>
              <w:rPr>
                <w:rFonts w:eastAsia="Montserrat" w:cs="Arial"/>
                <w:iCs/>
                <w:szCs w:val="22"/>
              </w:rPr>
            </w:pPr>
            <w:r w:rsidRPr="00B33BB6">
              <w:rPr>
                <w:rFonts w:eastAsia="Montserrat" w:cs="Arial"/>
                <w:szCs w:val="22"/>
              </w:rPr>
              <w:t xml:space="preserve">Project emissions during year </w:t>
            </w:r>
            <w:r w:rsidRPr="00B33BB6">
              <w:rPr>
                <w:rFonts w:eastAsia="Montserrat" w:cs="Arial"/>
                <w:i/>
                <w:szCs w:val="22"/>
              </w:rPr>
              <w:t>y</w:t>
            </w:r>
            <w:r w:rsidRPr="00B33BB6">
              <w:rPr>
                <w:rFonts w:eastAsia="Montserrat" w:cs="Arial"/>
                <w:iCs/>
                <w:szCs w:val="22"/>
              </w:rPr>
              <w:t>, before applying any Hawthorne effect adjustment</w:t>
            </w:r>
          </w:p>
        </w:tc>
        <w:tc>
          <w:tcPr>
            <w:tcW w:w="1843" w:type="dxa"/>
          </w:tcPr>
          <w:p w14:paraId="1A3B71B1" w14:textId="77777777" w:rsidR="00E95A8F" w:rsidRPr="00B33BB6" w:rsidRDefault="00E95A8F">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E95A8F" w:rsidRPr="00B33BB6" w14:paraId="7759C2B5" w14:textId="77777777" w:rsidTr="00B54A98">
        <w:tc>
          <w:tcPr>
            <w:tcW w:w="1696" w:type="dxa"/>
          </w:tcPr>
          <w:p w14:paraId="155ACD92" w14:textId="77777777" w:rsidR="00E95A8F" w:rsidRPr="00B33BB6" w:rsidRDefault="00000000">
            <w:pPr>
              <w:rPr>
                <w:rFonts w:eastAsia="Montserrat" w:cs="Arial"/>
                <w:b/>
                <w:bCs/>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BE</m:t>
                    </m:r>
                  </m:e>
                  <m:sub>
                    <m:r>
                      <w:rPr>
                        <w:rFonts w:ascii="Cambria Math" w:eastAsia="Cambria Math" w:hAnsi="Cambria Math" w:cs="Arial"/>
                        <w:szCs w:val="22"/>
                      </w:rPr>
                      <m:t>final,y</m:t>
                    </m:r>
                  </m:sub>
                </m:sSub>
              </m:oMath>
            </m:oMathPara>
          </w:p>
        </w:tc>
        <w:tc>
          <w:tcPr>
            <w:tcW w:w="5670" w:type="dxa"/>
          </w:tcPr>
          <w:p w14:paraId="578D1A67" w14:textId="77777777" w:rsidR="00E95A8F" w:rsidRPr="00B33BB6" w:rsidRDefault="00E95A8F">
            <w:pPr>
              <w:rPr>
                <w:rFonts w:eastAsia="Montserrat" w:cs="Arial"/>
                <w:b/>
                <w:bCs/>
                <w:szCs w:val="22"/>
              </w:rPr>
            </w:pPr>
            <w:r w:rsidRPr="00B33BB6">
              <w:rPr>
                <w:rFonts w:eastAsia="Montserrat" w:cs="Arial"/>
                <w:szCs w:val="22"/>
              </w:rPr>
              <w:t xml:space="preserve">Final downward adjusted baseline emissions during year </w:t>
            </w:r>
            <w:r w:rsidRPr="00B33BB6">
              <w:rPr>
                <w:rFonts w:eastAsia="Montserrat" w:cs="Arial"/>
                <w:i/>
                <w:szCs w:val="22"/>
              </w:rPr>
              <w:t>y</w:t>
            </w:r>
          </w:p>
        </w:tc>
        <w:tc>
          <w:tcPr>
            <w:tcW w:w="1843" w:type="dxa"/>
          </w:tcPr>
          <w:p w14:paraId="5B3ABC61" w14:textId="77777777" w:rsidR="00E95A8F" w:rsidRPr="00B33BB6" w:rsidRDefault="00E95A8F">
            <w:pPr>
              <w:rPr>
                <w:rFonts w:eastAsia="Montserrat" w:cs="Arial"/>
                <w:b/>
                <w:bCs/>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E95A8F" w:rsidRPr="00B33BB6" w14:paraId="615DAFE6" w14:textId="77777777" w:rsidTr="00B54A98">
        <w:tc>
          <w:tcPr>
            <w:tcW w:w="1696" w:type="dxa"/>
          </w:tcPr>
          <w:p w14:paraId="498F820E"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HE</m:t>
                    </m:r>
                  </m:e>
                  <m:sub>
                    <m:r>
                      <w:rPr>
                        <w:rFonts w:ascii="Cambria Math" w:eastAsia="Cambria Math" w:hAnsi="Cambria Math" w:cs="Arial"/>
                        <w:szCs w:val="22"/>
                      </w:rPr>
                      <m:t>ind</m:t>
                    </m:r>
                  </m:sub>
                </m:sSub>
              </m:oMath>
            </m:oMathPara>
          </w:p>
        </w:tc>
        <w:tc>
          <w:tcPr>
            <w:tcW w:w="5670" w:type="dxa"/>
          </w:tcPr>
          <w:p w14:paraId="217D26EF" w14:textId="77777777" w:rsidR="00E95A8F" w:rsidRPr="00B33BB6" w:rsidRDefault="00E95A8F">
            <w:pPr>
              <w:rPr>
                <w:rFonts w:eastAsia="Montserrat" w:cs="Arial"/>
                <w:szCs w:val="22"/>
              </w:rPr>
            </w:pPr>
            <w:r w:rsidRPr="00B33BB6">
              <w:rPr>
                <w:rFonts w:eastAsia="Montserrat" w:cs="Arial"/>
                <w:szCs w:val="22"/>
              </w:rPr>
              <w:t>Hawthorne Effect adjustment factor, either:</w:t>
            </w:r>
          </w:p>
          <w:p w14:paraId="594B5C1D" w14:textId="77777777" w:rsidR="00E95A8F" w:rsidRPr="00B33BB6" w:rsidRDefault="00E95A8F">
            <w:pPr>
              <w:rPr>
                <w:rFonts w:eastAsia="Montserrat" w:cs="Arial"/>
                <w:szCs w:val="22"/>
              </w:rPr>
            </w:pPr>
            <w:r w:rsidRPr="00B33BB6">
              <w:rPr>
                <w:rFonts w:eastAsia="Montserrat" w:cs="Arial"/>
                <w:szCs w:val="22"/>
              </w:rPr>
              <w:t xml:space="preserve">75% when KPTs and usage surveys are used without SUMs, </w:t>
            </w:r>
          </w:p>
          <w:p w14:paraId="3B19B4B4" w14:textId="77777777" w:rsidR="00E95A8F" w:rsidRPr="00B33BB6" w:rsidRDefault="00E95A8F">
            <w:pPr>
              <w:rPr>
                <w:rFonts w:eastAsia="Montserrat" w:cs="Arial"/>
                <w:szCs w:val="22"/>
              </w:rPr>
            </w:pPr>
            <w:r w:rsidRPr="00B33BB6">
              <w:rPr>
                <w:rFonts w:eastAsia="Montserrat" w:cs="Arial"/>
                <w:szCs w:val="22"/>
              </w:rPr>
              <w:t>or</w:t>
            </w:r>
          </w:p>
          <w:p w14:paraId="64363401" w14:textId="720371E4" w:rsidR="00E95A8F" w:rsidRPr="00B33BB6" w:rsidRDefault="00E95A8F">
            <w:pPr>
              <w:rPr>
                <w:rFonts w:eastAsia="Montserrat" w:cs="Arial"/>
                <w:szCs w:val="22"/>
              </w:rPr>
            </w:pPr>
            <w:r w:rsidRPr="00B33BB6">
              <w:rPr>
                <w:rFonts w:eastAsia="Montserrat" w:cs="Arial"/>
                <w:szCs w:val="22"/>
              </w:rPr>
              <w:t xml:space="preserve">Result of </w:t>
            </w:r>
            <w:hyperlink w:anchor="e26" w:history="1">
              <w:r w:rsidRPr="003A1A70">
                <w:rPr>
                  <w:rStyle w:val="Hyperlink"/>
                  <w:rFonts w:eastAsia="Montserrat" w:cs="Arial"/>
                  <w:szCs w:val="22"/>
                  <w:lang w:val="en-GB"/>
                </w:rPr>
                <w:t>Equation (2</w:t>
              </w:r>
              <w:r w:rsidRPr="003A1A70">
                <w:rPr>
                  <w:rStyle w:val="Hyperlink"/>
                  <w:rFonts w:eastAsia="Montserrat"/>
                </w:rPr>
                <w:t>6</w:t>
              </w:r>
              <w:r w:rsidRPr="003A1A70">
                <w:rPr>
                  <w:rStyle w:val="Hyperlink"/>
                  <w:rFonts w:eastAsia="Montserrat" w:cs="Arial"/>
                  <w:szCs w:val="22"/>
                </w:rPr>
                <w:t>)</w:t>
              </w:r>
            </w:hyperlink>
            <w:r w:rsidRPr="003A1A70">
              <w:rPr>
                <w:rFonts w:eastAsia="Montserrat" w:cs="Arial"/>
                <w:szCs w:val="22"/>
              </w:rPr>
              <w:t xml:space="preserve"> where</w:t>
            </w:r>
            <w:r w:rsidRPr="00B33BB6">
              <w:rPr>
                <w:rFonts w:eastAsia="Montserrat" w:cs="Arial"/>
                <w:szCs w:val="22"/>
              </w:rPr>
              <w:t xml:space="preserve"> KPTs and usage surveys are complemented by SUMs measurements </w:t>
            </w:r>
          </w:p>
        </w:tc>
        <w:tc>
          <w:tcPr>
            <w:tcW w:w="1843" w:type="dxa"/>
          </w:tcPr>
          <w:p w14:paraId="0E7609AB" w14:textId="77777777" w:rsidR="00E95A8F" w:rsidRPr="00B33BB6" w:rsidRDefault="00E95A8F">
            <w:pPr>
              <w:rPr>
                <w:rFonts w:eastAsia="Montserrat" w:cs="Arial"/>
                <w:szCs w:val="22"/>
              </w:rPr>
            </w:pPr>
            <w:r w:rsidRPr="00B33BB6">
              <w:rPr>
                <w:rFonts w:eastAsia="Montserrat" w:cs="Arial"/>
                <w:szCs w:val="22"/>
              </w:rPr>
              <w:t>%</w:t>
            </w:r>
          </w:p>
        </w:tc>
      </w:tr>
    </w:tbl>
    <w:p w14:paraId="6231EF08" w14:textId="77777777" w:rsidR="00E95A8F" w:rsidRPr="00B33BB6" w:rsidRDefault="00E95A8F" w:rsidP="00B54A98">
      <w:pPr>
        <w:ind w:left="709"/>
        <w:rPr>
          <w:rFonts w:eastAsia="Montserrat" w:cs="Arial"/>
          <w:szCs w:val="22"/>
        </w:rPr>
      </w:pPr>
    </w:p>
    <w:p w14:paraId="30ABF600" w14:textId="748F58C8" w:rsidR="00B54A98" w:rsidRPr="00B33BB6" w:rsidRDefault="00E95A8F" w:rsidP="00E95A8F">
      <w:pPr>
        <w:pStyle w:val="SDMSubPara1"/>
        <w:rPr>
          <w:rFonts w:eastAsia="Montserrat"/>
        </w:rPr>
      </w:pPr>
      <w:r w:rsidRPr="00B54A98">
        <w:rPr>
          <w:rFonts w:eastAsia="Montserrat"/>
        </w:rPr>
        <w:t xml:space="preserve">When projects complement KPTs and surveys with SUMs measurements, the ratio of project technology usage (cooking events/day) measured during the KPT to that measured during the month prior to or following the KPT is used to adjust the emission reduction estimate, such that in </w:t>
      </w:r>
      <w:hyperlink w:anchor="e25" w:history="1">
        <w:r w:rsidRPr="00B54A98">
          <w:rPr>
            <w:rStyle w:val="Hyperlink"/>
            <w:rFonts w:eastAsia="Montserrat"/>
          </w:rPr>
          <w:t>Equation (25),</w:t>
        </w:r>
      </w:hyperlink>
      <w:r w:rsidRPr="00B54A98">
        <w:rPr>
          <w:rFonts w:eastAsia="Montserrat"/>
        </w:rPr>
        <w:t xml:space="preserve"> </w:t>
      </w:r>
      <m:oMath>
        <m:sSub>
          <m:sSubPr>
            <m:ctrlPr>
              <w:rPr>
                <w:rFonts w:ascii="Cambria Math" w:eastAsia="Cambria Math" w:hAnsi="Cambria Math"/>
                <w:i/>
              </w:rPr>
            </m:ctrlPr>
          </m:sSubPr>
          <m:e>
            <m:r>
              <w:rPr>
                <w:rFonts w:ascii="Cambria Math" w:eastAsia="Cambria Math" w:hAnsi="Cambria Math"/>
              </w:rPr>
              <m:t>HE</m:t>
            </m:r>
          </m:e>
          <m:sub>
            <m:r>
              <w:rPr>
                <w:rFonts w:ascii="Cambria Math" w:eastAsia="Cambria Math" w:hAnsi="Cambria Math"/>
              </w:rPr>
              <m:t>ind</m:t>
            </m:r>
          </m:sub>
        </m:sSub>
      </m:oMath>
      <w:r w:rsidRPr="00B54A98">
        <w:rPr>
          <w:rFonts w:eastAsia="Montserrat"/>
        </w:rPr>
        <w:t xml:space="preserve"> equals the result of this ratio (see </w:t>
      </w:r>
      <w:hyperlink w:anchor="e26" w:history="1">
        <w:r w:rsidRPr="00B54A98">
          <w:rPr>
            <w:rStyle w:val="Hyperlink"/>
            <w:rFonts w:eastAsia="Montserrat"/>
          </w:rPr>
          <w:t>Equation (26)</w:t>
        </w:r>
      </w:hyperlink>
      <w:r w:rsidRPr="00B54A98">
        <w:rPr>
          <w:rFonts w:eastAsia="Montserrat"/>
        </w:rPr>
        <w:t xml:space="preserve">). This option requires that SUMs be applied to all project cookstoves in households where the KPT is performed. See </w:t>
      </w:r>
      <w:r w:rsidR="00C1738A">
        <w:rPr>
          <w:rFonts w:eastAsia="Montserrat"/>
        </w:rPr>
        <w:t xml:space="preserve">“Other monitoring requirements” </w:t>
      </w:r>
      <w:r w:rsidR="00C1738A" w:rsidRPr="002B4BBF">
        <w:rPr>
          <w:rFonts w:eastAsia="Montserrat"/>
        </w:rPr>
        <w:t xml:space="preserve">in </w:t>
      </w:r>
      <w:hyperlink w:anchor="S151" w:history="1">
        <w:r w:rsidRPr="002B4BBF">
          <w:rPr>
            <w:rStyle w:val="Hyperlink"/>
            <w:rFonts w:eastAsia="Montserrat"/>
          </w:rPr>
          <w:t xml:space="preserve">section </w:t>
        </w:r>
        <w:r w:rsidR="00C1738A" w:rsidRPr="002B4BBF">
          <w:rPr>
            <w:rStyle w:val="Hyperlink"/>
            <w:rFonts w:eastAsia="Montserrat"/>
          </w:rPr>
          <w:t>1</w:t>
        </w:r>
        <w:r w:rsidRPr="002B4BBF">
          <w:rPr>
            <w:rStyle w:val="Hyperlink"/>
            <w:rFonts w:eastAsia="Montserrat"/>
          </w:rPr>
          <w:t>5</w:t>
        </w:r>
        <w:r w:rsidR="00C1738A" w:rsidRPr="002B4BBF">
          <w:rPr>
            <w:rStyle w:val="Hyperlink"/>
            <w:rFonts w:eastAsia="Montserrat"/>
          </w:rPr>
          <w:t>.1</w:t>
        </w:r>
      </w:hyperlink>
      <w:r w:rsidRPr="002B4BBF">
        <w:rPr>
          <w:rFonts w:eastAsia="Montserrat"/>
        </w:rPr>
        <w:t xml:space="preserve"> for SUMs</w:t>
      </w:r>
      <w:r w:rsidRPr="00B54A98">
        <w:rPr>
          <w:rFonts w:eastAsia="Montserrat"/>
        </w:rPr>
        <w:t xml:space="preserve"> monitoring requirements and </w:t>
      </w:r>
      <w:hyperlink w:anchor="A9" w:history="1">
        <w:r w:rsidRPr="009E42A3">
          <w:rPr>
            <w:rStyle w:val="Hyperlink"/>
            <w:rFonts w:eastAsia="Montserrat"/>
          </w:rPr>
          <w:t>Appendix 9</w:t>
        </w:r>
      </w:hyperlink>
      <w:r w:rsidRPr="009E42A3">
        <w:rPr>
          <w:rFonts w:eastAsia="Montserrat"/>
        </w:rPr>
        <w:t xml:space="preserve"> for</w:t>
      </w:r>
      <w:r w:rsidRPr="00B54A98">
        <w:rPr>
          <w:rFonts w:eastAsia="Montserrat"/>
        </w:rPr>
        <w:t xml:space="preserve"> general SUMs guidance.</w:t>
      </w:r>
    </w:p>
    <w:p w14:paraId="0B29165F" w14:textId="221CC491" w:rsidR="00E95A8F" w:rsidRPr="00B54A98" w:rsidRDefault="00E95A8F" w:rsidP="00E95A8F">
      <w:pPr>
        <w:pStyle w:val="SDMSubPara1"/>
        <w:rPr>
          <w:rFonts w:eastAsia="Montserrat"/>
        </w:rPr>
      </w:pPr>
      <w:r w:rsidRPr="00B54A98">
        <w:rPr>
          <w:rFonts w:eastAsia="Montserrat"/>
        </w:rPr>
        <w:t xml:space="preserve">When projects measure fuel consumption through KPTs and usage surveys only, maximum emission reductions are capped at 75% of the KPT-based estimate to account for the Hawthorne Effect, such that in </w:t>
      </w:r>
      <w:hyperlink w:anchor="e25" w:history="1">
        <w:r w:rsidRPr="00B54A98">
          <w:rPr>
            <w:rStyle w:val="Hyperlink"/>
            <w:rFonts w:eastAsia="Montserrat"/>
          </w:rPr>
          <w:t>Equation (25</w:t>
        </w:r>
      </w:hyperlink>
      <w:r w:rsidRPr="00B54A98">
        <w:rPr>
          <w:rFonts w:eastAsia="Montserrat"/>
        </w:rPr>
        <w:t xml:space="preserve">), </w:t>
      </w:r>
      <m:oMath>
        <m:sSub>
          <m:sSubPr>
            <m:ctrlPr>
              <w:rPr>
                <w:rFonts w:ascii="Cambria Math" w:eastAsia="Cambria Math" w:hAnsi="Cambria Math"/>
                <w:i/>
              </w:rPr>
            </m:ctrlPr>
          </m:sSubPr>
          <m:e>
            <m:r>
              <w:rPr>
                <w:rFonts w:ascii="Cambria Math" w:eastAsia="Cambria Math" w:hAnsi="Cambria Math"/>
              </w:rPr>
              <m:t>HE</m:t>
            </m:r>
          </m:e>
          <m:sub>
            <m:r>
              <w:rPr>
                <w:rFonts w:ascii="Cambria Math" w:eastAsia="Cambria Math" w:hAnsi="Cambria Math"/>
              </w:rPr>
              <m:t>ind</m:t>
            </m:r>
          </m:sub>
        </m:sSub>
      </m:oMath>
      <w:r w:rsidRPr="00B54A98">
        <w:rPr>
          <w:rFonts w:eastAsia="Montserrat"/>
        </w:rPr>
        <w:t xml:space="preserve"> equals 75%.  </w:t>
      </w:r>
    </w:p>
    <w:p w14:paraId="424BDE8D" w14:textId="77777777" w:rsidR="00E95A8F" w:rsidRPr="00B33BB6" w:rsidRDefault="00E95A8F" w:rsidP="00E95A8F">
      <w:pPr>
        <w:rPr>
          <w:rFonts w:eastAsia="Montserrat" w:cs="Arial"/>
          <w:szCs w:val="22"/>
        </w:rPr>
      </w:pPr>
    </w:p>
    <w:tbl>
      <w:tblPr>
        <w:tblW w:w="9214" w:type="dxa"/>
        <w:tblBorders>
          <w:top w:val="nil"/>
          <w:left w:val="nil"/>
          <w:bottom w:val="nil"/>
          <w:right w:val="nil"/>
          <w:insideH w:val="nil"/>
          <w:insideV w:val="nil"/>
        </w:tblBorders>
        <w:tblLayout w:type="fixed"/>
        <w:tblLook w:val="0400" w:firstRow="0" w:lastRow="0" w:firstColumn="0" w:lastColumn="0" w:noHBand="0" w:noVBand="1"/>
      </w:tblPr>
      <w:tblGrid>
        <w:gridCol w:w="8505"/>
        <w:gridCol w:w="709"/>
      </w:tblGrid>
      <w:tr w:rsidR="00E95A8F" w:rsidRPr="00B33BB6" w14:paraId="4FB4FFD9" w14:textId="77777777">
        <w:tc>
          <w:tcPr>
            <w:tcW w:w="8505" w:type="dxa"/>
          </w:tcPr>
          <w:p w14:paraId="73A5AF38" w14:textId="77777777" w:rsidR="00E95A8F" w:rsidRPr="00B33BB6" w:rsidRDefault="00000000">
            <w:pPr>
              <w:rPr>
                <w:rFonts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HE</m:t>
                    </m:r>
                  </m:e>
                  <m:sub>
                    <m:r>
                      <w:rPr>
                        <w:rFonts w:ascii="Cambria Math" w:eastAsia="Cambria Math" w:hAnsi="Cambria Math" w:cs="Arial"/>
                        <w:szCs w:val="22"/>
                      </w:rPr>
                      <m:t>ind</m:t>
                    </m:r>
                  </m:sub>
                </m:sSub>
                <m:r>
                  <w:rPr>
                    <w:rFonts w:ascii="Cambria Math" w:eastAsia="Cambria Math" w:hAnsi="Cambria Math" w:cs="Arial"/>
                    <w:szCs w:val="22"/>
                  </w:rPr>
                  <m:t>=</m:t>
                </m:r>
                <m:func>
                  <m:funcPr>
                    <m:ctrlPr>
                      <w:rPr>
                        <w:rFonts w:ascii="Cambria Math" w:eastAsia="Cambria Math" w:hAnsi="Cambria Math" w:cs="Arial"/>
                        <w:i/>
                        <w:szCs w:val="22"/>
                      </w:rPr>
                    </m:ctrlPr>
                  </m:funcPr>
                  <m:fName>
                    <m:r>
                      <m:rPr>
                        <m:sty m:val="p"/>
                      </m:rPr>
                      <w:rPr>
                        <w:rFonts w:ascii="Cambria Math" w:eastAsia="Cambria Math" w:hAnsi="Cambria Math" w:cs="Arial"/>
                        <w:szCs w:val="22"/>
                      </w:rPr>
                      <m:t>min</m:t>
                    </m:r>
                  </m:fName>
                  <m:e>
                    <m:r>
                      <w:rPr>
                        <w:rFonts w:ascii="Cambria Math" w:eastAsia="Cambria Math" w:hAnsi="Cambria Math" w:cs="Arial"/>
                        <w:szCs w:val="22"/>
                      </w:rPr>
                      <m:t xml:space="preserve">(1, </m:t>
                    </m:r>
                    <m:f>
                      <m:fPr>
                        <m:ctrlPr>
                          <w:rPr>
                            <w:rFonts w:ascii="Cambria Math" w:eastAsia="Cambria Math" w:hAnsi="Cambria Math" w:cs="Arial"/>
                            <w:szCs w:val="22"/>
                          </w:rPr>
                        </m:ctrlPr>
                      </m:fPr>
                      <m:num>
                        <m:sSub>
                          <m:sSubPr>
                            <m:ctrlPr>
                              <w:rPr>
                                <w:rFonts w:ascii="Cambria Math" w:eastAsia="Cambria Math" w:hAnsi="Cambria Math" w:cs="Arial"/>
                                <w:i/>
                                <w:szCs w:val="22"/>
                              </w:rPr>
                            </m:ctrlPr>
                          </m:sSubPr>
                          <m:e>
                            <m:r>
                              <w:rPr>
                                <w:rFonts w:ascii="Cambria Math" w:eastAsia="Cambria Math" w:hAnsi="Cambria Math" w:cs="Arial"/>
                                <w:szCs w:val="22"/>
                              </w:rPr>
                              <m:t>PTC</m:t>
                            </m:r>
                          </m:e>
                          <m:sub>
                            <m:r>
                              <w:rPr>
                                <w:rFonts w:ascii="Cambria Math" w:eastAsia="Cambria Math" w:hAnsi="Cambria Math" w:cs="Arial"/>
                                <w:szCs w:val="22"/>
                              </w:rPr>
                              <m:t>m</m:t>
                            </m:r>
                          </m:sub>
                        </m:sSub>
                      </m:num>
                      <m:den>
                        <m:sSub>
                          <m:sSubPr>
                            <m:ctrlPr>
                              <w:rPr>
                                <w:rFonts w:ascii="Cambria Math" w:eastAsia="Cambria Math" w:hAnsi="Cambria Math" w:cs="Arial"/>
                                <w:i/>
                                <w:szCs w:val="22"/>
                              </w:rPr>
                            </m:ctrlPr>
                          </m:sSubPr>
                          <m:e>
                            <m:r>
                              <w:rPr>
                                <w:rFonts w:ascii="Cambria Math" w:eastAsia="Cambria Math" w:hAnsi="Cambria Math" w:cs="Arial"/>
                                <w:szCs w:val="22"/>
                              </w:rPr>
                              <m:t>PTC</m:t>
                            </m:r>
                          </m:e>
                          <m:sub>
                            <m:r>
                              <w:rPr>
                                <w:rFonts w:ascii="Cambria Math" w:eastAsia="Cambria Math" w:hAnsi="Cambria Math" w:cs="Arial"/>
                                <w:szCs w:val="22"/>
                              </w:rPr>
                              <m:t>KPT</m:t>
                            </m:r>
                          </m:sub>
                        </m:sSub>
                      </m:den>
                    </m:f>
                    <m:r>
                      <w:rPr>
                        <w:rFonts w:ascii="Cambria Math" w:eastAsia="Cambria Math" w:hAnsi="Cambria Math" w:cs="Arial"/>
                        <w:szCs w:val="22"/>
                      </w:rPr>
                      <m:t>)</m:t>
                    </m:r>
                  </m:e>
                </m:func>
              </m:oMath>
            </m:oMathPara>
          </w:p>
        </w:tc>
        <w:tc>
          <w:tcPr>
            <w:tcW w:w="709" w:type="dxa"/>
          </w:tcPr>
          <w:p w14:paraId="363FFC0B" w14:textId="77777777" w:rsidR="00E95A8F" w:rsidRPr="00B33BB6" w:rsidRDefault="00E95A8F">
            <w:pPr>
              <w:jc w:val="right"/>
              <w:rPr>
                <w:rFonts w:cs="Arial"/>
                <w:szCs w:val="22"/>
              </w:rPr>
            </w:pPr>
            <w:bookmarkStart w:id="80" w:name="e26"/>
            <w:r w:rsidRPr="00B33BB6">
              <w:rPr>
                <w:rFonts w:cs="Arial"/>
                <w:szCs w:val="22"/>
              </w:rPr>
              <w:t>(26)</w:t>
            </w:r>
            <w:bookmarkEnd w:id="80"/>
          </w:p>
        </w:tc>
      </w:tr>
    </w:tbl>
    <w:p w14:paraId="6DC7F71B" w14:textId="77777777" w:rsidR="00E95A8F" w:rsidRPr="00B33BB6" w:rsidRDefault="00E95A8F" w:rsidP="00B54A98">
      <w:pPr>
        <w:ind w:left="709"/>
        <w:rPr>
          <w:rFonts w:eastAsia="Montserrat" w:cs="Arial"/>
          <w:szCs w:val="22"/>
        </w:rPr>
      </w:pPr>
      <w:r w:rsidRPr="00B33BB6">
        <w:rPr>
          <w:rFonts w:eastAsia="Montserrat" w:cs="Arial"/>
          <w:szCs w:val="22"/>
        </w:rPr>
        <w:t>Where:</w:t>
      </w:r>
    </w:p>
    <w:p w14:paraId="2B5FA765" w14:textId="77777777" w:rsidR="00E95A8F" w:rsidRPr="00B33BB6" w:rsidRDefault="00E95A8F" w:rsidP="00E95A8F">
      <w:pPr>
        <w:rPr>
          <w:rFonts w:eastAsia="Montserrat" w:cs="Arial"/>
          <w:szCs w:val="22"/>
        </w:rPr>
      </w:pPr>
    </w:p>
    <w:tbl>
      <w:tblPr>
        <w:tblStyle w:val="TableGrid"/>
        <w:tblW w:w="9209" w:type="dxa"/>
        <w:tblInd w:w="596" w:type="dxa"/>
        <w:tblLook w:val="04A0" w:firstRow="1" w:lastRow="0" w:firstColumn="1" w:lastColumn="0" w:noHBand="0" w:noVBand="1"/>
      </w:tblPr>
      <w:tblGrid>
        <w:gridCol w:w="1554"/>
        <w:gridCol w:w="5812"/>
        <w:gridCol w:w="1843"/>
      </w:tblGrid>
      <w:tr w:rsidR="00E95A8F" w:rsidRPr="00B33BB6" w14:paraId="52A147A2" w14:textId="77777777" w:rsidTr="00B54A98">
        <w:tc>
          <w:tcPr>
            <w:tcW w:w="1554" w:type="dxa"/>
          </w:tcPr>
          <w:p w14:paraId="0FA5866A" w14:textId="77777777" w:rsidR="00E95A8F" w:rsidRPr="00B33BB6" w:rsidRDefault="00E95A8F">
            <w:pPr>
              <w:rPr>
                <w:rFonts w:eastAsia="Montserrat" w:cs="Arial"/>
                <w:b/>
                <w:bCs/>
                <w:szCs w:val="22"/>
              </w:rPr>
            </w:pPr>
            <w:r w:rsidRPr="00B33BB6">
              <w:rPr>
                <w:rFonts w:eastAsia="Montserrat" w:cs="Arial"/>
                <w:b/>
                <w:bCs/>
                <w:szCs w:val="22"/>
              </w:rPr>
              <w:t>Parameter</w:t>
            </w:r>
          </w:p>
        </w:tc>
        <w:tc>
          <w:tcPr>
            <w:tcW w:w="5812" w:type="dxa"/>
          </w:tcPr>
          <w:p w14:paraId="5C22573D" w14:textId="77777777" w:rsidR="00E95A8F" w:rsidRPr="00B33BB6" w:rsidRDefault="00E95A8F">
            <w:pPr>
              <w:rPr>
                <w:rFonts w:eastAsia="Montserrat" w:cs="Arial"/>
                <w:b/>
                <w:bCs/>
                <w:szCs w:val="22"/>
              </w:rPr>
            </w:pPr>
            <w:r w:rsidRPr="00B33BB6">
              <w:rPr>
                <w:rFonts w:eastAsia="Montserrat" w:cs="Arial"/>
                <w:b/>
                <w:bCs/>
                <w:szCs w:val="22"/>
              </w:rPr>
              <w:t>Description</w:t>
            </w:r>
          </w:p>
        </w:tc>
        <w:tc>
          <w:tcPr>
            <w:tcW w:w="1843" w:type="dxa"/>
          </w:tcPr>
          <w:p w14:paraId="2C79AAFC" w14:textId="77777777" w:rsidR="00E95A8F" w:rsidRPr="00B33BB6" w:rsidRDefault="00E95A8F">
            <w:pPr>
              <w:rPr>
                <w:rFonts w:eastAsia="Montserrat" w:cs="Arial"/>
                <w:b/>
                <w:bCs/>
                <w:szCs w:val="22"/>
              </w:rPr>
            </w:pPr>
            <w:r w:rsidRPr="00B33BB6">
              <w:rPr>
                <w:rFonts w:eastAsia="Montserrat" w:cs="Arial"/>
                <w:b/>
                <w:bCs/>
                <w:szCs w:val="22"/>
              </w:rPr>
              <w:t>Unit</w:t>
            </w:r>
          </w:p>
        </w:tc>
      </w:tr>
      <w:tr w:rsidR="00E95A8F" w:rsidRPr="00B33BB6" w14:paraId="3429538D" w14:textId="77777777" w:rsidTr="00B54A98">
        <w:tc>
          <w:tcPr>
            <w:tcW w:w="1554" w:type="dxa"/>
          </w:tcPr>
          <w:p w14:paraId="1045F3A3" w14:textId="77777777" w:rsidR="00E95A8F" w:rsidRPr="00B33BB6" w:rsidRDefault="00000000">
            <w:pPr>
              <w:rPr>
                <w:rFonts w:eastAsia="Montserrat" w:cs="Arial"/>
                <w:b/>
                <w:bCs/>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HE</m:t>
                    </m:r>
                  </m:e>
                  <m:sub>
                    <m:r>
                      <w:rPr>
                        <w:rFonts w:ascii="Cambria Math" w:eastAsia="Cambria Math" w:hAnsi="Cambria Math" w:cs="Arial"/>
                        <w:szCs w:val="22"/>
                      </w:rPr>
                      <m:t>ind</m:t>
                    </m:r>
                  </m:sub>
                </m:sSub>
              </m:oMath>
            </m:oMathPara>
          </w:p>
        </w:tc>
        <w:tc>
          <w:tcPr>
            <w:tcW w:w="5812" w:type="dxa"/>
          </w:tcPr>
          <w:p w14:paraId="66A06943" w14:textId="77777777" w:rsidR="00E95A8F" w:rsidRPr="00B33BB6" w:rsidRDefault="00E95A8F">
            <w:pPr>
              <w:rPr>
                <w:rFonts w:eastAsia="Montserrat" w:cs="Arial"/>
                <w:b/>
                <w:bCs/>
                <w:szCs w:val="22"/>
              </w:rPr>
            </w:pPr>
            <w:r w:rsidRPr="00B33BB6">
              <w:rPr>
                <w:rFonts w:eastAsia="Montserrat" w:cs="Arial"/>
                <w:szCs w:val="22"/>
              </w:rPr>
              <w:t>Adjustment to calculated emission reductions for the Hawthorne Effect</w:t>
            </w:r>
          </w:p>
        </w:tc>
        <w:tc>
          <w:tcPr>
            <w:tcW w:w="1843" w:type="dxa"/>
          </w:tcPr>
          <w:p w14:paraId="32F32042" w14:textId="77777777" w:rsidR="00E95A8F" w:rsidRPr="00B33BB6" w:rsidRDefault="00E95A8F">
            <w:pPr>
              <w:rPr>
                <w:rFonts w:eastAsia="Montserrat" w:cs="Arial"/>
                <w:szCs w:val="22"/>
              </w:rPr>
            </w:pPr>
            <w:r w:rsidRPr="00B33BB6">
              <w:rPr>
                <w:rFonts w:eastAsia="Montserrat" w:cs="Arial"/>
                <w:szCs w:val="22"/>
              </w:rPr>
              <w:t>%</w:t>
            </w:r>
          </w:p>
        </w:tc>
      </w:tr>
      <w:tr w:rsidR="00E95A8F" w:rsidRPr="00B33BB6" w14:paraId="0965BBC7" w14:textId="77777777" w:rsidTr="00B54A98">
        <w:tc>
          <w:tcPr>
            <w:tcW w:w="1554" w:type="dxa"/>
          </w:tcPr>
          <w:p w14:paraId="30771E51"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PTC</m:t>
                    </m:r>
                  </m:e>
                  <m:sub>
                    <m:r>
                      <w:rPr>
                        <w:rFonts w:ascii="Cambria Math" w:eastAsia="Cambria Math" w:hAnsi="Cambria Math" w:cs="Arial"/>
                        <w:szCs w:val="22"/>
                      </w:rPr>
                      <m:t>m</m:t>
                    </m:r>
                  </m:sub>
                </m:sSub>
              </m:oMath>
            </m:oMathPara>
          </w:p>
        </w:tc>
        <w:tc>
          <w:tcPr>
            <w:tcW w:w="5812" w:type="dxa"/>
          </w:tcPr>
          <w:p w14:paraId="64D2D7F3" w14:textId="77777777" w:rsidR="00E95A8F" w:rsidRPr="00B33BB6" w:rsidRDefault="00E95A8F">
            <w:pPr>
              <w:rPr>
                <w:rFonts w:eastAsia="Montserrat" w:cs="Arial"/>
                <w:szCs w:val="22"/>
              </w:rPr>
            </w:pPr>
            <w:r w:rsidRPr="00B33BB6">
              <w:rPr>
                <w:rFonts w:eastAsia="Montserrat" w:cs="Arial"/>
                <w:szCs w:val="22"/>
              </w:rPr>
              <w:t xml:space="preserve">Average project technology cooking events per </w:t>
            </w:r>
            <w:proofErr w:type="gramStart"/>
            <w:r w:rsidRPr="00B33BB6">
              <w:rPr>
                <w:rFonts w:eastAsia="Montserrat" w:cs="Arial"/>
                <w:szCs w:val="22"/>
              </w:rPr>
              <w:t>day</w:t>
            </w:r>
            <w:proofErr w:type="gramEnd"/>
            <w:r w:rsidRPr="00B33BB6">
              <w:rPr>
                <w:rFonts w:eastAsia="Montserrat" w:cs="Arial"/>
                <w:szCs w:val="22"/>
              </w:rPr>
              <w:t xml:space="preserve"> over 1 month from SUMs measurements</w:t>
            </w:r>
          </w:p>
        </w:tc>
        <w:tc>
          <w:tcPr>
            <w:tcW w:w="1843" w:type="dxa"/>
          </w:tcPr>
          <w:p w14:paraId="07B36CE8" w14:textId="77777777" w:rsidR="00E95A8F" w:rsidRPr="00B33BB6" w:rsidRDefault="00E95A8F">
            <w:pPr>
              <w:rPr>
                <w:rFonts w:eastAsia="Montserrat" w:cs="Arial"/>
                <w:szCs w:val="22"/>
              </w:rPr>
            </w:pPr>
            <w:r w:rsidRPr="00B33BB6">
              <w:rPr>
                <w:rFonts w:eastAsia="Montserrat" w:cs="Arial"/>
                <w:szCs w:val="22"/>
              </w:rPr>
              <w:t>Number</w:t>
            </w:r>
          </w:p>
        </w:tc>
      </w:tr>
      <w:tr w:rsidR="00E95A8F" w:rsidRPr="00B33BB6" w14:paraId="06292291" w14:textId="77777777" w:rsidTr="00B54A98">
        <w:tc>
          <w:tcPr>
            <w:tcW w:w="1554" w:type="dxa"/>
          </w:tcPr>
          <w:p w14:paraId="1EE17D50" w14:textId="77777777" w:rsidR="00E95A8F"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PTC</m:t>
                    </m:r>
                  </m:e>
                  <m:sub>
                    <m:r>
                      <w:rPr>
                        <w:rFonts w:ascii="Cambria Math" w:eastAsia="Cambria Math" w:hAnsi="Cambria Math" w:cs="Arial"/>
                        <w:szCs w:val="22"/>
                      </w:rPr>
                      <m:t>KPT</m:t>
                    </m:r>
                  </m:sub>
                </m:sSub>
              </m:oMath>
            </m:oMathPara>
          </w:p>
        </w:tc>
        <w:tc>
          <w:tcPr>
            <w:tcW w:w="5812" w:type="dxa"/>
          </w:tcPr>
          <w:p w14:paraId="4B912C7F" w14:textId="77777777" w:rsidR="00E95A8F" w:rsidRPr="00B33BB6" w:rsidRDefault="00E95A8F">
            <w:pPr>
              <w:rPr>
                <w:rFonts w:eastAsia="Montserrat" w:cs="Arial"/>
                <w:szCs w:val="22"/>
              </w:rPr>
            </w:pPr>
            <w:r w:rsidRPr="00B33BB6">
              <w:rPr>
                <w:rFonts w:eastAsia="Montserrat" w:cs="Arial"/>
                <w:szCs w:val="22"/>
              </w:rPr>
              <w:t>Average project technology cooking events per day over the project KPT from SUMs measurements</w:t>
            </w:r>
          </w:p>
        </w:tc>
        <w:tc>
          <w:tcPr>
            <w:tcW w:w="1843" w:type="dxa"/>
          </w:tcPr>
          <w:p w14:paraId="1B64D416" w14:textId="77777777" w:rsidR="00E95A8F" w:rsidRPr="00B33BB6" w:rsidRDefault="00E95A8F">
            <w:pPr>
              <w:rPr>
                <w:rFonts w:eastAsia="Montserrat" w:cs="Arial"/>
                <w:szCs w:val="22"/>
              </w:rPr>
            </w:pPr>
            <w:r w:rsidRPr="00B33BB6">
              <w:rPr>
                <w:rFonts w:eastAsia="Montserrat" w:cs="Arial"/>
                <w:szCs w:val="22"/>
              </w:rPr>
              <w:t>Number</w:t>
            </w:r>
          </w:p>
        </w:tc>
      </w:tr>
    </w:tbl>
    <w:p w14:paraId="1D4A313B" w14:textId="77777777" w:rsidR="00EA40F1" w:rsidRDefault="00EA40F1" w:rsidP="00EA40F1">
      <w:pPr>
        <w:pStyle w:val="SDMPara"/>
        <w:numPr>
          <w:ilvl w:val="0"/>
          <w:numId w:val="0"/>
        </w:numPr>
      </w:pPr>
    </w:p>
    <w:p w14:paraId="46FA209F" w14:textId="3F0B0241" w:rsidR="00730D1F" w:rsidRDefault="00730D1F" w:rsidP="00620061">
      <w:pPr>
        <w:pStyle w:val="SDMHead1"/>
        <w:numPr>
          <w:ilvl w:val="0"/>
          <w:numId w:val="18"/>
        </w:numPr>
      </w:pPr>
      <w:r>
        <w:t>Leakage</w:t>
      </w:r>
    </w:p>
    <w:p w14:paraId="54476BB2" w14:textId="5DA1390D" w:rsidR="008300A6" w:rsidRDefault="008300A6" w:rsidP="005141E4">
      <w:pPr>
        <w:pStyle w:val="SDMHead2"/>
      </w:pPr>
      <w:r>
        <w:t>Identification of leakage emission sources</w:t>
      </w:r>
    </w:p>
    <w:p w14:paraId="188F0A0F" w14:textId="77777777" w:rsidR="00B54A98" w:rsidRDefault="00B54A98" w:rsidP="003A51F5">
      <w:pPr>
        <w:ind w:right="150"/>
        <w:rPr>
          <w:rFonts w:cs="Arial"/>
          <w:color w:val="000000" w:themeColor="text1"/>
          <w:szCs w:val="22"/>
        </w:rPr>
      </w:pPr>
    </w:p>
    <w:p w14:paraId="63DF90D8" w14:textId="4E594813" w:rsidR="003A51F5" w:rsidRPr="00B54A98" w:rsidRDefault="003F7547" w:rsidP="003A51F5">
      <w:pPr>
        <w:pStyle w:val="SDMPara"/>
        <w:ind w:right="150"/>
        <w:rPr>
          <w:color w:val="000000" w:themeColor="text1"/>
        </w:rPr>
      </w:pPr>
      <w:r w:rsidRPr="00B54A98">
        <w:rPr>
          <w:color w:val="000000" w:themeColor="text1"/>
        </w:rPr>
        <w:t>The table below presents the potential sources of leakage for cooking energy projects.</w:t>
      </w:r>
      <w:r w:rsidR="00B54A98">
        <w:rPr>
          <w:color w:val="000000" w:themeColor="text1"/>
        </w:rPr>
        <w:t xml:space="preserve"> </w:t>
      </w:r>
      <w:r w:rsidR="003A51F5" w:rsidRPr="00B54A98">
        <w:t xml:space="preserve">Project proponents shall either apply a default adjustment factor of 2% to the emission </w:t>
      </w:r>
      <w:r w:rsidR="003A51F5" w:rsidRPr="00B54A98">
        <w:lastRenderedPageBreak/>
        <w:t>reductions to approximate leakage emissions or identify all leakage sources relevant to their project and take the necessary prescribed steps to address it.</w:t>
      </w:r>
    </w:p>
    <w:p w14:paraId="34C87F3A" w14:textId="12C4A289" w:rsidR="00D43055" w:rsidRDefault="00D43055" w:rsidP="003F7547">
      <w:pPr>
        <w:pStyle w:val="SDMPara"/>
        <w:numPr>
          <w:ilvl w:val="0"/>
          <w:numId w:val="0"/>
        </w:numPr>
      </w:pPr>
    </w:p>
    <w:tbl>
      <w:tblPr>
        <w:tblStyle w:val="TableGrid"/>
        <w:tblW w:w="9630" w:type="dxa"/>
        <w:tblLayout w:type="fixed"/>
        <w:tblLook w:val="04A0" w:firstRow="1" w:lastRow="0" w:firstColumn="1" w:lastColumn="0" w:noHBand="0" w:noVBand="1"/>
      </w:tblPr>
      <w:tblGrid>
        <w:gridCol w:w="1463"/>
        <w:gridCol w:w="1748"/>
        <w:gridCol w:w="1181"/>
        <w:gridCol w:w="1268"/>
        <w:gridCol w:w="2507"/>
        <w:gridCol w:w="1463"/>
      </w:tblGrid>
      <w:tr w:rsidR="00AD115B" w:rsidRPr="00A21546" w14:paraId="2C996234" w14:textId="77777777" w:rsidTr="002B4BBF">
        <w:trPr>
          <w:trHeight w:val="300"/>
        </w:trPr>
        <w:tc>
          <w:tcPr>
            <w:tcW w:w="9630" w:type="dxa"/>
            <w:gridSpan w:val="6"/>
            <w:tcBorders>
              <w:top w:val="single" w:sz="8" w:space="0" w:color="auto"/>
              <w:left w:val="single" w:sz="8" w:space="0" w:color="auto"/>
              <w:bottom w:val="single" w:sz="8" w:space="0" w:color="auto"/>
              <w:right w:val="single" w:sz="8" w:space="0" w:color="auto"/>
            </w:tcBorders>
            <w:tcMar>
              <w:left w:w="108" w:type="dxa"/>
              <w:right w:w="108" w:type="dxa"/>
            </w:tcMar>
          </w:tcPr>
          <w:p w14:paraId="755DDAA2" w14:textId="77777777" w:rsidR="008A6EE6" w:rsidRPr="00A21546" w:rsidRDefault="008A6EE6">
            <w:pPr>
              <w:spacing w:before="240" w:after="240"/>
              <w:ind w:right="150"/>
              <w:jc w:val="center"/>
              <w:rPr>
                <w:rFonts w:cs="Arial"/>
                <w:b/>
                <w:color w:val="000000" w:themeColor="text1"/>
                <w:sz w:val="20"/>
              </w:rPr>
            </w:pPr>
            <w:r w:rsidRPr="00A21546">
              <w:rPr>
                <w:rFonts w:cs="Arial"/>
                <w:b/>
                <w:color w:val="000000" w:themeColor="text1"/>
                <w:sz w:val="20"/>
              </w:rPr>
              <w:t>Potential sources of leakage and associated action(s) required</w:t>
            </w:r>
          </w:p>
        </w:tc>
      </w:tr>
      <w:tr w:rsidR="00AD115B" w:rsidRPr="00A21546" w14:paraId="36356802" w14:textId="77777777" w:rsidTr="002B4BBF">
        <w:trPr>
          <w:trHeight w:val="300"/>
        </w:trPr>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13592735" w14:textId="77777777" w:rsidR="008A6EE6" w:rsidRPr="00A21546" w:rsidRDefault="008A6EE6">
            <w:pPr>
              <w:spacing w:before="240" w:after="240"/>
              <w:ind w:right="150"/>
              <w:rPr>
                <w:rFonts w:cs="Arial"/>
                <w:b/>
                <w:color w:val="000000" w:themeColor="text1"/>
                <w:sz w:val="20"/>
              </w:rPr>
            </w:pPr>
            <w:r w:rsidRPr="00A21546">
              <w:rPr>
                <w:rFonts w:cs="Arial"/>
                <w:b/>
                <w:color w:val="000000" w:themeColor="text1"/>
                <w:sz w:val="20"/>
              </w:rPr>
              <w:t>Source</w:t>
            </w:r>
          </w:p>
        </w:tc>
        <w:tc>
          <w:tcPr>
            <w:tcW w:w="1748" w:type="dxa"/>
            <w:tcBorders>
              <w:top w:val="single" w:sz="8" w:space="0" w:color="auto"/>
              <w:left w:val="single" w:sz="8" w:space="0" w:color="auto"/>
              <w:bottom w:val="single" w:sz="8" w:space="0" w:color="auto"/>
              <w:right w:val="single" w:sz="8" w:space="0" w:color="auto"/>
            </w:tcBorders>
            <w:tcMar>
              <w:left w:w="108" w:type="dxa"/>
              <w:right w:w="108" w:type="dxa"/>
            </w:tcMar>
          </w:tcPr>
          <w:p w14:paraId="5E41C636" w14:textId="77777777" w:rsidR="008A6EE6" w:rsidRPr="00A21546" w:rsidRDefault="008A6EE6">
            <w:pPr>
              <w:spacing w:before="240" w:after="240"/>
              <w:ind w:right="150"/>
              <w:rPr>
                <w:rFonts w:cs="Arial"/>
                <w:b/>
                <w:color w:val="000000" w:themeColor="text1"/>
                <w:sz w:val="20"/>
              </w:rPr>
            </w:pPr>
            <w:r w:rsidRPr="00A21546">
              <w:rPr>
                <w:rFonts w:cs="Arial"/>
                <w:b/>
                <w:color w:val="000000" w:themeColor="text1"/>
                <w:sz w:val="20"/>
              </w:rPr>
              <w:t>Scenario description</w:t>
            </w:r>
          </w:p>
        </w:tc>
        <w:tc>
          <w:tcPr>
            <w:tcW w:w="1181" w:type="dxa"/>
            <w:tcBorders>
              <w:top w:val="single" w:sz="8" w:space="0" w:color="auto"/>
              <w:left w:val="single" w:sz="8" w:space="0" w:color="auto"/>
              <w:bottom w:val="single" w:sz="8" w:space="0" w:color="auto"/>
              <w:right w:val="single" w:sz="8" w:space="0" w:color="auto"/>
            </w:tcBorders>
            <w:tcMar>
              <w:left w:w="108" w:type="dxa"/>
              <w:right w:w="108" w:type="dxa"/>
            </w:tcMar>
          </w:tcPr>
          <w:p w14:paraId="1C5DFB08" w14:textId="77777777" w:rsidR="008A6EE6" w:rsidRPr="00A21546" w:rsidRDefault="008A6EE6">
            <w:pPr>
              <w:spacing w:before="240" w:after="240"/>
              <w:ind w:right="150"/>
              <w:rPr>
                <w:rFonts w:cs="Arial"/>
                <w:b/>
                <w:color w:val="000000" w:themeColor="text1"/>
                <w:sz w:val="20"/>
              </w:rPr>
            </w:pPr>
            <w:r w:rsidRPr="00A21546">
              <w:rPr>
                <w:rFonts w:cs="Arial"/>
                <w:b/>
                <w:color w:val="000000" w:themeColor="text1"/>
                <w:sz w:val="20"/>
              </w:rPr>
              <w:t>Impact on ERs</w:t>
            </w:r>
          </w:p>
        </w:tc>
        <w:tc>
          <w:tcPr>
            <w:tcW w:w="1268" w:type="dxa"/>
            <w:tcBorders>
              <w:top w:val="single" w:sz="8" w:space="0" w:color="auto"/>
              <w:left w:val="single" w:sz="8" w:space="0" w:color="auto"/>
              <w:bottom w:val="single" w:sz="8" w:space="0" w:color="auto"/>
              <w:right w:val="single" w:sz="8" w:space="0" w:color="auto"/>
            </w:tcBorders>
            <w:tcMar>
              <w:left w:w="108" w:type="dxa"/>
              <w:right w:w="108" w:type="dxa"/>
            </w:tcMar>
          </w:tcPr>
          <w:p w14:paraId="5C742D95" w14:textId="77777777" w:rsidR="008A6EE6" w:rsidRPr="00A21546" w:rsidRDefault="008A6EE6">
            <w:pPr>
              <w:spacing w:before="240" w:after="240"/>
              <w:ind w:right="150"/>
              <w:rPr>
                <w:rFonts w:cs="Arial"/>
                <w:b/>
                <w:color w:val="000000" w:themeColor="text1"/>
                <w:sz w:val="20"/>
              </w:rPr>
            </w:pPr>
            <w:r w:rsidRPr="00A21546">
              <w:rPr>
                <w:rFonts w:cs="Arial"/>
                <w:b/>
                <w:color w:val="000000" w:themeColor="text1"/>
                <w:sz w:val="20"/>
              </w:rPr>
              <w:t>Evidence base</w:t>
            </w:r>
          </w:p>
        </w:tc>
        <w:tc>
          <w:tcPr>
            <w:tcW w:w="2507" w:type="dxa"/>
            <w:tcBorders>
              <w:top w:val="single" w:sz="8" w:space="0" w:color="auto"/>
              <w:left w:val="single" w:sz="8" w:space="0" w:color="auto"/>
              <w:bottom w:val="single" w:sz="8" w:space="0" w:color="auto"/>
              <w:right w:val="single" w:sz="8" w:space="0" w:color="auto"/>
            </w:tcBorders>
            <w:tcMar>
              <w:left w:w="108" w:type="dxa"/>
              <w:right w:w="108" w:type="dxa"/>
            </w:tcMar>
          </w:tcPr>
          <w:p w14:paraId="70059880" w14:textId="77777777" w:rsidR="008A6EE6" w:rsidRPr="00A21546" w:rsidRDefault="008A6EE6">
            <w:pPr>
              <w:spacing w:before="240" w:after="240"/>
              <w:ind w:right="150"/>
              <w:rPr>
                <w:rFonts w:cs="Arial"/>
                <w:b/>
                <w:color w:val="000000" w:themeColor="text1"/>
                <w:sz w:val="20"/>
              </w:rPr>
            </w:pPr>
            <w:r w:rsidRPr="00A21546">
              <w:rPr>
                <w:rFonts w:cs="Arial"/>
                <w:b/>
                <w:color w:val="000000" w:themeColor="text1"/>
                <w:sz w:val="20"/>
              </w:rPr>
              <w:t>Notes</w:t>
            </w:r>
          </w:p>
        </w:tc>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21B84B81" w14:textId="77777777" w:rsidR="008A6EE6" w:rsidRPr="00A21546" w:rsidRDefault="008A6EE6">
            <w:pPr>
              <w:spacing w:before="240" w:after="240"/>
              <w:ind w:right="150"/>
              <w:rPr>
                <w:rFonts w:cs="Arial"/>
                <w:b/>
                <w:color w:val="000000" w:themeColor="text1"/>
                <w:sz w:val="20"/>
              </w:rPr>
            </w:pPr>
            <w:r w:rsidRPr="00A21546">
              <w:rPr>
                <w:rFonts w:cs="Arial"/>
                <w:b/>
                <w:color w:val="000000" w:themeColor="text1"/>
                <w:sz w:val="20"/>
              </w:rPr>
              <w:t>Required action</w:t>
            </w:r>
          </w:p>
        </w:tc>
      </w:tr>
      <w:tr w:rsidR="00AD115B" w:rsidRPr="00A21546" w14:paraId="2E856304" w14:textId="77777777" w:rsidTr="002B4BBF">
        <w:trPr>
          <w:trHeight w:val="300"/>
        </w:trPr>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39E3EDE4"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Baseline equipment transfer</w:t>
            </w:r>
          </w:p>
        </w:tc>
        <w:tc>
          <w:tcPr>
            <w:tcW w:w="1748" w:type="dxa"/>
            <w:tcBorders>
              <w:top w:val="single" w:sz="8" w:space="0" w:color="auto"/>
              <w:left w:val="single" w:sz="8" w:space="0" w:color="auto"/>
              <w:bottom w:val="single" w:sz="8" w:space="0" w:color="auto"/>
              <w:right w:val="single" w:sz="8" w:space="0" w:color="auto"/>
            </w:tcBorders>
            <w:tcMar>
              <w:left w:w="108" w:type="dxa"/>
              <w:right w:w="108" w:type="dxa"/>
            </w:tcMar>
          </w:tcPr>
          <w:p w14:paraId="782A2382"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When a household primarily reliant on fuelwood or charcoal at baseline receives a more efficient biomass cookstove, they may sell or gift their baseline cookstove to a household outside the project boundary.</w:t>
            </w:r>
          </w:p>
        </w:tc>
        <w:tc>
          <w:tcPr>
            <w:tcW w:w="1181" w:type="dxa"/>
            <w:tcBorders>
              <w:top w:val="single" w:sz="8" w:space="0" w:color="auto"/>
              <w:left w:val="single" w:sz="8" w:space="0" w:color="auto"/>
              <w:bottom w:val="single" w:sz="8" w:space="0" w:color="auto"/>
              <w:right w:val="single" w:sz="8" w:space="0" w:color="auto"/>
            </w:tcBorders>
            <w:tcMar>
              <w:left w:w="108" w:type="dxa"/>
              <w:right w:w="108" w:type="dxa"/>
            </w:tcMar>
          </w:tcPr>
          <w:p w14:paraId="03A130B6"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None</w:t>
            </w:r>
          </w:p>
        </w:tc>
        <w:tc>
          <w:tcPr>
            <w:tcW w:w="1268" w:type="dxa"/>
            <w:tcBorders>
              <w:top w:val="single" w:sz="8" w:space="0" w:color="auto"/>
              <w:left w:val="single" w:sz="8" w:space="0" w:color="auto"/>
              <w:bottom w:val="single" w:sz="8" w:space="0" w:color="auto"/>
              <w:right w:val="single" w:sz="8" w:space="0" w:color="auto"/>
            </w:tcBorders>
            <w:tcMar>
              <w:left w:w="108" w:type="dxa"/>
              <w:right w:w="108" w:type="dxa"/>
            </w:tcMar>
          </w:tcPr>
          <w:p w14:paraId="59D65A9B"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Sector expertise</w:t>
            </w:r>
          </w:p>
        </w:tc>
        <w:tc>
          <w:tcPr>
            <w:tcW w:w="2507" w:type="dxa"/>
            <w:tcBorders>
              <w:top w:val="single" w:sz="8" w:space="0" w:color="auto"/>
              <w:left w:val="single" w:sz="8" w:space="0" w:color="auto"/>
              <w:bottom w:val="single" w:sz="8" w:space="0" w:color="auto"/>
              <w:right w:val="single" w:sz="8" w:space="0" w:color="auto"/>
            </w:tcBorders>
            <w:tcMar>
              <w:left w:w="108" w:type="dxa"/>
              <w:right w:w="108" w:type="dxa"/>
            </w:tcMar>
          </w:tcPr>
          <w:p w14:paraId="0F5ED7C2"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 xml:space="preserve">In the LMIC context, projects promoting more efficient biomass cookstoves are almost always replacing three stone fires or very rudimentary traditional cookstoves. As these types of cookstoves are ubiquitous, there is no incentive to move them to a household outside the project boundary. </w:t>
            </w:r>
          </w:p>
        </w:tc>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4487F316"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No leakage adjustment needed</w:t>
            </w:r>
          </w:p>
        </w:tc>
      </w:tr>
      <w:tr w:rsidR="00AD115B" w:rsidRPr="00A21546" w14:paraId="75F258F3" w14:textId="77777777" w:rsidTr="002B4BBF">
        <w:trPr>
          <w:trHeight w:val="300"/>
        </w:trPr>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4E3469FE"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Baseline equipment transfer</w:t>
            </w:r>
          </w:p>
        </w:tc>
        <w:tc>
          <w:tcPr>
            <w:tcW w:w="1748" w:type="dxa"/>
            <w:tcBorders>
              <w:top w:val="single" w:sz="8" w:space="0" w:color="auto"/>
              <w:left w:val="single" w:sz="8" w:space="0" w:color="auto"/>
              <w:bottom w:val="single" w:sz="8" w:space="0" w:color="auto"/>
              <w:right w:val="single" w:sz="8" w:space="0" w:color="auto"/>
            </w:tcBorders>
            <w:tcMar>
              <w:left w:w="108" w:type="dxa"/>
              <w:right w:w="108" w:type="dxa"/>
            </w:tcMar>
          </w:tcPr>
          <w:p w14:paraId="4BD3116F"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When a household using an efficient biomass cookstove at baseline benefits from a fuel-switch program, they may sell or gift their existing biomass cookstove to a household outside the project boundary.</w:t>
            </w:r>
          </w:p>
        </w:tc>
        <w:tc>
          <w:tcPr>
            <w:tcW w:w="1181" w:type="dxa"/>
            <w:tcBorders>
              <w:top w:val="single" w:sz="8" w:space="0" w:color="auto"/>
              <w:left w:val="single" w:sz="8" w:space="0" w:color="auto"/>
              <w:bottom w:val="single" w:sz="8" w:space="0" w:color="auto"/>
              <w:right w:val="single" w:sz="8" w:space="0" w:color="auto"/>
            </w:tcBorders>
            <w:tcMar>
              <w:left w:w="108" w:type="dxa"/>
              <w:right w:w="108" w:type="dxa"/>
            </w:tcMar>
          </w:tcPr>
          <w:p w14:paraId="7B50B932"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Likely positive</w:t>
            </w:r>
          </w:p>
        </w:tc>
        <w:tc>
          <w:tcPr>
            <w:tcW w:w="1268" w:type="dxa"/>
            <w:tcBorders>
              <w:top w:val="single" w:sz="8" w:space="0" w:color="auto"/>
              <w:left w:val="single" w:sz="8" w:space="0" w:color="auto"/>
              <w:bottom w:val="single" w:sz="8" w:space="0" w:color="auto"/>
              <w:right w:val="single" w:sz="8" w:space="0" w:color="auto"/>
            </w:tcBorders>
            <w:tcMar>
              <w:left w:w="108" w:type="dxa"/>
              <w:right w:w="108" w:type="dxa"/>
            </w:tcMar>
          </w:tcPr>
          <w:p w14:paraId="62DDA641"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Sector expertise</w:t>
            </w:r>
          </w:p>
        </w:tc>
        <w:tc>
          <w:tcPr>
            <w:tcW w:w="2507" w:type="dxa"/>
            <w:tcBorders>
              <w:top w:val="single" w:sz="8" w:space="0" w:color="auto"/>
              <w:left w:val="single" w:sz="8" w:space="0" w:color="auto"/>
              <w:bottom w:val="single" w:sz="8" w:space="0" w:color="auto"/>
              <w:right w:val="single" w:sz="8" w:space="0" w:color="auto"/>
            </w:tcBorders>
            <w:tcMar>
              <w:left w:w="108" w:type="dxa"/>
              <w:right w:w="108" w:type="dxa"/>
            </w:tcMar>
          </w:tcPr>
          <w:p w14:paraId="6C3FE573"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 xml:space="preserve">A household with a higher quality improved biomass cookstove that they no longer </w:t>
            </w:r>
            <w:proofErr w:type="gramStart"/>
            <w:r w:rsidRPr="00A21546">
              <w:rPr>
                <w:rFonts w:cs="Arial"/>
                <w:color w:val="000000" w:themeColor="text1"/>
                <w:sz w:val="20"/>
              </w:rPr>
              <w:t>needed</w:t>
            </w:r>
            <w:proofErr w:type="gramEnd"/>
            <w:r w:rsidRPr="00A21546">
              <w:rPr>
                <w:rFonts w:cs="Arial"/>
                <w:color w:val="000000" w:themeColor="text1"/>
                <w:sz w:val="20"/>
              </w:rPr>
              <w:t xml:space="preserve"> might sell or gift it to a household outside the project boundary. Experience suggests the receiving household would only adopt such a cookstove if their baseline cookstove was a three stone fire or low performing biomass cookstove. This would create a positive impact on ERs.</w:t>
            </w:r>
          </w:p>
        </w:tc>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6A5264CF"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No leakage adjustment needed</w:t>
            </w:r>
          </w:p>
        </w:tc>
      </w:tr>
      <w:tr w:rsidR="00AD115B" w:rsidRPr="00A21546" w14:paraId="4A7765E3" w14:textId="77777777" w:rsidTr="002B4BBF">
        <w:trPr>
          <w:trHeight w:val="300"/>
        </w:trPr>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6D4B56DD"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lastRenderedPageBreak/>
              <w:t>Baseline equipment transfer</w:t>
            </w:r>
          </w:p>
        </w:tc>
        <w:tc>
          <w:tcPr>
            <w:tcW w:w="1748" w:type="dxa"/>
            <w:tcBorders>
              <w:top w:val="single" w:sz="8" w:space="0" w:color="auto"/>
              <w:left w:val="single" w:sz="8" w:space="0" w:color="auto"/>
              <w:bottom w:val="single" w:sz="8" w:space="0" w:color="auto"/>
              <w:right w:val="single" w:sz="8" w:space="0" w:color="auto"/>
            </w:tcBorders>
            <w:tcMar>
              <w:left w:w="108" w:type="dxa"/>
              <w:right w:w="108" w:type="dxa"/>
            </w:tcMar>
          </w:tcPr>
          <w:p w14:paraId="7E504E66"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When a household using biogas, ethanol, electricity, or LPG at baseline benefits from a program promoting a different one of these clean fuels, they may sell or gift their existing clean cooking system to a household outside the project boundary.</w:t>
            </w:r>
          </w:p>
        </w:tc>
        <w:tc>
          <w:tcPr>
            <w:tcW w:w="1181" w:type="dxa"/>
            <w:tcBorders>
              <w:top w:val="single" w:sz="8" w:space="0" w:color="auto"/>
              <w:left w:val="single" w:sz="8" w:space="0" w:color="auto"/>
              <w:bottom w:val="single" w:sz="8" w:space="0" w:color="auto"/>
              <w:right w:val="single" w:sz="8" w:space="0" w:color="auto"/>
            </w:tcBorders>
            <w:tcMar>
              <w:left w:w="108" w:type="dxa"/>
              <w:right w:w="108" w:type="dxa"/>
            </w:tcMar>
          </w:tcPr>
          <w:p w14:paraId="69DC9178"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Likely positive</w:t>
            </w:r>
          </w:p>
        </w:tc>
        <w:tc>
          <w:tcPr>
            <w:tcW w:w="1268" w:type="dxa"/>
            <w:tcBorders>
              <w:top w:val="single" w:sz="8" w:space="0" w:color="auto"/>
              <w:left w:val="single" w:sz="8" w:space="0" w:color="auto"/>
              <w:bottom w:val="single" w:sz="8" w:space="0" w:color="auto"/>
              <w:right w:val="single" w:sz="8" w:space="0" w:color="auto"/>
            </w:tcBorders>
            <w:tcMar>
              <w:left w:w="108" w:type="dxa"/>
              <w:right w:w="108" w:type="dxa"/>
            </w:tcMar>
          </w:tcPr>
          <w:p w14:paraId="4DC59085"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Sector expertise</w:t>
            </w:r>
          </w:p>
        </w:tc>
        <w:tc>
          <w:tcPr>
            <w:tcW w:w="2507" w:type="dxa"/>
            <w:tcBorders>
              <w:top w:val="single" w:sz="8" w:space="0" w:color="auto"/>
              <w:left w:val="single" w:sz="8" w:space="0" w:color="auto"/>
              <w:bottom w:val="single" w:sz="8" w:space="0" w:color="auto"/>
              <w:right w:val="single" w:sz="8" w:space="0" w:color="auto"/>
            </w:tcBorders>
            <w:tcMar>
              <w:left w:w="108" w:type="dxa"/>
              <w:right w:w="108" w:type="dxa"/>
            </w:tcMar>
          </w:tcPr>
          <w:p w14:paraId="2F4615AF"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 xml:space="preserve">In the LMIC context where biomass cooking remains such a significant source of climate pollution relative to other cooking fuels, it would be extremely unlikely for a project proponent to propose this activity. It is further very likely that this case would result in a </w:t>
            </w:r>
            <w:proofErr w:type="gramStart"/>
            <w:r w:rsidRPr="00A21546">
              <w:rPr>
                <w:rFonts w:cs="Arial"/>
                <w:color w:val="000000" w:themeColor="text1"/>
                <w:sz w:val="20"/>
              </w:rPr>
              <w:t>positive ER</w:t>
            </w:r>
            <w:proofErr w:type="gramEnd"/>
            <w:r w:rsidRPr="00A21546">
              <w:rPr>
                <w:rFonts w:cs="Arial"/>
                <w:color w:val="000000" w:themeColor="text1"/>
                <w:sz w:val="20"/>
              </w:rPr>
              <w:t xml:space="preserve"> impact, as the relocated cookstove would likely reduce emissions in its new location given the prevalence of biomass across the LMIC context. </w:t>
            </w:r>
          </w:p>
        </w:tc>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2EBAAC79"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No leakage adjustment needed</w:t>
            </w:r>
          </w:p>
        </w:tc>
      </w:tr>
      <w:tr w:rsidR="00AD115B" w:rsidRPr="00A21546" w14:paraId="52128485" w14:textId="77777777" w:rsidTr="002B4BBF">
        <w:trPr>
          <w:trHeight w:val="300"/>
        </w:trPr>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618C9DB0"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Competition for resources</w:t>
            </w:r>
          </w:p>
        </w:tc>
        <w:tc>
          <w:tcPr>
            <w:tcW w:w="1748" w:type="dxa"/>
            <w:tcBorders>
              <w:top w:val="single" w:sz="8" w:space="0" w:color="auto"/>
              <w:left w:val="single" w:sz="8" w:space="0" w:color="auto"/>
              <w:bottom w:val="single" w:sz="8" w:space="0" w:color="auto"/>
              <w:right w:val="single" w:sz="8" w:space="0" w:color="auto"/>
            </w:tcBorders>
            <w:tcMar>
              <w:left w:w="108" w:type="dxa"/>
              <w:right w:w="108" w:type="dxa"/>
            </w:tcMar>
          </w:tcPr>
          <w:p w14:paraId="6A8A5C2D"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 xml:space="preserve">When </w:t>
            </w:r>
            <w:proofErr w:type="spellStart"/>
            <w:r w:rsidRPr="00A21546">
              <w:rPr>
                <w:rFonts w:cs="Arial"/>
                <w:color w:val="000000" w:themeColor="text1"/>
                <w:sz w:val="20"/>
              </w:rPr>
              <w:t>woodfuel</w:t>
            </w:r>
            <w:proofErr w:type="spellEnd"/>
            <w:r w:rsidRPr="00A21546">
              <w:rPr>
                <w:rFonts w:cs="Arial"/>
                <w:color w:val="000000" w:themeColor="text1"/>
                <w:sz w:val="20"/>
              </w:rPr>
              <w:t xml:space="preserve"> use is reduced due to project activity, it may result in a decrease in wood harvesting outside the project boundary. The woody biomass left intact due to the project activity may be harvested by households outside the project boundary to increase their use of biomass for cooking beyond subsistence levels. It may also be harvested by fuel producers or other industrial </w:t>
            </w:r>
            <w:proofErr w:type="gramStart"/>
            <w:r w:rsidRPr="00A21546">
              <w:rPr>
                <w:rFonts w:cs="Arial"/>
                <w:color w:val="000000" w:themeColor="text1"/>
                <w:sz w:val="20"/>
              </w:rPr>
              <w:t>actors</w:t>
            </w:r>
            <w:proofErr w:type="gramEnd"/>
            <w:r w:rsidRPr="00A21546">
              <w:rPr>
                <w:rFonts w:cs="Arial"/>
                <w:color w:val="000000" w:themeColor="text1"/>
                <w:sz w:val="20"/>
              </w:rPr>
              <w:t xml:space="preserve">. </w:t>
            </w:r>
          </w:p>
        </w:tc>
        <w:tc>
          <w:tcPr>
            <w:tcW w:w="1181" w:type="dxa"/>
            <w:tcBorders>
              <w:top w:val="single" w:sz="8" w:space="0" w:color="auto"/>
              <w:left w:val="single" w:sz="8" w:space="0" w:color="auto"/>
              <w:bottom w:val="single" w:sz="8" w:space="0" w:color="auto"/>
              <w:right w:val="single" w:sz="8" w:space="0" w:color="auto"/>
            </w:tcBorders>
            <w:tcMar>
              <w:left w:w="108" w:type="dxa"/>
              <w:right w:w="108" w:type="dxa"/>
            </w:tcMar>
          </w:tcPr>
          <w:p w14:paraId="58FF121F"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Negative</w:t>
            </w:r>
          </w:p>
        </w:tc>
        <w:tc>
          <w:tcPr>
            <w:tcW w:w="1268" w:type="dxa"/>
            <w:tcBorders>
              <w:top w:val="single" w:sz="8" w:space="0" w:color="auto"/>
              <w:left w:val="single" w:sz="8" w:space="0" w:color="auto"/>
              <w:bottom w:val="single" w:sz="8" w:space="0" w:color="auto"/>
              <w:right w:val="single" w:sz="8" w:space="0" w:color="auto"/>
            </w:tcBorders>
            <w:tcMar>
              <w:left w:w="108" w:type="dxa"/>
              <w:right w:w="108" w:type="dxa"/>
            </w:tcMar>
          </w:tcPr>
          <w:p w14:paraId="4C671F0E"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Gill-Wiehl et al., in preparation, 2025</w:t>
            </w:r>
          </w:p>
        </w:tc>
        <w:tc>
          <w:tcPr>
            <w:tcW w:w="2507" w:type="dxa"/>
            <w:tcBorders>
              <w:top w:val="single" w:sz="8" w:space="0" w:color="auto"/>
              <w:left w:val="single" w:sz="8" w:space="0" w:color="auto"/>
              <w:bottom w:val="single" w:sz="8" w:space="0" w:color="auto"/>
              <w:right w:val="single" w:sz="8" w:space="0" w:color="auto"/>
            </w:tcBorders>
            <w:tcMar>
              <w:left w:w="108" w:type="dxa"/>
              <w:right w:w="108" w:type="dxa"/>
            </w:tcMar>
          </w:tcPr>
          <w:p w14:paraId="2B1F363A"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 xml:space="preserve">The existing evidence (which only covers the rural context) suggests that leakage from an increase in household cooking outside the project boundary is less than 1%. Commonly in the LMIC context, the household cooking volume is limited by the availability of food and water as well as access to refrigeration in addition to the availability of fuel. In many cases, it is unnecessarily burdensome to require a project proponent to determine the magnitude of this leakage. It </w:t>
            </w:r>
            <w:proofErr w:type="gramStart"/>
            <w:r w:rsidRPr="00A21546">
              <w:rPr>
                <w:rFonts w:cs="Arial"/>
                <w:color w:val="000000" w:themeColor="text1"/>
                <w:sz w:val="20"/>
              </w:rPr>
              <w:t>maybe</w:t>
            </w:r>
            <w:proofErr w:type="gramEnd"/>
            <w:r w:rsidRPr="00A21546">
              <w:rPr>
                <w:rFonts w:cs="Arial"/>
                <w:color w:val="000000" w:themeColor="text1"/>
                <w:sz w:val="20"/>
              </w:rPr>
              <w:t xml:space="preserve"> measurable if the baseline fuel source is a well-defined area. However, in the urban context, chain of custody data is almost never available for charcoal, which is frequently produced illegally and commonly </w:t>
            </w:r>
            <w:r w:rsidRPr="00A21546">
              <w:rPr>
                <w:rFonts w:cs="Arial"/>
                <w:color w:val="000000" w:themeColor="text1"/>
                <w:sz w:val="20"/>
              </w:rPr>
              <w:lastRenderedPageBreak/>
              <w:t xml:space="preserve">transported further than fuelwood. </w:t>
            </w:r>
          </w:p>
        </w:tc>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67701640"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lastRenderedPageBreak/>
              <w:t xml:space="preserve">Projects reducing biomass use or replacing biomass used in the baseline </w:t>
            </w:r>
            <w:r w:rsidRPr="00A21546" w:rsidDel="00392B68">
              <w:rPr>
                <w:rFonts w:cs="Arial"/>
                <w:color w:val="000000" w:themeColor="text1"/>
                <w:sz w:val="20"/>
              </w:rPr>
              <w:t xml:space="preserve">shall </w:t>
            </w:r>
            <w:r w:rsidRPr="00A21546">
              <w:rPr>
                <w:rFonts w:cs="Arial"/>
                <w:color w:val="000000" w:themeColor="text1"/>
                <w:sz w:val="20"/>
              </w:rPr>
              <w:t xml:space="preserve">either measure leakage from affected biomass sources where feasible or may opt to apply a 2% discount to the emission reductions. </w:t>
            </w:r>
          </w:p>
        </w:tc>
      </w:tr>
      <w:tr w:rsidR="00AD115B" w:rsidRPr="00A21546" w14:paraId="5BBE934C" w14:textId="77777777" w:rsidTr="002B4BBF">
        <w:trPr>
          <w:trHeight w:val="300"/>
        </w:trPr>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2B72B20B"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Competition for resources</w:t>
            </w:r>
          </w:p>
        </w:tc>
        <w:tc>
          <w:tcPr>
            <w:tcW w:w="1748" w:type="dxa"/>
            <w:tcBorders>
              <w:top w:val="single" w:sz="8" w:space="0" w:color="auto"/>
              <w:left w:val="single" w:sz="8" w:space="0" w:color="auto"/>
              <w:bottom w:val="single" w:sz="8" w:space="0" w:color="auto"/>
              <w:right w:val="single" w:sz="8" w:space="0" w:color="auto"/>
            </w:tcBorders>
            <w:tcMar>
              <w:left w:w="108" w:type="dxa"/>
              <w:right w:w="108" w:type="dxa"/>
            </w:tcMar>
          </w:tcPr>
          <w:p w14:paraId="6A250DA9"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A project produces pellets or briquettes for cooking fuel from agricultural waste, which reduces the natural fertilizer on agricultural land and results in an increase in synthetic fertilizer</w:t>
            </w:r>
          </w:p>
        </w:tc>
        <w:tc>
          <w:tcPr>
            <w:tcW w:w="1181" w:type="dxa"/>
            <w:tcBorders>
              <w:top w:val="single" w:sz="8" w:space="0" w:color="auto"/>
              <w:left w:val="single" w:sz="8" w:space="0" w:color="auto"/>
              <w:bottom w:val="single" w:sz="8" w:space="0" w:color="auto"/>
              <w:right w:val="single" w:sz="8" w:space="0" w:color="auto"/>
            </w:tcBorders>
            <w:tcMar>
              <w:left w:w="108" w:type="dxa"/>
              <w:right w:w="108" w:type="dxa"/>
            </w:tcMar>
          </w:tcPr>
          <w:p w14:paraId="2A89F90B"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Likely negative</w:t>
            </w:r>
          </w:p>
        </w:tc>
        <w:tc>
          <w:tcPr>
            <w:tcW w:w="1268" w:type="dxa"/>
            <w:tcBorders>
              <w:top w:val="single" w:sz="8" w:space="0" w:color="auto"/>
              <w:left w:val="single" w:sz="8" w:space="0" w:color="auto"/>
              <w:bottom w:val="single" w:sz="8" w:space="0" w:color="auto"/>
              <w:right w:val="single" w:sz="8" w:space="0" w:color="auto"/>
            </w:tcBorders>
            <w:tcMar>
              <w:left w:w="108" w:type="dxa"/>
              <w:right w:w="108" w:type="dxa"/>
            </w:tcMar>
          </w:tcPr>
          <w:p w14:paraId="0A23DD03"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Sector expertise</w:t>
            </w:r>
          </w:p>
        </w:tc>
        <w:tc>
          <w:tcPr>
            <w:tcW w:w="2507" w:type="dxa"/>
            <w:tcBorders>
              <w:top w:val="single" w:sz="8" w:space="0" w:color="auto"/>
              <w:left w:val="single" w:sz="8" w:space="0" w:color="auto"/>
              <w:bottom w:val="single" w:sz="8" w:space="0" w:color="auto"/>
              <w:right w:val="single" w:sz="8" w:space="0" w:color="auto"/>
            </w:tcBorders>
            <w:tcMar>
              <w:left w:w="108" w:type="dxa"/>
              <w:right w:w="108" w:type="dxa"/>
            </w:tcMar>
          </w:tcPr>
          <w:p w14:paraId="1CE2708B"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 xml:space="preserve">We have not found any evidence of this situation. For it to occur, the profit gained from selling agricultural waste as fuel feedstock would have to exceed the cost of synthetic fertilizer, which is highly unlikely in the LMIC context. </w:t>
            </w:r>
          </w:p>
        </w:tc>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36043DAB"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No leakage adjustment needed</w:t>
            </w:r>
          </w:p>
        </w:tc>
      </w:tr>
      <w:tr w:rsidR="00AD115B" w:rsidRPr="00A21546" w14:paraId="515D98DC" w14:textId="77777777" w:rsidTr="002B4BBF">
        <w:trPr>
          <w:trHeight w:val="300"/>
        </w:trPr>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3925C412"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Competition for resources</w:t>
            </w:r>
          </w:p>
        </w:tc>
        <w:tc>
          <w:tcPr>
            <w:tcW w:w="1748" w:type="dxa"/>
            <w:tcBorders>
              <w:top w:val="single" w:sz="8" w:space="0" w:color="auto"/>
              <w:left w:val="single" w:sz="8" w:space="0" w:color="auto"/>
              <w:bottom w:val="single" w:sz="8" w:space="0" w:color="auto"/>
              <w:right w:val="single" w:sz="8" w:space="0" w:color="auto"/>
            </w:tcBorders>
            <w:tcMar>
              <w:left w:w="108" w:type="dxa"/>
              <w:right w:w="108" w:type="dxa"/>
            </w:tcMar>
          </w:tcPr>
          <w:p w14:paraId="78DFAADF"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If a project facilitates the electrification of multiple large institutional kitchens in the same community, it could cause the affected utility to adopt load-shedding measures among residential customers cooking with electricity, causing them to substitute more polluting fuels, such as biomass, for cooking.</w:t>
            </w:r>
          </w:p>
        </w:tc>
        <w:tc>
          <w:tcPr>
            <w:tcW w:w="1181" w:type="dxa"/>
            <w:tcBorders>
              <w:top w:val="single" w:sz="8" w:space="0" w:color="auto"/>
              <w:left w:val="single" w:sz="8" w:space="0" w:color="auto"/>
              <w:bottom w:val="single" w:sz="8" w:space="0" w:color="auto"/>
              <w:right w:val="single" w:sz="8" w:space="0" w:color="auto"/>
            </w:tcBorders>
            <w:tcMar>
              <w:left w:w="108" w:type="dxa"/>
              <w:right w:w="108" w:type="dxa"/>
            </w:tcMar>
          </w:tcPr>
          <w:p w14:paraId="37AB2007"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Likely negative</w:t>
            </w:r>
          </w:p>
        </w:tc>
        <w:tc>
          <w:tcPr>
            <w:tcW w:w="1268" w:type="dxa"/>
            <w:tcBorders>
              <w:top w:val="single" w:sz="8" w:space="0" w:color="auto"/>
              <w:left w:val="single" w:sz="8" w:space="0" w:color="auto"/>
              <w:bottom w:val="single" w:sz="8" w:space="0" w:color="auto"/>
              <w:right w:val="single" w:sz="8" w:space="0" w:color="auto"/>
            </w:tcBorders>
            <w:tcMar>
              <w:left w:w="108" w:type="dxa"/>
              <w:right w:w="108" w:type="dxa"/>
            </w:tcMar>
          </w:tcPr>
          <w:p w14:paraId="3AF87F7D" w14:textId="77777777"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Sector expertise</w:t>
            </w:r>
          </w:p>
        </w:tc>
        <w:tc>
          <w:tcPr>
            <w:tcW w:w="2507" w:type="dxa"/>
            <w:tcBorders>
              <w:top w:val="single" w:sz="8" w:space="0" w:color="auto"/>
              <w:left w:val="single" w:sz="8" w:space="0" w:color="auto"/>
              <w:bottom w:val="single" w:sz="8" w:space="0" w:color="auto"/>
              <w:right w:val="single" w:sz="8" w:space="0" w:color="auto"/>
            </w:tcBorders>
            <w:tcMar>
              <w:left w:w="108" w:type="dxa"/>
              <w:right w:w="108" w:type="dxa"/>
            </w:tcMar>
          </w:tcPr>
          <w:p w14:paraId="6A3FBB2B" w14:textId="77777777" w:rsidR="008A6EE6" w:rsidRPr="00A21546" w:rsidRDefault="008A6EE6">
            <w:pPr>
              <w:spacing w:before="240" w:after="240"/>
              <w:ind w:right="150"/>
              <w:rPr>
                <w:rFonts w:cs="Arial"/>
                <w:color w:val="000000" w:themeColor="text1"/>
                <w:sz w:val="20"/>
              </w:rPr>
            </w:pPr>
            <w:r w:rsidRPr="00A21546">
              <w:rPr>
                <w:rFonts w:cs="Arial"/>
                <w:color w:val="000000" w:themeColor="text1"/>
                <w:sz w:val="20"/>
              </w:rPr>
              <w:t xml:space="preserve">For material leakage to occur, a significant portion of households would need to </w:t>
            </w:r>
            <w:proofErr w:type="gramStart"/>
            <w:r w:rsidRPr="00A21546">
              <w:rPr>
                <w:rFonts w:cs="Arial"/>
                <w:color w:val="000000" w:themeColor="text1"/>
                <w:sz w:val="20"/>
              </w:rPr>
              <w:t>already be cooking</w:t>
            </w:r>
            <w:proofErr w:type="gramEnd"/>
            <w:r w:rsidRPr="00A21546">
              <w:rPr>
                <w:rFonts w:cs="Arial"/>
                <w:color w:val="000000" w:themeColor="text1"/>
                <w:sz w:val="20"/>
              </w:rPr>
              <w:t xml:space="preserve"> with electricity. This is not common in the current LMIC context.  </w:t>
            </w:r>
          </w:p>
        </w:tc>
        <w:tc>
          <w:tcPr>
            <w:tcW w:w="1463" w:type="dxa"/>
            <w:tcBorders>
              <w:top w:val="single" w:sz="8" w:space="0" w:color="auto"/>
              <w:left w:val="single" w:sz="8" w:space="0" w:color="auto"/>
              <w:bottom w:val="single" w:sz="8" w:space="0" w:color="auto"/>
              <w:right w:val="single" w:sz="8" w:space="0" w:color="auto"/>
            </w:tcBorders>
            <w:tcMar>
              <w:left w:w="108" w:type="dxa"/>
              <w:right w:w="108" w:type="dxa"/>
            </w:tcMar>
          </w:tcPr>
          <w:p w14:paraId="29FC5BE1" w14:textId="223DB904" w:rsidR="008A6EE6" w:rsidRPr="00A21546" w:rsidRDefault="008A6EE6" w:rsidP="002B4BBF">
            <w:pPr>
              <w:spacing w:before="240" w:after="240"/>
              <w:ind w:right="150"/>
              <w:jc w:val="left"/>
              <w:rPr>
                <w:rFonts w:cs="Arial"/>
                <w:color w:val="000000" w:themeColor="text1"/>
                <w:sz w:val="20"/>
              </w:rPr>
            </w:pPr>
            <w:r w:rsidRPr="00A21546">
              <w:rPr>
                <w:rFonts w:cs="Arial"/>
                <w:color w:val="000000" w:themeColor="text1"/>
                <w:sz w:val="20"/>
              </w:rPr>
              <w:t>No leakage adjustment needed.</w:t>
            </w:r>
          </w:p>
        </w:tc>
      </w:tr>
    </w:tbl>
    <w:p w14:paraId="52D1A327" w14:textId="46FFB281" w:rsidR="00DF570E" w:rsidRDefault="00DF570E" w:rsidP="00A21546">
      <w:pPr>
        <w:pStyle w:val="SDMPara"/>
        <w:numPr>
          <w:ilvl w:val="0"/>
          <w:numId w:val="0"/>
        </w:numPr>
        <w:jc w:val="left"/>
        <w:rPr>
          <w:i/>
          <w:iCs/>
          <w:color w:val="C0504D" w:themeColor="accent2"/>
          <w:sz w:val="20"/>
          <w:szCs w:val="20"/>
        </w:rPr>
      </w:pPr>
      <w:bookmarkStart w:id="81" w:name="_Toc203294067"/>
    </w:p>
    <w:p w14:paraId="5A6FC6A5" w14:textId="77777777" w:rsidR="00DF570E" w:rsidRDefault="00DF570E">
      <w:pPr>
        <w:jc w:val="left"/>
        <w:rPr>
          <w:rFonts w:cs="Arial"/>
          <w:i/>
          <w:iCs/>
          <w:color w:val="C0504D" w:themeColor="accent2"/>
          <w:sz w:val="20"/>
        </w:rPr>
      </w:pPr>
      <w:r>
        <w:rPr>
          <w:i/>
          <w:iCs/>
          <w:color w:val="C0504D" w:themeColor="accent2"/>
          <w:sz w:val="20"/>
        </w:rPr>
        <w:br w:type="page"/>
      </w:r>
    </w:p>
    <w:p w14:paraId="56EC8B5D" w14:textId="34EF8740" w:rsidR="00DA742C" w:rsidRPr="00A62DDB" w:rsidRDefault="00DA742C" w:rsidP="00DA742C">
      <w:pPr>
        <w:pStyle w:val="SDMHead2"/>
      </w:pPr>
      <w:r w:rsidRPr="00A62DDB">
        <w:lastRenderedPageBreak/>
        <w:t>Avoidance or minimization of leakage</w:t>
      </w:r>
      <w:bookmarkEnd w:id="81"/>
    </w:p>
    <w:p w14:paraId="307F65B0" w14:textId="25008E16" w:rsidR="0024649F" w:rsidRDefault="00CC353D" w:rsidP="0024649F">
      <w:pPr>
        <w:pStyle w:val="SDMPara"/>
        <w:rPr>
          <w:color w:val="A6A6A6" w:themeColor="background1" w:themeShade="A6"/>
        </w:rPr>
      </w:pPr>
      <w:r w:rsidRPr="00710CB7">
        <w:rPr>
          <w:color w:val="A6A6A6" w:themeColor="background1" w:themeShade="A6"/>
        </w:rPr>
        <w:t>The CLEAR methodology minimizes leakage by incentivizing higher preforming technologies with continuously tracked fuel consumption.</w:t>
      </w:r>
    </w:p>
    <w:p w14:paraId="4E52B608" w14:textId="540A76E1" w:rsidR="0024649F" w:rsidRDefault="0065074F" w:rsidP="0024649F">
      <w:pPr>
        <w:pStyle w:val="SDMPara"/>
        <w:rPr>
          <w:color w:val="A6A6A6" w:themeColor="background1" w:themeShade="A6"/>
        </w:rPr>
      </w:pPr>
      <w:r w:rsidRPr="0024649F">
        <w:rPr>
          <w:color w:val="A6A6A6" w:themeColor="background1" w:themeShade="A6"/>
        </w:rPr>
        <w:t xml:space="preserve">As </w:t>
      </w:r>
      <w:r w:rsidR="00586D6E" w:rsidRPr="0024649F">
        <w:rPr>
          <w:color w:val="A6A6A6" w:themeColor="background1" w:themeShade="A6"/>
        </w:rPr>
        <w:t>described</w:t>
      </w:r>
      <w:r w:rsidRPr="0024649F">
        <w:rPr>
          <w:color w:val="A6A6A6" w:themeColor="background1" w:themeShade="A6"/>
        </w:rPr>
        <w:t xml:space="preserve"> in 12.1, </w:t>
      </w:r>
      <w:r w:rsidR="00F75255" w:rsidRPr="0024649F">
        <w:rPr>
          <w:color w:val="A6A6A6" w:themeColor="background1" w:themeShade="A6"/>
        </w:rPr>
        <w:t>the identified risks of negative leakage in clean cooking projects are mostly negligible, unlikely to occur, or positive in their impact. Therefore, CLEAR does not prescribe additiona</w:t>
      </w:r>
      <w:r w:rsidR="0035387F" w:rsidRPr="0024649F">
        <w:rPr>
          <w:color w:val="A6A6A6" w:themeColor="background1" w:themeShade="A6"/>
        </w:rPr>
        <w:t>l</w:t>
      </w:r>
      <w:r w:rsidR="00F75255" w:rsidRPr="0024649F">
        <w:rPr>
          <w:color w:val="A6A6A6" w:themeColor="background1" w:themeShade="A6"/>
        </w:rPr>
        <w:t xml:space="preserve"> measures beyond those already required</w:t>
      </w:r>
      <w:r w:rsidR="0035387F" w:rsidRPr="0024649F">
        <w:rPr>
          <w:color w:val="A6A6A6" w:themeColor="background1" w:themeShade="A6"/>
        </w:rPr>
        <w:t>.</w:t>
      </w:r>
    </w:p>
    <w:p w14:paraId="6998E1A2" w14:textId="302E5ACF" w:rsidR="0024649F" w:rsidRDefault="00524D93" w:rsidP="0024649F">
      <w:pPr>
        <w:pStyle w:val="SDMPara"/>
        <w:rPr>
          <w:color w:val="A6A6A6" w:themeColor="background1" w:themeShade="A6"/>
        </w:rPr>
      </w:pPr>
      <w:r w:rsidRPr="0024649F">
        <w:rPr>
          <w:color w:val="A6A6A6" w:themeColor="background1" w:themeShade="A6"/>
        </w:rPr>
        <w:t>Baseline equipment transfer: Where baseline cookstoves are three-stone fires or rudimentary devices, they are ubiquitous and have no transfer value</w:t>
      </w:r>
      <w:r w:rsidR="00255080" w:rsidRPr="0024649F">
        <w:rPr>
          <w:color w:val="A6A6A6" w:themeColor="background1" w:themeShade="A6"/>
        </w:rPr>
        <w:t>, so n</w:t>
      </w:r>
      <w:r w:rsidR="00561A71" w:rsidRPr="0024649F">
        <w:rPr>
          <w:color w:val="A6A6A6" w:themeColor="background1" w:themeShade="A6"/>
        </w:rPr>
        <w:t xml:space="preserve">o </w:t>
      </w:r>
      <w:r w:rsidR="00EA7D1D" w:rsidRPr="0024649F">
        <w:rPr>
          <w:color w:val="A6A6A6" w:themeColor="background1" w:themeShade="A6"/>
        </w:rPr>
        <w:t xml:space="preserve">negative </w:t>
      </w:r>
      <w:r w:rsidR="00561A71" w:rsidRPr="0024649F">
        <w:rPr>
          <w:color w:val="A6A6A6" w:themeColor="background1" w:themeShade="A6"/>
        </w:rPr>
        <w:t>leakage is expected</w:t>
      </w:r>
      <w:r w:rsidR="00EA7D1D" w:rsidRPr="0024649F">
        <w:rPr>
          <w:color w:val="A6A6A6" w:themeColor="background1" w:themeShade="A6"/>
        </w:rPr>
        <w:t>.</w:t>
      </w:r>
      <w:r w:rsidR="001A2505" w:rsidRPr="0024649F">
        <w:rPr>
          <w:color w:val="A6A6A6" w:themeColor="background1" w:themeShade="A6"/>
        </w:rPr>
        <w:t xml:space="preserve"> Where </w:t>
      </w:r>
      <w:proofErr w:type="gramStart"/>
      <w:r w:rsidR="001A2505" w:rsidRPr="0024649F">
        <w:rPr>
          <w:color w:val="A6A6A6" w:themeColor="background1" w:themeShade="A6"/>
        </w:rPr>
        <w:t>higher-performing</w:t>
      </w:r>
      <w:proofErr w:type="gramEnd"/>
      <w:r w:rsidR="001A2505" w:rsidRPr="0024649F">
        <w:rPr>
          <w:color w:val="A6A6A6" w:themeColor="background1" w:themeShade="A6"/>
        </w:rPr>
        <w:t xml:space="preserve"> cookstoves are displace</w:t>
      </w:r>
      <w:r w:rsidR="00EA7D1D" w:rsidRPr="0024649F">
        <w:rPr>
          <w:color w:val="A6A6A6" w:themeColor="background1" w:themeShade="A6"/>
        </w:rPr>
        <w:t>d</w:t>
      </w:r>
      <w:r w:rsidR="001A2505" w:rsidRPr="0024649F">
        <w:rPr>
          <w:color w:val="A6A6A6" w:themeColor="background1" w:themeShade="A6"/>
        </w:rPr>
        <w:t xml:space="preserve">, the impact is </w:t>
      </w:r>
      <w:r w:rsidR="00434C76" w:rsidRPr="0024649F">
        <w:rPr>
          <w:color w:val="A6A6A6" w:themeColor="background1" w:themeShade="A6"/>
        </w:rPr>
        <w:t xml:space="preserve">likely </w:t>
      </w:r>
      <w:r w:rsidR="001A2505" w:rsidRPr="0024649F">
        <w:rPr>
          <w:color w:val="A6A6A6" w:themeColor="background1" w:themeShade="A6"/>
        </w:rPr>
        <w:t>positive.</w:t>
      </w:r>
      <w:r w:rsidR="00D230A9" w:rsidRPr="0024649F">
        <w:rPr>
          <w:color w:val="A6A6A6" w:themeColor="background1" w:themeShade="A6"/>
        </w:rPr>
        <w:t xml:space="preserve"> </w:t>
      </w:r>
      <w:r w:rsidR="00F56CB5" w:rsidRPr="0024649F">
        <w:rPr>
          <w:color w:val="A6A6A6" w:themeColor="background1" w:themeShade="A6"/>
        </w:rPr>
        <w:t xml:space="preserve">Therefore, </w:t>
      </w:r>
      <w:r w:rsidR="00D230A9" w:rsidRPr="0024649F">
        <w:rPr>
          <w:color w:val="A6A6A6" w:themeColor="background1" w:themeShade="A6"/>
        </w:rPr>
        <w:t>no further action to avoid or minimize leakage is required for this potential source of leakage.</w:t>
      </w:r>
    </w:p>
    <w:p w14:paraId="289ACE73" w14:textId="04440249" w:rsidR="0024649F" w:rsidRDefault="001A2505" w:rsidP="0024649F">
      <w:pPr>
        <w:pStyle w:val="SDMPara"/>
        <w:rPr>
          <w:color w:val="A6A6A6" w:themeColor="background1" w:themeShade="A6"/>
        </w:rPr>
      </w:pPr>
      <w:r w:rsidRPr="00ED7B39">
        <w:t>Competition for resources – biomass:</w:t>
      </w:r>
      <w:r w:rsidR="00D230A9" w:rsidRPr="00ED7B39">
        <w:t xml:space="preserve"> </w:t>
      </w:r>
      <w:r w:rsidR="008C38BE" w:rsidRPr="00ED7B39">
        <w:t>In LMIC contexts, household cooking demand is constrained by food, water, and refrigeration rather than fuel availability, and robust chain-of-custody data for fuels such as charcoal are almost never available. Because potential leakage is both negligible in scale and not practically measurable, no additional applicability conditions are required. As a conservative option, project proponents may instead apply the 2% deduction set out in paragraph 12.3</w:t>
      </w:r>
      <w:r w:rsidR="00456556" w:rsidRPr="00ED7B39">
        <w:t>.</w:t>
      </w:r>
    </w:p>
    <w:p w14:paraId="6D27C81C" w14:textId="11A13F9D" w:rsidR="00C66989" w:rsidRPr="0024649F" w:rsidRDefault="00F6588E" w:rsidP="0024649F">
      <w:pPr>
        <w:pStyle w:val="SDMPara"/>
        <w:rPr>
          <w:color w:val="A6A6A6" w:themeColor="background1" w:themeShade="A6"/>
        </w:rPr>
      </w:pPr>
      <w:r w:rsidRPr="0024649F">
        <w:rPr>
          <w:color w:val="A6A6A6" w:themeColor="background1" w:themeShade="A6"/>
        </w:rPr>
        <w:t xml:space="preserve">Competition for resources – </w:t>
      </w:r>
      <w:r w:rsidR="009F66E4" w:rsidRPr="0024649F">
        <w:rPr>
          <w:color w:val="A6A6A6" w:themeColor="background1" w:themeShade="A6"/>
        </w:rPr>
        <w:t>fuel made from agricultural waste</w:t>
      </w:r>
      <w:r w:rsidRPr="0024649F">
        <w:rPr>
          <w:color w:val="A6A6A6" w:themeColor="background1" w:themeShade="A6"/>
        </w:rPr>
        <w:t xml:space="preserve"> or electricity: </w:t>
      </w:r>
      <w:r w:rsidR="001845E0" w:rsidRPr="0024649F">
        <w:rPr>
          <w:color w:val="A6A6A6" w:themeColor="background1" w:themeShade="A6"/>
        </w:rPr>
        <w:t xml:space="preserve">Available evidence shows that </w:t>
      </w:r>
      <w:r w:rsidR="005528BD" w:rsidRPr="0024649F">
        <w:rPr>
          <w:color w:val="A6A6A6" w:themeColor="background1" w:themeShade="A6"/>
        </w:rPr>
        <w:t>agricultural waste</w:t>
      </w:r>
      <w:r w:rsidR="001845E0" w:rsidRPr="0024649F">
        <w:rPr>
          <w:color w:val="A6A6A6" w:themeColor="background1" w:themeShade="A6"/>
        </w:rPr>
        <w:t xml:space="preserve"> typically surplus to agronomic needs, and electrification at the household level is too limited to materially impact grid stability. Because there is no evidence of significant negative leakage from these sources, no further action is required.</w:t>
      </w:r>
      <w:bookmarkStart w:id="82" w:name="_Toc203294070"/>
    </w:p>
    <w:p w14:paraId="6A86AE66" w14:textId="61D42232" w:rsidR="003262FA" w:rsidRPr="00F06BDF" w:rsidRDefault="00B019D7" w:rsidP="00F06BDF">
      <w:pPr>
        <w:pStyle w:val="SDMHead2"/>
        <w:rPr>
          <w:szCs w:val="22"/>
        </w:rPr>
      </w:pPr>
      <w:r>
        <w:t>Addressing leakage emissions</w:t>
      </w:r>
      <w:bookmarkEnd w:id="82"/>
    </w:p>
    <w:p w14:paraId="3665ED90" w14:textId="77777777" w:rsidR="0024649F" w:rsidRPr="00B33BB6" w:rsidRDefault="00E44204" w:rsidP="00E44204">
      <w:pPr>
        <w:pStyle w:val="SDMPara"/>
        <w:spacing w:before="240" w:after="240"/>
      </w:pPr>
      <w:r w:rsidRPr="0024649F">
        <w:t xml:space="preserve">Leakage emissions, </w:t>
      </w:r>
      <w:r w:rsidRPr="0024649F">
        <w:rPr>
          <w:rFonts w:ascii="Cambria Math" w:eastAsia="Cambria Math" w:hAnsi="Cambria Math" w:cs="Cambria Math"/>
        </w:rPr>
        <w:t>𝐿𝐸</w:t>
      </w:r>
      <w:r w:rsidRPr="0024649F">
        <w:rPr>
          <w:rFonts w:ascii="Cambria Math" w:eastAsia="Cambria Math" w:hAnsi="Cambria Math" w:cs="Cambria Math"/>
          <w:vertAlign w:val="subscript"/>
        </w:rPr>
        <w:t>𝑦</w:t>
      </w:r>
      <w:r w:rsidRPr="0024649F">
        <w:t xml:space="preserve">, shall be determined following one of two options below. </w:t>
      </w:r>
    </w:p>
    <w:p w14:paraId="7F576F9F" w14:textId="7B809F10" w:rsidR="0024649F" w:rsidRPr="00B33BB6" w:rsidRDefault="00E44204" w:rsidP="00E44204">
      <w:pPr>
        <w:pStyle w:val="SDMSubPara1"/>
        <w:spacing w:before="240" w:after="240"/>
      </w:pPr>
      <w:r w:rsidRPr="0024649F">
        <w:rPr>
          <w:b/>
        </w:rPr>
        <w:t xml:space="preserve">Option 1: </w:t>
      </w:r>
      <w:r w:rsidRPr="0024649F">
        <w:t>Apply a default adjustment factor of 2% to the emission reductions to approximate leakage emissions. In this case, the term “</w:t>
      </w:r>
      <w:r w:rsidRPr="0024649F">
        <w:rPr>
          <w:rFonts w:ascii="Cambria Math" w:eastAsia="Cambria Math" w:hAnsi="Cambria Math" w:cs="Cambria Math"/>
        </w:rPr>
        <w:t>(1- 𝐿𝐸</w:t>
      </w:r>
      <w:r w:rsidRPr="0024649F">
        <w:rPr>
          <w:rFonts w:ascii="Cambria Math" w:eastAsia="Cambria Math" w:hAnsi="Cambria Math" w:cs="Cambria Math"/>
          <w:vertAlign w:val="subscript"/>
        </w:rPr>
        <w:t>𝑦</w:t>
      </w:r>
      <w:r w:rsidRPr="0024649F">
        <w:t xml:space="preserve">)” in </w:t>
      </w:r>
      <w:hyperlink w:anchor="e16" w:history="1">
        <w:r w:rsidRPr="0024649F">
          <w:rPr>
            <w:rStyle w:val="Hyperlink"/>
          </w:rPr>
          <w:t>Equation 16</w:t>
        </w:r>
      </w:hyperlink>
      <w:r w:rsidRPr="0024649F">
        <w:t xml:space="preserve"> changes to “98%”. </w:t>
      </w:r>
    </w:p>
    <w:p w14:paraId="58621D72" w14:textId="64246FF3" w:rsidR="0024649F" w:rsidRPr="0024649F" w:rsidRDefault="00E44204" w:rsidP="00E44204">
      <w:pPr>
        <w:pStyle w:val="SDMSubPara2"/>
        <w:spacing w:before="240" w:after="240"/>
      </w:pPr>
      <w:r w:rsidRPr="0024649F">
        <w:rPr>
          <w:color w:val="808080" w:themeColor="background1" w:themeShade="80"/>
        </w:rPr>
        <w:t xml:space="preserve">Option 1 is conservative and pragmatic. In one of the few analyses of leakage from clean cooking projects, Gill-Wiehl et al (in publication) concluded that leakage from multiple rural cookstove projects was extremely low, estimating it at 0.53%. </w:t>
      </w:r>
    </w:p>
    <w:p w14:paraId="471093D4" w14:textId="77777777" w:rsidR="0024649F" w:rsidRPr="0024649F" w:rsidRDefault="00E44204" w:rsidP="0024649F">
      <w:pPr>
        <w:pStyle w:val="SDMSubPara1"/>
        <w:spacing w:before="240" w:after="240"/>
      </w:pPr>
      <w:r w:rsidRPr="0024649F">
        <w:rPr>
          <w:b/>
        </w:rPr>
        <w:t xml:space="preserve">Option 2: </w:t>
      </w:r>
      <w:r w:rsidRPr="0024649F">
        <w:rPr>
          <w:color w:val="000000" w:themeColor="text1"/>
        </w:rPr>
        <w:t xml:space="preserve">The project proponent must evaluate the relevant potential sources of leakage and provide an evidence-based description and estimated quantification of each potential source and its relevance for the project. </w:t>
      </w:r>
    </w:p>
    <w:p w14:paraId="6203F7B1" w14:textId="77777777" w:rsidR="00E44204" w:rsidRPr="0024649F" w:rsidRDefault="00E44204" w:rsidP="0024649F">
      <w:pPr>
        <w:pStyle w:val="SDMSubPara2"/>
        <w:spacing w:before="240" w:after="240"/>
      </w:pPr>
      <w:r w:rsidRPr="0024649F">
        <w:rPr>
          <w:color w:val="000000" w:themeColor="text1"/>
        </w:rPr>
        <w:t xml:space="preserve">For each source for which the leakage assessment expects an increase in fuel consumption by non-project households attributable to the project activity, then calculations must be undertaken to account for the leakage from this source. Leakage is either calculated as a quantitative emissions volume (tCO2e) or as a percentage of total emission reductions. The project documentation shall include a projection of leakage emissions based on available data and information. The monitoring plan must include </w:t>
      </w:r>
      <w:r w:rsidRPr="0024649F">
        <w:rPr>
          <w:color w:val="000000" w:themeColor="text1"/>
        </w:rPr>
        <w:lastRenderedPageBreak/>
        <w:t xml:space="preserve">monitoring parameters to be registered during the leakage investigation every two years to populate the leakage calculation. </w:t>
      </w:r>
    </w:p>
    <w:p w14:paraId="3B2ABF25" w14:textId="77777777" w:rsidR="00D2757C" w:rsidRDefault="00E44204" w:rsidP="00764C42">
      <w:pPr>
        <w:pStyle w:val="SDMPara"/>
        <w:rPr>
          <w:color w:val="000000" w:themeColor="text1"/>
        </w:rPr>
      </w:pPr>
      <w:r w:rsidRPr="0024649F">
        <w:rPr>
          <w:color w:val="000000" w:themeColor="text1"/>
        </w:rPr>
        <w:t>The project proponent must conduct a leakage investigation every two years using relevant methods. For example, surveys to determine parameters for the leakage calculation may be combined with project monitoring surveys, as is applicable.</w:t>
      </w:r>
    </w:p>
    <w:p w14:paraId="3A49A5AF" w14:textId="392A3EE9" w:rsidR="00D43055" w:rsidRPr="00D2757C" w:rsidRDefault="00E44204" w:rsidP="00764C42">
      <w:pPr>
        <w:pStyle w:val="SDMPara"/>
        <w:rPr>
          <w:color w:val="000000" w:themeColor="text1"/>
        </w:rPr>
      </w:pPr>
      <w:r w:rsidRPr="00D2757C">
        <w:rPr>
          <w:color w:val="000000" w:themeColor="text1"/>
        </w:rPr>
        <w:t>Methods for measuring all types of leakage from cooking energy transition projects are still in development and will vary significantly depending on the project context and the type of leakage risk. Gill-Wiehl et al (in preparation) offers some relevant methods. In general, monitoring plans should include field-based measurement methods, especially for the quantification of fuel, as data on fuel use estimated via surveys are often insufficiently accurate.</w:t>
      </w:r>
    </w:p>
    <w:p w14:paraId="51372108" w14:textId="60D1B9B4" w:rsidR="00C56A41" w:rsidRDefault="00EE19FC" w:rsidP="00D2757C">
      <w:pPr>
        <w:pStyle w:val="SDMHead1"/>
        <w:numPr>
          <w:ilvl w:val="0"/>
          <w:numId w:val="18"/>
        </w:numPr>
      </w:pPr>
      <w:r>
        <w:t>Emission reductions</w:t>
      </w:r>
    </w:p>
    <w:p w14:paraId="1BD7C731" w14:textId="78A9ABA5" w:rsidR="00C56A41" w:rsidRPr="00D2757C" w:rsidRDefault="00C56A41" w:rsidP="00C56A41">
      <w:pPr>
        <w:pStyle w:val="SDMPara"/>
        <w:rPr>
          <w:rFonts w:eastAsia="Montserrat"/>
          <w:color w:val="000000" w:themeColor="text1"/>
        </w:rPr>
      </w:pPr>
      <w:bookmarkStart w:id="83" w:name="_Toc193924630"/>
      <w:r w:rsidRPr="00D2757C">
        <w:rPr>
          <w:b/>
          <w:bCs/>
          <w:color w:val="000000" w:themeColor="text1"/>
        </w:rPr>
        <w:t>Emission reductions for CTEC and non-CTEC project</w:t>
      </w:r>
      <w:bookmarkEnd w:id="83"/>
      <w:r w:rsidR="00D2757C">
        <w:rPr>
          <w:color w:val="000000" w:themeColor="text1"/>
        </w:rPr>
        <w:t xml:space="preserve">: </w:t>
      </w:r>
      <w:r w:rsidRPr="00D2757C">
        <w:rPr>
          <w:rFonts w:eastAsia="Montserrat"/>
        </w:rPr>
        <w:t>Emission reductions for CTEC and non-CTEC projects are calculated using Equation (16).</w:t>
      </w:r>
    </w:p>
    <w:tbl>
      <w:tblPr>
        <w:tblW w:w="9214" w:type="dxa"/>
        <w:tblInd w:w="601" w:type="dxa"/>
        <w:tblBorders>
          <w:top w:val="nil"/>
          <w:left w:val="nil"/>
          <w:bottom w:val="nil"/>
          <w:right w:val="nil"/>
          <w:insideH w:val="nil"/>
          <w:insideV w:val="nil"/>
        </w:tblBorders>
        <w:tblLayout w:type="fixed"/>
        <w:tblLook w:val="0400" w:firstRow="0" w:lastRow="0" w:firstColumn="0" w:lastColumn="0" w:noHBand="0" w:noVBand="1"/>
      </w:tblPr>
      <w:tblGrid>
        <w:gridCol w:w="8598"/>
        <w:gridCol w:w="616"/>
      </w:tblGrid>
      <w:tr w:rsidR="00C56A41" w:rsidRPr="00B33BB6" w14:paraId="444B88D2" w14:textId="77777777" w:rsidTr="00D2757C">
        <w:tc>
          <w:tcPr>
            <w:tcW w:w="8598" w:type="dxa"/>
          </w:tcPr>
          <w:p w14:paraId="400159F3" w14:textId="77777777" w:rsidR="00C56A41" w:rsidRPr="00B33BB6" w:rsidRDefault="00C56A41">
            <w:pPr>
              <w:rPr>
                <w:rFonts w:eastAsia="Montserrat" w:cs="Arial"/>
                <w:szCs w:val="22"/>
              </w:rPr>
            </w:pPr>
          </w:p>
          <w:p w14:paraId="0EE48D22" w14:textId="77777777" w:rsidR="00C56A41" w:rsidRPr="00B33BB6" w:rsidRDefault="00000000">
            <w:pPr>
              <w:rPr>
                <w:rFonts w:eastAsia="Cambria Math" w:cs="Arial"/>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ER</m:t>
                    </m:r>
                  </m:e>
                  <m:sub>
                    <m:r>
                      <w:rPr>
                        <w:rFonts w:ascii="Cambria Math" w:eastAsia="Cambria Math" w:hAnsi="Cambria Math" w:cs="Arial"/>
                        <w:szCs w:val="22"/>
                      </w:rPr>
                      <m:t>y</m:t>
                    </m:r>
                  </m:sub>
                </m:sSub>
                <m:r>
                  <w:rPr>
                    <w:rFonts w:ascii="Cambria Math" w:eastAsia="Cambria Math" w:hAnsi="Cambria Math" w:cs="Arial"/>
                    <w:szCs w:val="22"/>
                  </w:rPr>
                  <m:t>=</m:t>
                </m:r>
                <m:d>
                  <m:dPr>
                    <m:ctrlPr>
                      <w:rPr>
                        <w:rFonts w:ascii="Cambria Math" w:eastAsia="Cambria Math" w:hAnsi="Cambria Math" w:cs="Arial"/>
                        <w:szCs w:val="22"/>
                      </w:rPr>
                    </m:ctrlPr>
                  </m:dPr>
                  <m:e>
                    <m:sSub>
                      <m:sSubPr>
                        <m:ctrlPr>
                          <w:rPr>
                            <w:rFonts w:ascii="Cambria Math" w:eastAsia="Cambria Math" w:hAnsi="Cambria Math" w:cs="Arial"/>
                            <w:szCs w:val="22"/>
                          </w:rPr>
                        </m:ctrlPr>
                      </m:sSubPr>
                      <m:e>
                        <m:r>
                          <w:rPr>
                            <w:rFonts w:ascii="Cambria Math" w:eastAsia="Cambria Math" w:hAnsi="Cambria Math" w:cs="Arial"/>
                            <w:szCs w:val="22"/>
                          </w:rPr>
                          <m:t>BE</m:t>
                        </m:r>
                      </m:e>
                      <m:sub>
                        <m:r>
                          <w:rPr>
                            <w:rFonts w:ascii="Cambria Math" w:eastAsia="Cambria Math" w:hAnsi="Cambria Math" w:cs="Arial"/>
                            <w:szCs w:val="22"/>
                          </w:rPr>
                          <m:t>final,y</m:t>
                        </m:r>
                      </m:sub>
                    </m:sSub>
                    <m:r>
                      <w:rPr>
                        <w:rFonts w:ascii="Cambria Math" w:eastAsia="Cambria Math" w:hAnsi="Cambria Math" w:cs="Arial"/>
                        <w:szCs w:val="22"/>
                      </w:rPr>
                      <m:t>-</m:t>
                    </m:r>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y</m:t>
                        </m:r>
                      </m:sub>
                    </m:sSub>
                  </m:e>
                </m:d>
                <m:d>
                  <m:dPr>
                    <m:ctrlPr>
                      <w:rPr>
                        <w:rFonts w:ascii="Cambria Math" w:eastAsia="Cambria Math" w:hAnsi="Cambria Math" w:cs="Arial"/>
                        <w:i/>
                        <w:szCs w:val="22"/>
                      </w:rPr>
                    </m:ctrlPr>
                  </m:dPr>
                  <m:e>
                    <m:r>
                      <w:rPr>
                        <w:rFonts w:ascii="Cambria Math" w:eastAsia="Cambria Math" w:hAnsi="Cambria Math" w:cs="Arial"/>
                        <w:szCs w:val="22"/>
                      </w:rPr>
                      <m:t>1-</m:t>
                    </m:r>
                    <m:sSub>
                      <m:sSubPr>
                        <m:ctrlPr>
                          <w:rPr>
                            <w:rFonts w:ascii="Cambria Math" w:eastAsia="Cambria Math" w:hAnsi="Cambria Math" w:cs="Arial"/>
                            <w:szCs w:val="22"/>
                          </w:rPr>
                        </m:ctrlPr>
                      </m:sSubPr>
                      <m:e>
                        <m:r>
                          <w:rPr>
                            <w:rFonts w:ascii="Cambria Math" w:eastAsia="Cambria Math" w:hAnsi="Cambria Math" w:cs="Arial"/>
                            <w:szCs w:val="22"/>
                          </w:rPr>
                          <m:t>LE</m:t>
                        </m:r>
                      </m:e>
                      <m:sub>
                        <m:r>
                          <w:rPr>
                            <w:rFonts w:ascii="Cambria Math" w:eastAsia="Cambria Math" w:hAnsi="Cambria Math" w:cs="Arial"/>
                            <w:szCs w:val="22"/>
                          </w:rPr>
                          <m:t>y</m:t>
                        </m:r>
                      </m:sub>
                    </m:sSub>
                  </m:e>
                </m:d>
              </m:oMath>
            </m:oMathPara>
          </w:p>
        </w:tc>
        <w:tc>
          <w:tcPr>
            <w:tcW w:w="616" w:type="dxa"/>
            <w:vAlign w:val="center"/>
          </w:tcPr>
          <w:p w14:paraId="7106FA42" w14:textId="77777777" w:rsidR="00C56A41" w:rsidRPr="00B33BB6" w:rsidRDefault="00C56A41">
            <w:pPr>
              <w:rPr>
                <w:rFonts w:cs="Arial"/>
                <w:szCs w:val="22"/>
              </w:rPr>
            </w:pPr>
          </w:p>
          <w:p w14:paraId="33BBBCEC" w14:textId="77777777" w:rsidR="00C56A41" w:rsidRPr="00B33BB6" w:rsidRDefault="00C56A41">
            <w:pPr>
              <w:rPr>
                <w:rFonts w:eastAsia="Montserrat" w:cs="Arial"/>
                <w:szCs w:val="22"/>
              </w:rPr>
            </w:pPr>
            <w:bookmarkStart w:id="84" w:name="e16"/>
            <w:r w:rsidRPr="00B33BB6">
              <w:rPr>
                <w:rFonts w:cs="Arial"/>
                <w:szCs w:val="22"/>
              </w:rPr>
              <w:t>(16)</w:t>
            </w:r>
            <w:bookmarkEnd w:id="84"/>
          </w:p>
        </w:tc>
      </w:tr>
    </w:tbl>
    <w:p w14:paraId="20CCA706" w14:textId="77777777" w:rsidR="00C56A41" w:rsidRPr="00B33BB6" w:rsidRDefault="00C56A41" w:rsidP="00D2757C">
      <w:pPr>
        <w:ind w:left="709"/>
        <w:rPr>
          <w:rFonts w:eastAsia="Montserrat" w:cs="Arial"/>
          <w:szCs w:val="22"/>
        </w:rPr>
      </w:pPr>
      <w:r w:rsidRPr="00B33BB6">
        <w:rPr>
          <w:rFonts w:eastAsia="Montserrat" w:cs="Arial"/>
          <w:szCs w:val="22"/>
        </w:rPr>
        <w:t>Where:</w:t>
      </w:r>
    </w:p>
    <w:p w14:paraId="663056A3" w14:textId="77777777" w:rsidR="00C56A41" w:rsidRPr="00B33BB6" w:rsidRDefault="00C56A41" w:rsidP="00D2757C">
      <w:pPr>
        <w:ind w:left="601"/>
        <w:rPr>
          <w:rFonts w:cs="Arial"/>
          <w:szCs w:val="22"/>
        </w:rPr>
      </w:pPr>
    </w:p>
    <w:tbl>
      <w:tblPr>
        <w:tblStyle w:val="TableGrid"/>
        <w:tblW w:w="9209" w:type="dxa"/>
        <w:tblInd w:w="596" w:type="dxa"/>
        <w:tblLook w:val="04A0" w:firstRow="1" w:lastRow="0" w:firstColumn="1" w:lastColumn="0" w:noHBand="0" w:noVBand="1"/>
      </w:tblPr>
      <w:tblGrid>
        <w:gridCol w:w="1696"/>
        <w:gridCol w:w="5954"/>
        <w:gridCol w:w="1559"/>
      </w:tblGrid>
      <w:tr w:rsidR="00C56A41" w:rsidRPr="00B33BB6" w14:paraId="5925DC69" w14:textId="77777777" w:rsidTr="00D2757C">
        <w:tc>
          <w:tcPr>
            <w:tcW w:w="1696" w:type="dxa"/>
          </w:tcPr>
          <w:p w14:paraId="677893AA" w14:textId="77777777" w:rsidR="00C56A41" w:rsidRPr="00B33BB6" w:rsidRDefault="00C56A41">
            <w:pPr>
              <w:rPr>
                <w:rFonts w:eastAsia="Montserrat" w:cs="Arial"/>
                <w:b/>
                <w:szCs w:val="22"/>
              </w:rPr>
            </w:pPr>
            <w:r w:rsidRPr="00B33BB6">
              <w:rPr>
                <w:rFonts w:eastAsia="Montserrat" w:cs="Arial"/>
                <w:b/>
                <w:szCs w:val="22"/>
              </w:rPr>
              <w:t>Parameter</w:t>
            </w:r>
          </w:p>
        </w:tc>
        <w:tc>
          <w:tcPr>
            <w:tcW w:w="5954" w:type="dxa"/>
          </w:tcPr>
          <w:p w14:paraId="17C5C28B" w14:textId="77777777" w:rsidR="00C56A41" w:rsidRPr="00B33BB6" w:rsidRDefault="00C56A41">
            <w:pPr>
              <w:rPr>
                <w:rFonts w:eastAsia="Montserrat" w:cs="Arial"/>
                <w:b/>
                <w:szCs w:val="22"/>
              </w:rPr>
            </w:pPr>
            <w:r w:rsidRPr="00B33BB6">
              <w:rPr>
                <w:rFonts w:eastAsia="Montserrat" w:cs="Arial"/>
                <w:b/>
                <w:szCs w:val="22"/>
              </w:rPr>
              <w:t>Description</w:t>
            </w:r>
          </w:p>
        </w:tc>
        <w:tc>
          <w:tcPr>
            <w:tcW w:w="1559" w:type="dxa"/>
          </w:tcPr>
          <w:p w14:paraId="18C5038C" w14:textId="77777777" w:rsidR="00C56A41" w:rsidRPr="00B33BB6" w:rsidRDefault="00C56A41">
            <w:pPr>
              <w:rPr>
                <w:rFonts w:eastAsia="Montserrat" w:cs="Arial"/>
                <w:b/>
                <w:szCs w:val="22"/>
              </w:rPr>
            </w:pPr>
            <w:r w:rsidRPr="00B33BB6">
              <w:rPr>
                <w:rFonts w:eastAsia="Montserrat" w:cs="Arial"/>
                <w:b/>
                <w:szCs w:val="22"/>
              </w:rPr>
              <w:t>Unit</w:t>
            </w:r>
          </w:p>
        </w:tc>
      </w:tr>
      <w:tr w:rsidR="00C56A41" w:rsidRPr="00B33BB6" w14:paraId="79D3218E" w14:textId="77777777" w:rsidTr="00D2757C">
        <w:tc>
          <w:tcPr>
            <w:tcW w:w="1696" w:type="dxa"/>
          </w:tcPr>
          <w:p w14:paraId="1C859E16" w14:textId="77777777" w:rsidR="00C56A41" w:rsidRPr="00B33BB6" w:rsidRDefault="00000000">
            <w:pPr>
              <w:jc w:val="center"/>
              <w:rPr>
                <w:rFonts w:eastAsia="Montserrat" w:cs="Arial"/>
                <w:i/>
                <w:szCs w:val="22"/>
              </w:rPr>
            </w:pPr>
            <m:oMathPara>
              <m:oMath>
                <m:sSub>
                  <m:sSubPr>
                    <m:ctrlPr>
                      <w:rPr>
                        <w:rFonts w:ascii="Cambria Math" w:eastAsia="Cambria Math" w:hAnsi="Cambria Math" w:cs="Arial"/>
                        <w:i/>
                        <w:szCs w:val="22"/>
                      </w:rPr>
                    </m:ctrlPr>
                  </m:sSubPr>
                  <m:e>
                    <m:r>
                      <w:rPr>
                        <w:rFonts w:ascii="Cambria Math" w:eastAsia="Cambria Math" w:hAnsi="Cambria Math" w:cs="Arial"/>
                        <w:szCs w:val="22"/>
                      </w:rPr>
                      <m:t>ER</m:t>
                    </m:r>
                  </m:e>
                  <m:sub>
                    <m:r>
                      <w:rPr>
                        <w:rFonts w:ascii="Cambria Math" w:eastAsia="Cambria Math" w:hAnsi="Cambria Math" w:cs="Arial"/>
                        <w:szCs w:val="22"/>
                      </w:rPr>
                      <m:t>y</m:t>
                    </m:r>
                  </m:sub>
                </m:sSub>
              </m:oMath>
            </m:oMathPara>
          </w:p>
        </w:tc>
        <w:tc>
          <w:tcPr>
            <w:tcW w:w="5954" w:type="dxa"/>
          </w:tcPr>
          <w:p w14:paraId="4D0E61B9" w14:textId="77777777" w:rsidR="00C56A41" w:rsidRPr="00B33BB6" w:rsidRDefault="00C56A41">
            <w:pPr>
              <w:rPr>
                <w:rFonts w:eastAsia="Montserrat" w:cs="Arial"/>
                <w:szCs w:val="22"/>
              </w:rPr>
            </w:pPr>
            <w:r w:rsidRPr="00B33BB6">
              <w:rPr>
                <w:rFonts w:eastAsia="Montserrat" w:cs="Arial"/>
                <w:szCs w:val="22"/>
              </w:rPr>
              <w:t xml:space="preserve">Emission reductions for the project during year </w:t>
            </w:r>
            <w:r w:rsidRPr="00B33BB6">
              <w:rPr>
                <w:rFonts w:eastAsia="Montserrat" w:cs="Arial"/>
                <w:i/>
                <w:szCs w:val="22"/>
              </w:rPr>
              <w:t>y</w:t>
            </w:r>
          </w:p>
        </w:tc>
        <w:tc>
          <w:tcPr>
            <w:tcW w:w="1559" w:type="dxa"/>
          </w:tcPr>
          <w:p w14:paraId="3BC7C4BC" w14:textId="77777777" w:rsidR="00C56A41" w:rsidRPr="00B33BB6" w:rsidRDefault="00C56A41">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C56A41" w:rsidRPr="00B33BB6" w14:paraId="31F6E93E" w14:textId="77777777" w:rsidTr="00D2757C">
        <w:tc>
          <w:tcPr>
            <w:tcW w:w="1696" w:type="dxa"/>
          </w:tcPr>
          <w:p w14:paraId="33BB4CCF" w14:textId="77777777" w:rsidR="00C56A41" w:rsidRPr="00B33BB6" w:rsidRDefault="00000000">
            <w:pPr>
              <w:jc w:val="cente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BE</m:t>
                    </m:r>
                  </m:e>
                  <m:sub>
                    <m:r>
                      <w:rPr>
                        <w:rFonts w:ascii="Cambria Math" w:eastAsia="Cambria Math" w:hAnsi="Cambria Math" w:cs="Arial"/>
                        <w:szCs w:val="22"/>
                      </w:rPr>
                      <m:t>final,y</m:t>
                    </m:r>
                  </m:sub>
                </m:sSub>
              </m:oMath>
            </m:oMathPara>
          </w:p>
        </w:tc>
        <w:tc>
          <w:tcPr>
            <w:tcW w:w="5954" w:type="dxa"/>
          </w:tcPr>
          <w:p w14:paraId="337E5D38" w14:textId="77777777" w:rsidR="00C56A41" w:rsidRPr="00B33BB6" w:rsidRDefault="00C56A41">
            <w:pPr>
              <w:rPr>
                <w:rFonts w:eastAsia="Montserrat" w:cs="Arial"/>
                <w:szCs w:val="22"/>
              </w:rPr>
            </w:pPr>
            <w:r w:rsidRPr="00B33BB6">
              <w:rPr>
                <w:rFonts w:eastAsia="Montserrat" w:cs="Arial"/>
                <w:szCs w:val="22"/>
              </w:rPr>
              <w:t xml:space="preserve">Final downward adjusted baseline emissions during year </w:t>
            </w:r>
            <w:r w:rsidRPr="00B33BB6">
              <w:rPr>
                <w:rFonts w:eastAsia="Montserrat" w:cs="Arial"/>
                <w:i/>
                <w:szCs w:val="22"/>
              </w:rPr>
              <w:t>y</w:t>
            </w:r>
          </w:p>
        </w:tc>
        <w:tc>
          <w:tcPr>
            <w:tcW w:w="1559" w:type="dxa"/>
          </w:tcPr>
          <w:p w14:paraId="11CAF3C8" w14:textId="77777777" w:rsidR="00C56A41" w:rsidRPr="00B33BB6" w:rsidRDefault="00C56A41">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C56A41" w:rsidRPr="00B33BB6" w14:paraId="01146EC1" w14:textId="77777777" w:rsidTr="00D2757C">
        <w:tc>
          <w:tcPr>
            <w:tcW w:w="1696" w:type="dxa"/>
          </w:tcPr>
          <w:p w14:paraId="685EC218" w14:textId="77777777" w:rsidR="00C56A41" w:rsidRPr="00B33BB6" w:rsidRDefault="00000000">
            <w:pPr>
              <w:jc w:val="center"/>
              <w:rPr>
                <w:rFonts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PE</m:t>
                    </m:r>
                  </m:e>
                  <m:sub>
                    <m:r>
                      <w:rPr>
                        <w:rFonts w:ascii="Cambria Math" w:eastAsia="Cambria Math" w:hAnsi="Cambria Math" w:cs="Arial"/>
                        <w:szCs w:val="22"/>
                      </w:rPr>
                      <m:t>y</m:t>
                    </m:r>
                  </m:sub>
                </m:sSub>
              </m:oMath>
            </m:oMathPara>
          </w:p>
        </w:tc>
        <w:tc>
          <w:tcPr>
            <w:tcW w:w="5954" w:type="dxa"/>
          </w:tcPr>
          <w:p w14:paraId="1648F301" w14:textId="77777777" w:rsidR="00C56A41" w:rsidRPr="00B33BB6" w:rsidRDefault="00C56A41">
            <w:pPr>
              <w:rPr>
                <w:rFonts w:eastAsia="Montserrat" w:cs="Arial"/>
                <w:szCs w:val="22"/>
              </w:rPr>
            </w:pPr>
            <w:r w:rsidRPr="00B33BB6">
              <w:rPr>
                <w:rFonts w:eastAsia="Montserrat" w:cs="Arial"/>
                <w:szCs w:val="22"/>
              </w:rPr>
              <w:t xml:space="preserve">Project emissions during year </w:t>
            </w:r>
            <w:r w:rsidRPr="00B33BB6">
              <w:rPr>
                <w:rFonts w:eastAsia="Montserrat" w:cs="Arial"/>
                <w:i/>
                <w:szCs w:val="22"/>
              </w:rPr>
              <w:t>y</w:t>
            </w:r>
          </w:p>
        </w:tc>
        <w:tc>
          <w:tcPr>
            <w:tcW w:w="1559" w:type="dxa"/>
          </w:tcPr>
          <w:p w14:paraId="079F3081" w14:textId="77777777" w:rsidR="00C56A41" w:rsidRPr="00B33BB6" w:rsidRDefault="00C56A41">
            <w:pPr>
              <w:rPr>
                <w:rFonts w:eastAsia="Montserrat" w:cs="Arial"/>
                <w:szCs w:val="22"/>
              </w:rPr>
            </w:pPr>
            <w:r w:rsidRPr="00B33BB6">
              <w:rPr>
                <w:rFonts w:eastAsia="Montserrat" w:cs="Arial"/>
                <w:szCs w:val="22"/>
              </w:rPr>
              <w:t>tCO</w:t>
            </w:r>
            <w:r w:rsidRPr="00B33BB6">
              <w:rPr>
                <w:rFonts w:eastAsia="Montserrat" w:cs="Arial"/>
                <w:szCs w:val="22"/>
                <w:vertAlign w:val="subscript"/>
              </w:rPr>
              <w:t>2</w:t>
            </w:r>
            <w:r w:rsidRPr="00B33BB6">
              <w:rPr>
                <w:rFonts w:eastAsia="Montserrat" w:cs="Arial"/>
                <w:szCs w:val="22"/>
              </w:rPr>
              <w:t>e</w:t>
            </w:r>
          </w:p>
        </w:tc>
      </w:tr>
      <w:tr w:rsidR="00C56A41" w:rsidRPr="00B33BB6" w14:paraId="4E231BA4" w14:textId="77777777" w:rsidTr="00D2757C">
        <w:tc>
          <w:tcPr>
            <w:tcW w:w="1696" w:type="dxa"/>
          </w:tcPr>
          <w:p w14:paraId="07E983D6" w14:textId="77777777" w:rsidR="00C56A41" w:rsidRPr="00B33BB6" w:rsidRDefault="00000000">
            <w:pPr>
              <w:rPr>
                <w:rFonts w:eastAsia="Montserrat" w:cs="Arial"/>
                <w:szCs w:val="22"/>
              </w:rPr>
            </w:pPr>
            <m:oMathPara>
              <m:oMath>
                <m:sSub>
                  <m:sSubPr>
                    <m:ctrlPr>
                      <w:rPr>
                        <w:rFonts w:ascii="Cambria Math" w:eastAsia="Cambria Math" w:hAnsi="Cambria Math" w:cs="Arial"/>
                        <w:szCs w:val="22"/>
                      </w:rPr>
                    </m:ctrlPr>
                  </m:sSubPr>
                  <m:e>
                    <m:r>
                      <w:rPr>
                        <w:rFonts w:ascii="Cambria Math" w:eastAsia="Cambria Math" w:hAnsi="Cambria Math" w:cs="Arial"/>
                        <w:szCs w:val="22"/>
                      </w:rPr>
                      <m:t>LE</m:t>
                    </m:r>
                  </m:e>
                  <m:sub>
                    <m:r>
                      <w:rPr>
                        <w:rFonts w:ascii="Cambria Math" w:eastAsia="Cambria Math" w:hAnsi="Cambria Math" w:cs="Arial"/>
                        <w:szCs w:val="22"/>
                      </w:rPr>
                      <m:t>y</m:t>
                    </m:r>
                  </m:sub>
                </m:sSub>
              </m:oMath>
            </m:oMathPara>
          </w:p>
        </w:tc>
        <w:tc>
          <w:tcPr>
            <w:tcW w:w="5954" w:type="dxa"/>
          </w:tcPr>
          <w:p w14:paraId="2473522E" w14:textId="77777777" w:rsidR="00C56A41" w:rsidRPr="00B33BB6" w:rsidRDefault="00C56A41">
            <w:pPr>
              <w:rPr>
                <w:rFonts w:eastAsia="Montserrat" w:cs="Arial"/>
                <w:szCs w:val="22"/>
              </w:rPr>
            </w:pPr>
            <w:r w:rsidRPr="00B33BB6">
              <w:rPr>
                <w:rFonts w:eastAsia="Montserrat" w:cs="Arial"/>
                <w:szCs w:val="22"/>
              </w:rPr>
              <w:t xml:space="preserve">Percentage deduction to account for leakage emissions during year </w:t>
            </w:r>
            <w:r w:rsidRPr="00B33BB6">
              <w:rPr>
                <w:rFonts w:eastAsia="Montserrat" w:cs="Arial"/>
                <w:i/>
                <w:szCs w:val="22"/>
              </w:rPr>
              <w:t>y</w:t>
            </w:r>
          </w:p>
        </w:tc>
        <w:tc>
          <w:tcPr>
            <w:tcW w:w="1559" w:type="dxa"/>
          </w:tcPr>
          <w:p w14:paraId="77247ED8" w14:textId="77777777" w:rsidR="00C56A41" w:rsidRPr="00B33BB6" w:rsidRDefault="00C56A41">
            <w:pPr>
              <w:rPr>
                <w:rFonts w:eastAsia="Montserrat" w:cs="Arial"/>
                <w:szCs w:val="22"/>
              </w:rPr>
            </w:pPr>
            <w:r w:rsidRPr="00B33BB6">
              <w:rPr>
                <w:rFonts w:eastAsia="Montserrat" w:cs="Arial"/>
                <w:szCs w:val="22"/>
              </w:rPr>
              <w:t>%</w:t>
            </w:r>
          </w:p>
        </w:tc>
      </w:tr>
    </w:tbl>
    <w:p w14:paraId="1CBD0A09" w14:textId="583CD513" w:rsidR="00C56A41" w:rsidRPr="00E3033B" w:rsidRDefault="00C56A41" w:rsidP="00D2757C">
      <w:pPr>
        <w:spacing w:before="240" w:after="240"/>
        <w:ind w:left="709"/>
        <w:rPr>
          <w:rFonts w:eastAsia="Montserrat"/>
        </w:rPr>
      </w:pPr>
      <w:r w:rsidRPr="00B33BB6">
        <w:rPr>
          <w:rFonts w:cs="Arial"/>
          <w:szCs w:val="22"/>
        </w:rPr>
        <w:t xml:space="preserve">All projects shall either apply a default adjustment factor of 2% to the emission reductions to approximate leakage </w:t>
      </w:r>
      <w:proofErr w:type="gramStart"/>
      <w:r w:rsidRPr="00B33BB6">
        <w:rPr>
          <w:rFonts w:cs="Arial"/>
          <w:szCs w:val="22"/>
        </w:rPr>
        <w:t>emissions, or</w:t>
      </w:r>
      <w:proofErr w:type="gramEnd"/>
      <w:r w:rsidRPr="00B33BB6">
        <w:rPr>
          <w:rFonts w:cs="Arial"/>
          <w:color w:val="000000" w:themeColor="text1"/>
          <w:szCs w:val="22"/>
        </w:rPr>
        <w:t xml:space="preserve"> evaluate the relevant potential sources of leakage and provide an evidence-based description and estimated quantification of each potential source and its relevance for the project. </w:t>
      </w:r>
    </w:p>
    <w:p w14:paraId="07A39BA5" w14:textId="7350F574" w:rsidR="00D3626F" w:rsidRDefault="00D3626F" w:rsidP="00620061">
      <w:pPr>
        <w:pStyle w:val="SDMHead1"/>
        <w:numPr>
          <w:ilvl w:val="0"/>
          <w:numId w:val="18"/>
        </w:numPr>
      </w:pPr>
      <w:bookmarkStart w:id="85" w:name="_Hlk203987577"/>
      <w:bookmarkStart w:id="86" w:name="S14"/>
      <w:r>
        <w:t>Data and parameters not monitored</w:t>
      </w:r>
    </w:p>
    <w:bookmarkEnd w:id="85"/>
    <w:bookmarkEnd w:id="86"/>
    <w:p w14:paraId="0CAF1BEF" w14:textId="77777777" w:rsidR="00B70A5D" w:rsidRDefault="00B70A5D" w:rsidP="00B70A5D">
      <w:pPr>
        <w:spacing w:before="60" w:after="60"/>
        <w:ind w:right="159"/>
        <w:rPr>
          <w:i/>
          <w:iCs/>
          <w:sz w:val="20"/>
        </w:rPr>
      </w:pPr>
    </w:p>
    <w:tbl>
      <w:tblPr>
        <w:tblW w:w="9572"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00" w:firstRow="0" w:lastRow="0" w:firstColumn="0" w:lastColumn="0" w:noHBand="0" w:noVBand="1"/>
      </w:tblPr>
      <w:tblGrid>
        <w:gridCol w:w="2263"/>
        <w:gridCol w:w="2209"/>
        <w:gridCol w:w="1346"/>
        <w:gridCol w:w="1346"/>
        <w:gridCol w:w="2408"/>
      </w:tblGrid>
      <w:tr w:rsidR="00B70A5D" w14:paraId="02E7237C" w14:textId="77777777">
        <w:tc>
          <w:tcPr>
            <w:tcW w:w="2263" w:type="dxa"/>
            <w:shd w:val="clear" w:color="auto" w:fill="E6E6E6"/>
          </w:tcPr>
          <w:p w14:paraId="34CF46DD"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309" w:type="dxa"/>
            <w:gridSpan w:val="4"/>
          </w:tcPr>
          <w:p w14:paraId="0EDE581E"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sidRPr="00D64CF0">
              <w:rPr>
                <w:rFonts w:ascii="Cambria Math" w:eastAsia="Cambria Math" w:hAnsi="Cambria Math" w:cs="Cambria Math"/>
                <w:i/>
              </w:rPr>
              <w:t>CD</w:t>
            </w:r>
          </w:p>
        </w:tc>
      </w:tr>
      <w:tr w:rsidR="00B70A5D" w14:paraId="3B7F53D3" w14:textId="77777777">
        <w:tc>
          <w:tcPr>
            <w:tcW w:w="2263" w:type="dxa"/>
            <w:shd w:val="clear" w:color="auto" w:fill="E6E6E6"/>
          </w:tcPr>
          <w:p w14:paraId="78490271"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309" w:type="dxa"/>
            <w:gridSpan w:val="4"/>
          </w:tcPr>
          <w:p w14:paraId="23EFA450"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 Days in a calendar year </w:t>
            </w:r>
            <w:r w:rsidRPr="00536A3B">
              <w:rPr>
                <w:rFonts w:eastAsia="Arial" w:cs="Arial"/>
                <w:i/>
                <w:color w:val="000000" w:themeColor="text1"/>
                <w:sz w:val="20"/>
              </w:rPr>
              <w:t>y</w:t>
            </w:r>
            <w:r w:rsidRPr="18C4CD90">
              <w:rPr>
                <w:rFonts w:eastAsia="Arial" w:cs="Arial"/>
                <w:color w:val="000000" w:themeColor="text1"/>
                <w:sz w:val="20"/>
              </w:rPr>
              <w:t>. Use 366 for leap years</w:t>
            </w:r>
          </w:p>
        </w:tc>
      </w:tr>
      <w:tr w:rsidR="00B70A5D" w14:paraId="03C34BAA" w14:textId="77777777">
        <w:tc>
          <w:tcPr>
            <w:tcW w:w="2263" w:type="dxa"/>
            <w:shd w:val="clear" w:color="auto" w:fill="E6E6E6"/>
          </w:tcPr>
          <w:p w14:paraId="1EBF996D"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309" w:type="dxa"/>
            <w:gridSpan w:val="4"/>
          </w:tcPr>
          <w:p w14:paraId="376DA0EC"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 Number</w:t>
            </w:r>
          </w:p>
        </w:tc>
      </w:tr>
      <w:tr w:rsidR="00B70A5D" w14:paraId="0B2BF963" w14:textId="77777777">
        <w:tc>
          <w:tcPr>
            <w:tcW w:w="2263" w:type="dxa"/>
            <w:shd w:val="clear" w:color="auto" w:fill="E6E6E6"/>
          </w:tcPr>
          <w:p w14:paraId="763A68A2"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Equations referred</w:t>
            </w:r>
          </w:p>
        </w:tc>
        <w:tc>
          <w:tcPr>
            <w:tcW w:w="7309" w:type="dxa"/>
            <w:gridSpan w:val="4"/>
            <w:tcBorders>
              <w:bottom w:val="single" w:sz="4" w:space="0" w:color="000000" w:themeColor="text1"/>
            </w:tcBorders>
          </w:tcPr>
          <w:p w14:paraId="39CD11AD" w14:textId="52ECC574"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themeColor="text1"/>
                <w:sz w:val="20"/>
              </w:rPr>
              <w:t xml:space="preserve">Eq. </w:t>
            </w:r>
            <w:hyperlink w:anchor="e18" w:history="1">
              <w:r w:rsidRPr="003A1A70">
                <w:rPr>
                  <w:rStyle w:val="Hyperlink"/>
                  <w:rFonts w:eastAsia="Arial" w:cs="Arial"/>
                  <w:sz w:val="20"/>
                </w:rPr>
                <w:t>18</w:t>
              </w:r>
            </w:hyperlink>
            <w:r>
              <w:rPr>
                <w:rFonts w:eastAsia="Arial" w:cs="Arial"/>
                <w:color w:val="000000" w:themeColor="text1"/>
                <w:sz w:val="20"/>
              </w:rPr>
              <w:t xml:space="preserve"> and </w:t>
            </w:r>
            <w:hyperlink w:anchor="e21" w:history="1">
              <w:r w:rsidRPr="003A1A70">
                <w:rPr>
                  <w:rStyle w:val="Hyperlink"/>
                  <w:rFonts w:eastAsia="Arial" w:cs="Arial"/>
                  <w:sz w:val="20"/>
                </w:rPr>
                <w:t>21</w:t>
              </w:r>
            </w:hyperlink>
          </w:p>
        </w:tc>
      </w:tr>
      <w:tr w:rsidR="00B70A5D" w14:paraId="4BFDABE8" w14:textId="77777777">
        <w:tc>
          <w:tcPr>
            <w:tcW w:w="2263" w:type="dxa"/>
            <w:vMerge w:val="restart"/>
            <w:shd w:val="clear" w:color="auto" w:fill="E6E6E6"/>
          </w:tcPr>
          <w:p w14:paraId="310AEEC8"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209" w:type="dxa"/>
            <w:tcBorders>
              <w:bottom w:val="nil"/>
              <w:right w:val="nil"/>
            </w:tcBorders>
          </w:tcPr>
          <w:p w14:paraId="0B7741C1"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00F05D8C">
              <w:rPr>
                <w:rFonts w:eastAsia="Arial" w:cs="Arial"/>
                <w:color w:val="000000"/>
                <w:sz w:val="20"/>
                <w:shd w:val="clear" w:color="auto" w:fill="E6E6E6"/>
              </w:rPr>
              <w:t xml:space="preserve"> </w:t>
            </w:r>
            <w:r w:rsidRPr="00F05D8C">
              <w:rPr>
                <w:rFonts w:eastAsia="Arial" w:cs="Arial"/>
                <w:color w:val="000000"/>
                <w:sz w:val="20"/>
              </w:rPr>
              <w:t>Baseline emissions / removals</w:t>
            </w:r>
          </w:p>
        </w:tc>
        <w:tc>
          <w:tcPr>
            <w:tcW w:w="2692" w:type="dxa"/>
            <w:gridSpan w:val="2"/>
            <w:tcBorders>
              <w:left w:val="nil"/>
              <w:bottom w:val="nil"/>
              <w:right w:val="nil"/>
            </w:tcBorders>
          </w:tcPr>
          <w:p w14:paraId="79224D72"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00F05D8C">
              <w:rPr>
                <w:rFonts w:eastAsia="Arial" w:cs="Arial"/>
                <w:color w:val="000000"/>
                <w:sz w:val="20"/>
                <w:shd w:val="clear" w:color="auto" w:fill="E6E6E6"/>
              </w:rPr>
              <w:t xml:space="preserve"> </w:t>
            </w:r>
            <w:r w:rsidRPr="00F05D8C">
              <w:rPr>
                <w:rFonts w:eastAsia="Arial" w:cs="Arial"/>
                <w:color w:val="000000"/>
                <w:sz w:val="20"/>
              </w:rPr>
              <w:t>Project emissions / removals</w:t>
            </w:r>
          </w:p>
        </w:tc>
        <w:tc>
          <w:tcPr>
            <w:tcW w:w="2408" w:type="dxa"/>
            <w:tcBorders>
              <w:left w:val="nil"/>
              <w:bottom w:val="nil"/>
            </w:tcBorders>
          </w:tcPr>
          <w:p w14:paraId="3402016E"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515C0EF3" w14:textId="77777777">
        <w:tc>
          <w:tcPr>
            <w:tcW w:w="2263" w:type="dxa"/>
            <w:vMerge/>
          </w:tcPr>
          <w:p w14:paraId="5DB8C00A"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309" w:type="dxa"/>
            <w:gridSpan w:val="4"/>
            <w:tcBorders>
              <w:top w:val="nil"/>
              <w:bottom w:val="single" w:sz="4" w:space="0" w:color="000000" w:themeColor="text1"/>
            </w:tcBorders>
          </w:tcPr>
          <w:p w14:paraId="13AC3AE5"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eastAsia="Arial" w:cs="Arial"/>
                <w:color w:val="000000"/>
                <w:sz w:val="20"/>
              </w:rPr>
              <w:t>Tick the applicable box(es).</w:t>
            </w:r>
          </w:p>
        </w:tc>
      </w:tr>
      <w:tr w:rsidR="00B70A5D" w14:paraId="3DEC000E" w14:textId="77777777">
        <w:tc>
          <w:tcPr>
            <w:tcW w:w="2263" w:type="dxa"/>
            <w:shd w:val="clear" w:color="auto" w:fill="E6E6E6"/>
          </w:tcPr>
          <w:p w14:paraId="53B65D1D"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309" w:type="dxa"/>
            <w:gridSpan w:val="4"/>
            <w:tcBorders>
              <w:bottom w:val="single" w:sz="4" w:space="0" w:color="000000" w:themeColor="text1"/>
            </w:tcBorders>
          </w:tcPr>
          <w:p w14:paraId="161EFD66" w14:textId="77777777" w:rsidR="00B70A5D" w:rsidRPr="00F05D8C" w:rsidRDefault="00B70A5D">
            <w:pPr>
              <w:pBdr>
                <w:top w:val="nil"/>
                <w:left w:val="nil"/>
                <w:bottom w:val="nil"/>
                <w:right w:val="nil"/>
                <w:between w:val="nil"/>
              </w:pBdr>
              <w:tabs>
                <w:tab w:val="left" w:pos="510"/>
                <w:tab w:val="left" w:pos="315"/>
              </w:tabs>
              <w:spacing w:before="60" w:after="60"/>
              <w:rPr>
                <w:rFonts w:eastAsia="Arial" w:cs="Arial"/>
                <w:color w:val="000000"/>
                <w:sz w:val="20"/>
              </w:rPr>
            </w:pPr>
            <w:r w:rsidRPr="18C4CD90">
              <w:rPr>
                <w:rFonts w:eastAsia="Arial" w:cs="Arial"/>
                <w:color w:val="000000" w:themeColor="text1"/>
                <w:sz w:val="20"/>
              </w:rPr>
              <w:t>365 (non-leap year) or 366 (leap year)</w:t>
            </w:r>
          </w:p>
        </w:tc>
      </w:tr>
      <w:tr w:rsidR="00B70A5D" w14:paraId="76AE3B5A" w14:textId="77777777">
        <w:tc>
          <w:tcPr>
            <w:tcW w:w="2263" w:type="dxa"/>
            <w:vMerge w:val="restart"/>
            <w:shd w:val="clear" w:color="auto" w:fill="E6E6E6"/>
          </w:tcPr>
          <w:p w14:paraId="21CAF64D"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Source of data</w:t>
            </w:r>
          </w:p>
        </w:tc>
        <w:tc>
          <w:tcPr>
            <w:tcW w:w="3555" w:type="dxa"/>
            <w:gridSpan w:val="2"/>
            <w:tcBorders>
              <w:bottom w:val="nil"/>
              <w:right w:val="nil"/>
            </w:tcBorders>
            <w:vAlign w:val="center"/>
          </w:tcPr>
          <w:p w14:paraId="025799F4" w14:textId="77777777" w:rsidR="00B70A5D" w:rsidRPr="00F05D8C"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Measured</w:t>
            </w:r>
          </w:p>
        </w:tc>
        <w:tc>
          <w:tcPr>
            <w:tcW w:w="3754" w:type="dxa"/>
            <w:gridSpan w:val="2"/>
            <w:tcBorders>
              <w:left w:val="nil"/>
              <w:bottom w:val="nil"/>
            </w:tcBorders>
            <w:vAlign w:val="center"/>
          </w:tcPr>
          <w:p w14:paraId="75B9DF08"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shd w:val="clear" w:color="auto" w:fill="E6E6E6"/>
              </w:rPr>
              <w:t xml:space="preserve"> </w:t>
            </w:r>
            <w:r w:rsidRPr="00F05D8C">
              <w:rPr>
                <w:rFonts w:eastAsia="Arial" w:cs="Arial"/>
                <w:color w:val="000000"/>
                <w:sz w:val="20"/>
              </w:rPr>
              <w:t>Other sources</w:t>
            </w:r>
          </w:p>
        </w:tc>
      </w:tr>
      <w:tr w:rsidR="00B70A5D" w14:paraId="503FF4A5" w14:textId="77777777">
        <w:tc>
          <w:tcPr>
            <w:tcW w:w="2263" w:type="dxa"/>
            <w:vMerge/>
          </w:tcPr>
          <w:p w14:paraId="1527EFCC"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309" w:type="dxa"/>
            <w:gridSpan w:val="4"/>
            <w:tcBorders>
              <w:top w:val="nil"/>
            </w:tcBorders>
          </w:tcPr>
          <w:p w14:paraId="38272194" w14:textId="77777777" w:rsidR="00B70A5D" w:rsidRPr="00F05D8C" w:rsidRDefault="00B70A5D">
            <w:pPr>
              <w:pBdr>
                <w:top w:val="nil"/>
                <w:left w:val="nil"/>
                <w:bottom w:val="nil"/>
                <w:right w:val="nil"/>
                <w:between w:val="nil"/>
              </w:pBdr>
              <w:tabs>
                <w:tab w:val="left" w:pos="510"/>
              </w:tabs>
              <w:spacing w:before="60" w:after="60" w:line="259" w:lineRule="auto"/>
              <w:ind w:right="57"/>
              <w:rPr>
                <w:rFonts w:eastAsia="Arial" w:cs="Arial"/>
                <w:sz w:val="20"/>
              </w:rPr>
            </w:pPr>
            <w:r w:rsidRPr="18C4CD90">
              <w:rPr>
                <w:rFonts w:eastAsia="Arial" w:cs="Arial"/>
                <w:color w:val="000000" w:themeColor="text1"/>
                <w:sz w:val="20"/>
              </w:rPr>
              <w:t>N/A</w:t>
            </w:r>
          </w:p>
        </w:tc>
      </w:tr>
      <w:tr w:rsidR="00B70A5D" w14:paraId="3C48AF70" w14:textId="77777777">
        <w:tc>
          <w:tcPr>
            <w:tcW w:w="2263" w:type="dxa"/>
            <w:shd w:val="clear" w:color="auto" w:fill="E6E6E6"/>
          </w:tcPr>
          <w:p w14:paraId="40993B87"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lastRenderedPageBreak/>
              <w:t>Choice of data or measurement methods and procedures</w:t>
            </w:r>
          </w:p>
        </w:tc>
        <w:tc>
          <w:tcPr>
            <w:tcW w:w="7309" w:type="dxa"/>
            <w:gridSpan w:val="4"/>
            <w:tcBorders>
              <w:top w:val="single" w:sz="4" w:space="0" w:color="000000" w:themeColor="text1"/>
            </w:tcBorders>
          </w:tcPr>
          <w:p w14:paraId="518D7EDC" w14:textId="77777777" w:rsidR="00B70A5D" w:rsidRPr="00F05D8C" w:rsidRDefault="00B70A5D">
            <w:pPr>
              <w:pBdr>
                <w:top w:val="nil"/>
                <w:left w:val="nil"/>
                <w:bottom w:val="nil"/>
                <w:right w:val="nil"/>
                <w:between w:val="nil"/>
              </w:pBdr>
              <w:tabs>
                <w:tab w:val="left" w:pos="510"/>
              </w:tabs>
              <w:spacing w:before="60" w:after="60" w:line="259" w:lineRule="auto"/>
              <w:ind w:right="57"/>
              <w:rPr>
                <w:rFonts w:eastAsia="Arial" w:cs="Arial"/>
                <w:sz w:val="20"/>
              </w:rPr>
            </w:pPr>
            <w:r w:rsidRPr="18C4CD90">
              <w:rPr>
                <w:rFonts w:eastAsia="Arial" w:cs="Arial"/>
                <w:color w:val="000000" w:themeColor="text1"/>
                <w:sz w:val="20"/>
              </w:rPr>
              <w:t>N/A</w:t>
            </w:r>
          </w:p>
        </w:tc>
      </w:tr>
      <w:tr w:rsidR="00347552" w14:paraId="116E524C" w14:textId="77777777">
        <w:tc>
          <w:tcPr>
            <w:tcW w:w="2263" w:type="dxa"/>
            <w:shd w:val="clear" w:color="auto" w:fill="E6E6E6"/>
          </w:tcPr>
          <w:p w14:paraId="2DEE65AA" w14:textId="3B2B4145" w:rsidR="00347552" w:rsidRDefault="00347552" w:rsidP="00347552">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t>Treatment of uncertainty</w:t>
            </w:r>
          </w:p>
        </w:tc>
        <w:tc>
          <w:tcPr>
            <w:tcW w:w="7309" w:type="dxa"/>
            <w:gridSpan w:val="4"/>
          </w:tcPr>
          <w:p w14:paraId="2DBEF29E" w14:textId="1ABA36B3" w:rsidR="00347552" w:rsidRPr="18C4CD90" w:rsidRDefault="00925640" w:rsidP="00347552">
            <w:pPr>
              <w:pBdr>
                <w:top w:val="nil"/>
                <w:left w:val="nil"/>
                <w:bottom w:val="nil"/>
                <w:right w:val="nil"/>
                <w:between w:val="nil"/>
              </w:pBdr>
              <w:tabs>
                <w:tab w:val="left" w:pos="510"/>
              </w:tabs>
              <w:spacing w:before="60" w:after="60"/>
              <w:ind w:right="57"/>
              <w:rPr>
                <w:rFonts w:eastAsia="Arial" w:cs="Arial"/>
                <w:color w:val="000000" w:themeColor="text1"/>
                <w:sz w:val="20"/>
              </w:rPr>
            </w:pPr>
            <w:r w:rsidRPr="00F06BDF">
              <w:rPr>
                <w:color w:val="000000" w:themeColor="text1"/>
              </w:rPr>
              <w:t>N/A</w:t>
            </w:r>
          </w:p>
        </w:tc>
      </w:tr>
      <w:tr w:rsidR="00B70A5D" w14:paraId="06148A7D" w14:textId="77777777">
        <w:tc>
          <w:tcPr>
            <w:tcW w:w="2263" w:type="dxa"/>
            <w:shd w:val="clear" w:color="auto" w:fill="E6E6E6"/>
          </w:tcPr>
          <w:p w14:paraId="4B7F3CA5"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309" w:type="dxa"/>
            <w:gridSpan w:val="4"/>
          </w:tcPr>
          <w:p w14:paraId="6B46616D"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w:t>
            </w:r>
          </w:p>
        </w:tc>
      </w:tr>
    </w:tbl>
    <w:p w14:paraId="5D118280"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76934119" w14:textId="77777777">
        <w:tc>
          <w:tcPr>
            <w:tcW w:w="2348" w:type="dxa"/>
            <w:shd w:val="clear" w:color="auto" w:fill="E6E6E6"/>
          </w:tcPr>
          <w:p w14:paraId="03C83EF9"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34247B19" w14:textId="77777777" w:rsidR="00B70A5D" w:rsidRPr="0068686B" w:rsidRDefault="00000000">
            <w:pPr>
              <w:pBdr>
                <w:top w:val="nil"/>
                <w:left w:val="nil"/>
                <w:bottom w:val="nil"/>
                <w:right w:val="nil"/>
                <w:between w:val="nil"/>
              </w:pBdr>
              <w:tabs>
                <w:tab w:val="left" w:pos="510"/>
              </w:tabs>
              <w:spacing w:before="60" w:after="60"/>
              <w:ind w:right="57"/>
              <w:rPr>
                <w:rFonts w:eastAsia="Arial" w:cs="Arial"/>
                <w:b/>
                <w:color w:val="000000"/>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EF</m:t>
                    </m:r>
                  </m:e>
                  <m:sub>
                    <m:r>
                      <w:rPr>
                        <w:rFonts w:ascii="Cambria Math" w:eastAsia="Cambria Math" w:hAnsi="Cambria Math" w:cs="Cambria Math"/>
                      </w:rPr>
                      <m:t>base,i,CO2</m:t>
                    </m:r>
                  </m:sub>
                </m:sSub>
              </m:oMath>
            </m:oMathPara>
          </w:p>
        </w:tc>
      </w:tr>
      <w:tr w:rsidR="00B70A5D" w14:paraId="62A460A0" w14:textId="77777777">
        <w:tc>
          <w:tcPr>
            <w:tcW w:w="2348" w:type="dxa"/>
            <w:shd w:val="clear" w:color="auto" w:fill="E6E6E6"/>
          </w:tcPr>
          <w:p w14:paraId="0A35662E"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3D9D9D32"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CO</w:t>
            </w:r>
            <w:r w:rsidRPr="00584530">
              <w:rPr>
                <w:rFonts w:eastAsia="Arial" w:cs="Arial"/>
                <w:color w:val="000000" w:themeColor="text1"/>
                <w:sz w:val="20"/>
                <w:vertAlign w:val="subscript"/>
              </w:rPr>
              <w:t>2</w:t>
            </w:r>
            <w:r w:rsidRPr="18C4CD90">
              <w:rPr>
                <w:rFonts w:eastAsia="Arial" w:cs="Arial"/>
                <w:color w:val="000000" w:themeColor="text1"/>
                <w:sz w:val="20"/>
              </w:rPr>
              <w:t xml:space="preserve"> emission factor for baseline fuel</w:t>
            </w:r>
            <w:r w:rsidRPr="00536A3B">
              <w:rPr>
                <w:rFonts w:eastAsia="Arial" w:cs="Arial"/>
                <w:i/>
                <w:color w:val="000000" w:themeColor="text1"/>
                <w:sz w:val="20"/>
              </w:rPr>
              <w:t xml:space="preserve"> </w:t>
            </w:r>
            <w:proofErr w:type="spellStart"/>
            <w:r w:rsidRPr="00536A3B">
              <w:rPr>
                <w:rFonts w:eastAsia="Arial" w:cs="Arial"/>
                <w:i/>
                <w:color w:val="000000" w:themeColor="text1"/>
                <w:sz w:val="20"/>
              </w:rPr>
              <w:t>i</w:t>
            </w:r>
            <w:proofErr w:type="spellEnd"/>
          </w:p>
        </w:tc>
      </w:tr>
      <w:tr w:rsidR="00B70A5D" w14:paraId="1E81579C" w14:textId="77777777">
        <w:tc>
          <w:tcPr>
            <w:tcW w:w="2348" w:type="dxa"/>
            <w:shd w:val="clear" w:color="auto" w:fill="E6E6E6"/>
          </w:tcPr>
          <w:p w14:paraId="571BD5AE"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61E16234"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tCO</w:t>
            </w:r>
            <w:r w:rsidRPr="00584530">
              <w:rPr>
                <w:rFonts w:eastAsia="Arial" w:cs="Arial"/>
                <w:color w:val="000000" w:themeColor="text1"/>
                <w:sz w:val="20"/>
                <w:vertAlign w:val="subscript"/>
              </w:rPr>
              <w:t>2</w:t>
            </w:r>
            <w:r w:rsidRPr="18C4CD90">
              <w:rPr>
                <w:rFonts w:eastAsia="Arial" w:cs="Arial"/>
                <w:color w:val="000000" w:themeColor="text1"/>
                <w:sz w:val="20"/>
              </w:rPr>
              <w:t>e/TJ</w:t>
            </w:r>
          </w:p>
        </w:tc>
      </w:tr>
      <w:tr w:rsidR="00B70A5D" w14:paraId="26CE9093" w14:textId="77777777">
        <w:tc>
          <w:tcPr>
            <w:tcW w:w="2348" w:type="dxa"/>
            <w:shd w:val="clear" w:color="auto" w:fill="E6E6E6"/>
          </w:tcPr>
          <w:p w14:paraId="630AB2AB"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2C753066" w14:textId="14948735"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themeColor="text1"/>
                <w:sz w:val="20"/>
              </w:rPr>
              <w:t xml:space="preserve">Eq. </w:t>
            </w:r>
            <w:hyperlink w:anchor="e2" w:history="1">
              <w:r w:rsidRPr="003A1A70">
                <w:rPr>
                  <w:rStyle w:val="Hyperlink"/>
                  <w:rFonts w:eastAsia="Arial" w:cs="Arial"/>
                  <w:sz w:val="20"/>
                </w:rPr>
                <w:t>2</w:t>
              </w:r>
            </w:hyperlink>
            <w:r>
              <w:rPr>
                <w:rFonts w:eastAsia="Arial" w:cs="Arial"/>
                <w:color w:val="000000" w:themeColor="text1"/>
                <w:sz w:val="20"/>
              </w:rPr>
              <w:t xml:space="preserve">, </w:t>
            </w:r>
            <w:hyperlink w:anchor="e13" w:history="1">
              <w:r w:rsidRPr="003A1A70">
                <w:rPr>
                  <w:rStyle w:val="Hyperlink"/>
                  <w:rFonts w:eastAsia="Arial" w:cs="Arial"/>
                  <w:sz w:val="20"/>
                </w:rPr>
                <w:t>13</w:t>
              </w:r>
            </w:hyperlink>
            <w:r>
              <w:rPr>
                <w:rFonts w:eastAsia="Arial" w:cs="Arial"/>
                <w:color w:val="000000" w:themeColor="text1"/>
                <w:sz w:val="20"/>
              </w:rPr>
              <w:t xml:space="preserve">, and </w:t>
            </w:r>
            <w:hyperlink w:anchor="e17" w:history="1">
              <w:r w:rsidRPr="003A1A70">
                <w:rPr>
                  <w:rStyle w:val="Hyperlink"/>
                  <w:rFonts w:eastAsia="Arial" w:cs="Arial"/>
                  <w:sz w:val="20"/>
                </w:rPr>
                <w:t>17</w:t>
              </w:r>
            </w:hyperlink>
          </w:p>
        </w:tc>
      </w:tr>
      <w:tr w:rsidR="00B70A5D" w14:paraId="36BE04E9" w14:textId="77777777">
        <w:tc>
          <w:tcPr>
            <w:tcW w:w="2348" w:type="dxa"/>
            <w:vMerge w:val="restart"/>
            <w:shd w:val="clear" w:color="auto" w:fill="E6E6E6"/>
          </w:tcPr>
          <w:p w14:paraId="5D8D10DF"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eastAsia="Arial" w:cs="Arial"/>
                <w:color w:val="000000" w:themeColor="text1"/>
                <w:sz w:val="20"/>
              </w:rPr>
              <w:t>Purpose of data</w:t>
            </w:r>
          </w:p>
        </w:tc>
        <w:tc>
          <w:tcPr>
            <w:tcW w:w="2408" w:type="dxa"/>
            <w:tcBorders>
              <w:bottom w:val="nil"/>
              <w:right w:val="nil"/>
            </w:tcBorders>
          </w:tcPr>
          <w:p w14:paraId="07CD2111"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Baseline emissions / removals</w:t>
            </w:r>
          </w:p>
        </w:tc>
        <w:tc>
          <w:tcPr>
            <w:tcW w:w="2408" w:type="dxa"/>
            <w:gridSpan w:val="2"/>
            <w:tcBorders>
              <w:left w:val="nil"/>
              <w:bottom w:val="nil"/>
              <w:right w:val="nil"/>
            </w:tcBorders>
          </w:tcPr>
          <w:p w14:paraId="637A4BC9"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Project emissions / removals</w:t>
            </w:r>
          </w:p>
        </w:tc>
        <w:tc>
          <w:tcPr>
            <w:tcW w:w="2408" w:type="dxa"/>
            <w:tcBorders>
              <w:left w:val="nil"/>
              <w:bottom w:val="nil"/>
            </w:tcBorders>
          </w:tcPr>
          <w:p w14:paraId="65BA4A37"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7B438AB5" w14:textId="77777777">
        <w:tc>
          <w:tcPr>
            <w:tcW w:w="2348" w:type="dxa"/>
            <w:vMerge/>
          </w:tcPr>
          <w:p w14:paraId="32CF2BD2"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50D0F49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2977047C" w14:textId="77777777">
        <w:tc>
          <w:tcPr>
            <w:tcW w:w="2348" w:type="dxa"/>
            <w:shd w:val="clear" w:color="auto" w:fill="E6E6E6"/>
          </w:tcPr>
          <w:p w14:paraId="692D43C1"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eastAsia="Arial" w:cs="Arial"/>
                <w:color w:val="000000" w:themeColor="text1"/>
                <w:sz w:val="20"/>
              </w:rPr>
              <w:t>Value(s) applied</w:t>
            </w:r>
          </w:p>
        </w:tc>
        <w:tc>
          <w:tcPr>
            <w:tcW w:w="7224" w:type="dxa"/>
            <w:gridSpan w:val="4"/>
            <w:tcBorders>
              <w:bottom w:val="single" w:sz="4" w:space="0" w:color="000000" w:themeColor="text1"/>
            </w:tcBorders>
          </w:tcPr>
          <w:p w14:paraId="088D22A7" w14:textId="4E044EE2" w:rsidR="00B70A5D" w:rsidRPr="009E42A3" w:rsidRDefault="00B70A5D">
            <w:pPr>
              <w:pBdr>
                <w:top w:val="nil"/>
                <w:left w:val="nil"/>
                <w:bottom w:val="nil"/>
                <w:right w:val="nil"/>
                <w:between w:val="nil"/>
              </w:pBdr>
              <w:tabs>
                <w:tab w:val="left" w:pos="510"/>
                <w:tab w:val="left" w:pos="315"/>
              </w:tabs>
              <w:spacing w:before="60" w:after="60"/>
              <w:ind w:right="57"/>
              <w:rPr>
                <w:rFonts w:eastAsia="Arial" w:cs="Arial"/>
                <w:i/>
                <w:color w:val="000000"/>
                <w:sz w:val="20"/>
              </w:rPr>
            </w:pPr>
            <w:r w:rsidRPr="009E42A3">
              <w:rPr>
                <w:rFonts w:eastAsia="Arial" w:cs="Arial"/>
                <w:color w:val="000000" w:themeColor="text1"/>
                <w:sz w:val="20"/>
              </w:rPr>
              <w:t xml:space="preserve">See </w:t>
            </w:r>
            <w:hyperlink w:anchor="A5" w:history="1">
              <w:r w:rsidRPr="009E42A3">
                <w:rPr>
                  <w:rStyle w:val="Hyperlink"/>
                  <w:rFonts w:eastAsia="Arial" w:cs="Arial"/>
                  <w:i/>
                  <w:iCs/>
                  <w:sz w:val="20"/>
                </w:rPr>
                <w:t>Appendix 5: Default Point of Use Emission Factors, Thermal Efficiencies, and NCVs</w:t>
              </w:r>
              <w:r w:rsidR="00F856FB" w:rsidRPr="009E42A3">
                <w:rPr>
                  <w:rStyle w:val="Hyperlink"/>
                  <w:rFonts w:eastAsia="Arial" w:cs="Arial"/>
                  <w:i/>
                  <w:iCs/>
                  <w:sz w:val="20"/>
                </w:rPr>
                <w:t>.</w:t>
              </w:r>
            </w:hyperlink>
            <w:r w:rsidRPr="009E42A3">
              <w:rPr>
                <w:rFonts w:eastAsia="Arial" w:cs="Arial"/>
                <w:i/>
                <w:iCs/>
                <w:color w:val="000000" w:themeColor="text1"/>
                <w:sz w:val="20"/>
              </w:rPr>
              <w:t xml:space="preserve"> </w:t>
            </w:r>
          </w:p>
        </w:tc>
      </w:tr>
      <w:tr w:rsidR="00B70A5D" w14:paraId="0976CFCA" w14:textId="77777777">
        <w:tc>
          <w:tcPr>
            <w:tcW w:w="2348" w:type="dxa"/>
            <w:vMerge w:val="restart"/>
            <w:shd w:val="clear" w:color="auto" w:fill="E6E6E6"/>
          </w:tcPr>
          <w:p w14:paraId="55F3DC2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eastAsia="Arial" w:cs="Arial"/>
                <w:color w:val="000000" w:themeColor="text1"/>
                <w:sz w:val="20"/>
              </w:rPr>
              <w:t>Source of data</w:t>
            </w:r>
          </w:p>
        </w:tc>
        <w:tc>
          <w:tcPr>
            <w:tcW w:w="3612" w:type="dxa"/>
            <w:gridSpan w:val="2"/>
            <w:tcBorders>
              <w:bottom w:val="nil"/>
              <w:right w:val="nil"/>
            </w:tcBorders>
            <w:vAlign w:val="center"/>
          </w:tcPr>
          <w:p w14:paraId="07513BC8" w14:textId="77777777" w:rsidR="00B70A5D" w:rsidRPr="009E42A3"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9E42A3">
              <w:rPr>
                <w:rFonts w:ascii="Segoe UI Symbol" w:eastAsia="Arial" w:hAnsi="Segoe UI Symbol" w:cs="Segoe UI Symbol"/>
                <w:color w:val="000000"/>
                <w:sz w:val="20"/>
                <w:shd w:val="clear" w:color="auto" w:fill="E6E6E6"/>
              </w:rPr>
              <w:t>☐</w:t>
            </w:r>
            <w:r w:rsidRPr="009E42A3">
              <w:rPr>
                <w:rFonts w:eastAsia="Arial" w:cs="Arial"/>
                <w:color w:val="000000"/>
                <w:sz w:val="20"/>
              </w:rPr>
              <w:t xml:space="preserve"> Measured</w:t>
            </w:r>
          </w:p>
        </w:tc>
        <w:tc>
          <w:tcPr>
            <w:tcW w:w="3612" w:type="dxa"/>
            <w:gridSpan w:val="2"/>
            <w:tcBorders>
              <w:left w:val="nil"/>
              <w:bottom w:val="nil"/>
            </w:tcBorders>
            <w:vAlign w:val="center"/>
          </w:tcPr>
          <w:p w14:paraId="526F0DF2"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9E42A3">
              <w:rPr>
                <w:rFonts w:ascii="Wingdings 2" w:eastAsia="Wingdings 2" w:hAnsi="Wingdings 2" w:cs="Wingdings 2"/>
                <w:color w:val="000000" w:themeColor="text1"/>
                <w:sz w:val="20"/>
              </w:rPr>
              <w:t>T</w:t>
            </w:r>
            <w:r w:rsidRPr="009E42A3">
              <w:rPr>
                <w:rFonts w:eastAsia="Arial" w:cs="Arial"/>
                <w:color w:val="000000" w:themeColor="text1"/>
                <w:sz w:val="20"/>
              </w:rPr>
              <w:t xml:space="preserve"> Other sources</w:t>
            </w:r>
          </w:p>
        </w:tc>
      </w:tr>
      <w:tr w:rsidR="00B70A5D" w14:paraId="37A01283" w14:textId="77777777">
        <w:tc>
          <w:tcPr>
            <w:tcW w:w="2348" w:type="dxa"/>
            <w:vMerge/>
          </w:tcPr>
          <w:p w14:paraId="2E0E27D0"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701A2F93"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3CEC6C9F" w14:textId="77777777">
        <w:tc>
          <w:tcPr>
            <w:tcW w:w="2348" w:type="dxa"/>
            <w:shd w:val="clear" w:color="auto" w:fill="E6E6E6"/>
          </w:tcPr>
          <w:p w14:paraId="12F30C07"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7EB30EA0">
              <w:rPr>
                <w:rFonts w:eastAsia="Arial" w:cs="Arial"/>
                <w:color w:val="000000" w:themeColor="text1"/>
                <w:sz w:val="20"/>
              </w:rPr>
              <w:t>Choice of data or measurement methods and procedures</w:t>
            </w:r>
          </w:p>
        </w:tc>
        <w:tc>
          <w:tcPr>
            <w:tcW w:w="7224" w:type="dxa"/>
            <w:gridSpan w:val="4"/>
            <w:tcBorders>
              <w:top w:val="single" w:sz="4" w:space="0" w:color="000000" w:themeColor="text1"/>
            </w:tcBorders>
          </w:tcPr>
          <w:p w14:paraId="11211341" w14:textId="363B368A"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9E42A3">
              <w:rPr>
                <w:rFonts w:eastAsia="Arial" w:cs="Arial"/>
                <w:color w:val="000000" w:themeColor="text1"/>
                <w:sz w:val="20"/>
              </w:rPr>
              <w:t xml:space="preserve">Default values from the latest version of the IPCC Guidelines for National GHG Inventories are provided for most fuels; other fuels shall use data from peer reviewed sources (see the notes and references listed in </w:t>
            </w:r>
            <w:hyperlink w:anchor="A5" w:history="1">
              <w:r w:rsidRPr="009E42A3">
                <w:rPr>
                  <w:rStyle w:val="Hyperlink"/>
                  <w:rFonts w:eastAsia="Arial" w:cs="Arial"/>
                  <w:sz w:val="20"/>
                </w:rPr>
                <w:t>Appendix 5</w:t>
              </w:r>
            </w:hyperlink>
            <w:r w:rsidRPr="009E42A3">
              <w:rPr>
                <w:rFonts w:eastAsia="Arial" w:cs="Arial"/>
                <w:color w:val="000000" w:themeColor="text1"/>
                <w:sz w:val="20"/>
              </w:rPr>
              <w:t xml:space="preserve">). If a fuel is not included in </w:t>
            </w:r>
            <w:hyperlink w:anchor="A5" w:history="1">
              <w:r w:rsidRPr="009E42A3">
                <w:rPr>
                  <w:rStyle w:val="Hyperlink"/>
                  <w:rFonts w:eastAsia="Arial" w:cs="Arial"/>
                  <w:sz w:val="20"/>
                </w:rPr>
                <w:t>Appendix 5</w:t>
              </w:r>
            </w:hyperlink>
            <w:r w:rsidRPr="009E42A3">
              <w:rPr>
                <w:rFonts w:eastAsia="Arial" w:cs="Arial"/>
                <w:color w:val="000000" w:themeColor="text1"/>
                <w:sz w:val="20"/>
              </w:rPr>
              <w:t>, then use literature-based values or project level tests using ISO 19867.</w:t>
            </w:r>
          </w:p>
        </w:tc>
      </w:tr>
      <w:tr w:rsidR="00347552" w14:paraId="6401C993" w14:textId="77777777">
        <w:tc>
          <w:tcPr>
            <w:tcW w:w="2348" w:type="dxa"/>
            <w:shd w:val="clear" w:color="auto" w:fill="E6E6E6"/>
          </w:tcPr>
          <w:p w14:paraId="2D11E669" w14:textId="3223F085" w:rsidR="00347552" w:rsidRPr="7EB30EA0" w:rsidRDefault="00355A65" w:rsidP="00355A65">
            <w:pPr>
              <w:pBdr>
                <w:top w:val="nil"/>
                <w:left w:val="nil"/>
                <w:bottom w:val="nil"/>
                <w:right w:val="nil"/>
                <w:between w:val="nil"/>
              </w:pBdr>
              <w:tabs>
                <w:tab w:val="left" w:pos="510"/>
              </w:tabs>
              <w:spacing w:before="60" w:after="60"/>
              <w:ind w:right="57"/>
              <w:jc w:val="left"/>
              <w:rPr>
                <w:rFonts w:eastAsia="Arial" w:cs="Arial"/>
                <w:color w:val="000000" w:themeColor="text1"/>
                <w:sz w:val="20"/>
              </w:rPr>
            </w:pPr>
            <w:r w:rsidRPr="002344F4">
              <w:rPr>
                <w:sz w:val="20"/>
              </w:rPr>
              <w:t>Treatment of uncertainty</w:t>
            </w:r>
          </w:p>
        </w:tc>
        <w:tc>
          <w:tcPr>
            <w:tcW w:w="7224" w:type="dxa"/>
            <w:gridSpan w:val="4"/>
          </w:tcPr>
          <w:p w14:paraId="725E1AAB" w14:textId="158D13B8" w:rsidR="00347552" w:rsidRPr="008569FE" w:rsidRDefault="007B4DC7" w:rsidP="007B4DC7">
            <w:pPr>
              <w:tabs>
                <w:tab w:val="left" w:pos="510"/>
              </w:tabs>
              <w:spacing w:before="60" w:after="60"/>
              <w:ind w:right="57"/>
              <w:rPr>
                <w:rFonts w:eastAsia="Arial" w:cs="Arial"/>
                <w:color w:val="000000" w:themeColor="text1"/>
                <w:sz w:val="20"/>
              </w:rPr>
            </w:pPr>
            <w:r w:rsidRPr="007B4DC7">
              <w:rPr>
                <w:rFonts w:eastAsia="Arial" w:cs="Arial"/>
                <w:color w:val="000000" w:themeColor="text1"/>
                <w:sz w:val="20"/>
              </w:rPr>
              <w:t xml:space="preserve">Uncertainty is addressed </w:t>
            </w:r>
            <w:proofErr w:type="gramStart"/>
            <w:r w:rsidRPr="007B4DC7">
              <w:rPr>
                <w:rFonts w:eastAsia="Arial" w:cs="Arial"/>
                <w:color w:val="000000" w:themeColor="text1"/>
                <w:sz w:val="20"/>
              </w:rPr>
              <w:t>through the use of</w:t>
            </w:r>
            <w:proofErr w:type="gramEnd"/>
            <w:r w:rsidRPr="007B4DC7">
              <w:rPr>
                <w:rFonts w:eastAsia="Arial" w:cs="Arial"/>
                <w:color w:val="000000" w:themeColor="text1"/>
                <w:sz w:val="20"/>
              </w:rPr>
              <w:t xml:space="preserve"> conservative default values.</w:t>
            </w:r>
          </w:p>
          <w:p w14:paraId="22C112FA" w14:textId="77777777" w:rsidR="00347552" w:rsidRPr="00F05D8C" w:rsidRDefault="00347552">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623FC39B" w14:textId="77777777">
        <w:tc>
          <w:tcPr>
            <w:tcW w:w="2348" w:type="dxa"/>
            <w:shd w:val="clear" w:color="auto" w:fill="E6E6E6"/>
          </w:tcPr>
          <w:p w14:paraId="550FD897"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eastAsia="Arial" w:cs="Arial"/>
                <w:color w:val="000000" w:themeColor="text1"/>
                <w:sz w:val="20"/>
              </w:rPr>
              <w:t>Additional comments</w:t>
            </w:r>
          </w:p>
        </w:tc>
        <w:tc>
          <w:tcPr>
            <w:tcW w:w="7224" w:type="dxa"/>
            <w:gridSpan w:val="4"/>
          </w:tcPr>
          <w:p w14:paraId="5BF507F9"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bl>
    <w:p w14:paraId="433FFD95"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59C99539" w14:textId="77777777">
        <w:tc>
          <w:tcPr>
            <w:tcW w:w="2348" w:type="dxa"/>
            <w:shd w:val="clear" w:color="auto" w:fill="E6E6E6"/>
          </w:tcPr>
          <w:p w14:paraId="08F002AB"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sidRPr="7EB30EA0">
              <w:rPr>
                <w:rFonts w:eastAsia="Arial" w:cs="Arial"/>
                <w:b/>
                <w:color w:val="000000" w:themeColor="text1"/>
                <w:sz w:val="20"/>
              </w:rPr>
              <w:t>Data/parameter</w:t>
            </w:r>
          </w:p>
        </w:tc>
        <w:tc>
          <w:tcPr>
            <w:tcW w:w="7224" w:type="dxa"/>
            <w:gridSpan w:val="4"/>
          </w:tcPr>
          <w:p w14:paraId="7AA2FCCF" w14:textId="77777777" w:rsidR="00B70A5D" w:rsidRPr="00916C44" w:rsidRDefault="00000000">
            <w:pPr>
              <w:pBdr>
                <w:top w:val="nil"/>
                <w:left w:val="nil"/>
                <w:bottom w:val="nil"/>
                <w:right w:val="nil"/>
                <w:between w:val="nil"/>
              </w:pBdr>
              <w:tabs>
                <w:tab w:val="left" w:pos="510"/>
              </w:tabs>
              <w:spacing w:before="60" w:after="60"/>
              <w:ind w:right="57"/>
              <w:rPr>
                <w:rFonts w:eastAsia="Arial" w:cs="Arial"/>
                <w:b/>
                <w:color w:val="000000"/>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EF</m:t>
                    </m:r>
                  </m:e>
                  <m:sub>
                    <m:r>
                      <w:rPr>
                        <w:rFonts w:ascii="Cambria Math" w:eastAsia="Cambria Math" w:hAnsi="Cambria Math" w:cs="Cambria Math"/>
                      </w:rPr>
                      <m:t>base,i,nonCO2</m:t>
                    </m:r>
                  </m:sub>
                </m:sSub>
              </m:oMath>
            </m:oMathPara>
          </w:p>
        </w:tc>
      </w:tr>
      <w:tr w:rsidR="00B70A5D" w14:paraId="415B58BC" w14:textId="77777777">
        <w:tc>
          <w:tcPr>
            <w:tcW w:w="2348" w:type="dxa"/>
            <w:shd w:val="clear" w:color="auto" w:fill="E6E6E6"/>
          </w:tcPr>
          <w:p w14:paraId="256E87A5"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eastAsia="Arial" w:cs="Arial"/>
                <w:color w:val="000000" w:themeColor="text1"/>
                <w:sz w:val="20"/>
              </w:rPr>
              <w:t>Description</w:t>
            </w:r>
          </w:p>
        </w:tc>
        <w:tc>
          <w:tcPr>
            <w:tcW w:w="7224" w:type="dxa"/>
            <w:gridSpan w:val="4"/>
          </w:tcPr>
          <w:p w14:paraId="1C5699EA"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Non-CO</w:t>
            </w:r>
            <w:r w:rsidRPr="00584530">
              <w:rPr>
                <w:rFonts w:eastAsia="Arial" w:cs="Arial"/>
                <w:color w:val="000000" w:themeColor="text1"/>
                <w:sz w:val="20"/>
                <w:vertAlign w:val="subscript"/>
              </w:rPr>
              <w:t>2</w:t>
            </w:r>
            <w:r w:rsidRPr="18C4CD90">
              <w:rPr>
                <w:rFonts w:eastAsia="Arial" w:cs="Arial"/>
                <w:color w:val="000000" w:themeColor="text1"/>
                <w:sz w:val="20"/>
              </w:rPr>
              <w:t xml:space="preserve"> emission factor for baseline fuel</w:t>
            </w:r>
            <w:r w:rsidRPr="00536A3B">
              <w:rPr>
                <w:rFonts w:eastAsia="Arial" w:cs="Arial"/>
                <w:i/>
                <w:color w:val="000000" w:themeColor="text1"/>
                <w:sz w:val="20"/>
              </w:rPr>
              <w:t xml:space="preserve"> </w:t>
            </w:r>
            <w:proofErr w:type="spellStart"/>
            <w:r w:rsidRPr="00536A3B">
              <w:rPr>
                <w:rFonts w:eastAsia="Arial" w:cs="Arial"/>
                <w:i/>
                <w:color w:val="000000" w:themeColor="text1"/>
                <w:sz w:val="20"/>
              </w:rPr>
              <w:t>i</w:t>
            </w:r>
            <w:proofErr w:type="spellEnd"/>
          </w:p>
        </w:tc>
      </w:tr>
      <w:tr w:rsidR="00B70A5D" w14:paraId="6B17B8FE" w14:textId="77777777">
        <w:tc>
          <w:tcPr>
            <w:tcW w:w="2348" w:type="dxa"/>
            <w:shd w:val="clear" w:color="auto" w:fill="E6E6E6"/>
          </w:tcPr>
          <w:p w14:paraId="6867FD03"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eastAsia="Arial" w:cs="Arial"/>
                <w:color w:val="000000" w:themeColor="text1"/>
                <w:sz w:val="20"/>
              </w:rPr>
              <w:t>Data unit</w:t>
            </w:r>
          </w:p>
        </w:tc>
        <w:tc>
          <w:tcPr>
            <w:tcW w:w="7224" w:type="dxa"/>
            <w:gridSpan w:val="4"/>
          </w:tcPr>
          <w:p w14:paraId="7862385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tCO</w:t>
            </w:r>
            <w:r w:rsidRPr="00584530">
              <w:rPr>
                <w:rFonts w:eastAsia="Arial" w:cs="Arial"/>
                <w:color w:val="000000" w:themeColor="text1"/>
                <w:sz w:val="20"/>
                <w:vertAlign w:val="subscript"/>
              </w:rPr>
              <w:t>2</w:t>
            </w:r>
            <w:r w:rsidRPr="18C4CD90">
              <w:rPr>
                <w:rFonts w:eastAsia="Arial" w:cs="Arial"/>
                <w:color w:val="000000" w:themeColor="text1"/>
                <w:sz w:val="20"/>
              </w:rPr>
              <w:t>e/TJ</w:t>
            </w:r>
          </w:p>
        </w:tc>
      </w:tr>
      <w:tr w:rsidR="00B70A5D" w14:paraId="219FB777" w14:textId="77777777">
        <w:tc>
          <w:tcPr>
            <w:tcW w:w="2348" w:type="dxa"/>
            <w:shd w:val="clear" w:color="auto" w:fill="E6E6E6"/>
          </w:tcPr>
          <w:p w14:paraId="0820D765"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eastAsia="Arial" w:cs="Arial"/>
                <w:color w:val="000000" w:themeColor="text1"/>
                <w:sz w:val="20"/>
              </w:rPr>
              <w:t>Equations referred</w:t>
            </w:r>
          </w:p>
        </w:tc>
        <w:tc>
          <w:tcPr>
            <w:tcW w:w="7224" w:type="dxa"/>
            <w:gridSpan w:val="4"/>
            <w:tcBorders>
              <w:bottom w:val="single" w:sz="4" w:space="0" w:color="000000" w:themeColor="text1"/>
            </w:tcBorders>
          </w:tcPr>
          <w:p w14:paraId="6EF3FF8D" w14:textId="085FAC0C" w:rsidR="00B70A5D" w:rsidRPr="00F05D8C" w:rsidRDefault="003A1A70">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themeColor="text1"/>
                <w:sz w:val="20"/>
              </w:rPr>
              <w:t xml:space="preserve">Eq. </w:t>
            </w:r>
            <w:hyperlink w:anchor="e2" w:history="1">
              <w:r w:rsidRPr="003A1A70">
                <w:rPr>
                  <w:rStyle w:val="Hyperlink"/>
                  <w:rFonts w:eastAsia="Arial" w:cs="Arial"/>
                  <w:sz w:val="20"/>
                </w:rPr>
                <w:t>2</w:t>
              </w:r>
            </w:hyperlink>
            <w:r>
              <w:rPr>
                <w:rFonts w:eastAsia="Arial" w:cs="Arial"/>
                <w:color w:val="000000" w:themeColor="text1"/>
                <w:sz w:val="20"/>
              </w:rPr>
              <w:t xml:space="preserve">, </w:t>
            </w:r>
            <w:hyperlink w:anchor="e13" w:history="1">
              <w:r w:rsidRPr="003A1A70">
                <w:rPr>
                  <w:rStyle w:val="Hyperlink"/>
                  <w:rFonts w:eastAsia="Arial" w:cs="Arial"/>
                  <w:sz w:val="20"/>
                </w:rPr>
                <w:t>13</w:t>
              </w:r>
            </w:hyperlink>
            <w:r>
              <w:rPr>
                <w:rFonts w:eastAsia="Arial" w:cs="Arial"/>
                <w:color w:val="000000" w:themeColor="text1"/>
                <w:sz w:val="20"/>
              </w:rPr>
              <w:t xml:space="preserve">, and </w:t>
            </w:r>
            <w:hyperlink w:anchor="e17" w:history="1">
              <w:r w:rsidRPr="003A1A70">
                <w:rPr>
                  <w:rStyle w:val="Hyperlink"/>
                  <w:rFonts w:eastAsia="Arial" w:cs="Arial"/>
                  <w:sz w:val="20"/>
                </w:rPr>
                <w:t>17</w:t>
              </w:r>
            </w:hyperlink>
          </w:p>
        </w:tc>
      </w:tr>
      <w:tr w:rsidR="00B70A5D" w14:paraId="21C151D7" w14:textId="77777777">
        <w:tc>
          <w:tcPr>
            <w:tcW w:w="2348" w:type="dxa"/>
            <w:vMerge w:val="restart"/>
            <w:shd w:val="clear" w:color="auto" w:fill="E6E6E6"/>
          </w:tcPr>
          <w:p w14:paraId="074E11CC"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eastAsia="Arial" w:cs="Arial"/>
                <w:color w:val="000000" w:themeColor="text1"/>
                <w:sz w:val="20"/>
              </w:rPr>
              <w:t>Purpose of data</w:t>
            </w:r>
          </w:p>
        </w:tc>
        <w:tc>
          <w:tcPr>
            <w:tcW w:w="2408" w:type="dxa"/>
            <w:tcBorders>
              <w:bottom w:val="nil"/>
              <w:right w:val="nil"/>
            </w:tcBorders>
          </w:tcPr>
          <w:p w14:paraId="590D701C"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Baseline emissions / removals</w:t>
            </w:r>
          </w:p>
        </w:tc>
        <w:tc>
          <w:tcPr>
            <w:tcW w:w="2408" w:type="dxa"/>
            <w:gridSpan w:val="2"/>
            <w:tcBorders>
              <w:left w:val="nil"/>
              <w:bottom w:val="nil"/>
              <w:right w:val="nil"/>
            </w:tcBorders>
          </w:tcPr>
          <w:p w14:paraId="7392DA6E"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Project emissions / removals</w:t>
            </w:r>
          </w:p>
        </w:tc>
        <w:tc>
          <w:tcPr>
            <w:tcW w:w="2408" w:type="dxa"/>
            <w:tcBorders>
              <w:left w:val="nil"/>
              <w:bottom w:val="nil"/>
            </w:tcBorders>
          </w:tcPr>
          <w:p w14:paraId="63D29C41"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7D7E53CB" w14:textId="77777777">
        <w:tc>
          <w:tcPr>
            <w:tcW w:w="2348" w:type="dxa"/>
            <w:vMerge/>
          </w:tcPr>
          <w:p w14:paraId="106D71FC"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51BA91F5"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4957DC2D" w14:textId="77777777">
        <w:tc>
          <w:tcPr>
            <w:tcW w:w="2348" w:type="dxa"/>
            <w:shd w:val="clear" w:color="auto" w:fill="E6E6E6"/>
          </w:tcPr>
          <w:p w14:paraId="7261933F"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eastAsia="Arial" w:cs="Arial"/>
                <w:color w:val="000000" w:themeColor="text1"/>
                <w:sz w:val="20"/>
              </w:rPr>
              <w:t>Value(s) applied</w:t>
            </w:r>
          </w:p>
        </w:tc>
        <w:tc>
          <w:tcPr>
            <w:tcW w:w="7224" w:type="dxa"/>
            <w:gridSpan w:val="4"/>
            <w:tcBorders>
              <w:bottom w:val="single" w:sz="4" w:space="0" w:color="000000" w:themeColor="text1"/>
            </w:tcBorders>
          </w:tcPr>
          <w:p w14:paraId="245AC582" w14:textId="779B3A38" w:rsidR="00B70A5D" w:rsidRPr="009E42A3"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r w:rsidRPr="009E42A3">
              <w:rPr>
                <w:rFonts w:eastAsia="Arial" w:cs="Arial"/>
                <w:color w:val="000000" w:themeColor="text1"/>
                <w:sz w:val="20"/>
              </w:rPr>
              <w:t xml:space="preserve">See </w:t>
            </w:r>
            <w:hyperlink w:anchor="A5" w:history="1">
              <w:r w:rsidRPr="009E42A3">
                <w:rPr>
                  <w:rStyle w:val="Hyperlink"/>
                  <w:rFonts w:eastAsia="Arial" w:cs="Arial"/>
                  <w:i/>
                  <w:sz w:val="20"/>
                </w:rPr>
                <w:t>Appendix 5:</w:t>
              </w:r>
              <w:r w:rsidRPr="009E42A3">
                <w:rPr>
                  <w:rStyle w:val="Hyperlink"/>
                  <w:rFonts w:eastAsia="Arial" w:cs="Arial"/>
                  <w:i/>
                  <w:iCs/>
                  <w:sz w:val="20"/>
                </w:rPr>
                <w:t xml:space="preserve"> Default Point of Use Emission Factors, Thermal Efficiencies, and NCVs</w:t>
              </w:r>
              <w:r w:rsidR="007F367F" w:rsidRPr="009E42A3">
                <w:rPr>
                  <w:rStyle w:val="Hyperlink"/>
                  <w:rFonts w:eastAsia="Arial" w:cs="Arial"/>
                  <w:sz w:val="20"/>
                </w:rPr>
                <w:t>.</w:t>
              </w:r>
            </w:hyperlink>
          </w:p>
        </w:tc>
      </w:tr>
      <w:tr w:rsidR="00B70A5D" w14:paraId="5658ECDE" w14:textId="77777777">
        <w:tc>
          <w:tcPr>
            <w:tcW w:w="2348" w:type="dxa"/>
            <w:vMerge w:val="restart"/>
            <w:shd w:val="clear" w:color="auto" w:fill="E6E6E6"/>
          </w:tcPr>
          <w:p w14:paraId="4AA67CEB"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eastAsia="Arial" w:cs="Arial"/>
                <w:color w:val="000000" w:themeColor="text1"/>
                <w:sz w:val="20"/>
              </w:rPr>
              <w:t>Source of data</w:t>
            </w:r>
          </w:p>
        </w:tc>
        <w:tc>
          <w:tcPr>
            <w:tcW w:w="3612" w:type="dxa"/>
            <w:gridSpan w:val="2"/>
            <w:tcBorders>
              <w:bottom w:val="nil"/>
              <w:right w:val="nil"/>
            </w:tcBorders>
            <w:vAlign w:val="center"/>
          </w:tcPr>
          <w:p w14:paraId="701323A7" w14:textId="77777777" w:rsidR="00B70A5D" w:rsidRPr="009E42A3"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9E42A3">
              <w:rPr>
                <w:rFonts w:ascii="Segoe UI Symbol" w:eastAsia="Arial" w:hAnsi="Segoe UI Symbol" w:cs="Segoe UI Symbol"/>
                <w:color w:val="000000"/>
                <w:sz w:val="20"/>
                <w:shd w:val="clear" w:color="auto" w:fill="E6E6E6"/>
              </w:rPr>
              <w:t>☐</w:t>
            </w:r>
            <w:r w:rsidRPr="009E42A3">
              <w:rPr>
                <w:rFonts w:eastAsia="Arial" w:cs="Arial"/>
                <w:color w:val="000000"/>
                <w:sz w:val="20"/>
              </w:rPr>
              <w:t xml:space="preserve"> Measured</w:t>
            </w:r>
          </w:p>
        </w:tc>
        <w:tc>
          <w:tcPr>
            <w:tcW w:w="3612" w:type="dxa"/>
            <w:gridSpan w:val="2"/>
            <w:tcBorders>
              <w:left w:val="nil"/>
              <w:bottom w:val="nil"/>
            </w:tcBorders>
            <w:vAlign w:val="center"/>
          </w:tcPr>
          <w:p w14:paraId="294BA72B"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9E42A3">
              <w:rPr>
                <w:rFonts w:ascii="Wingdings 2" w:eastAsia="Wingdings 2" w:hAnsi="Wingdings 2" w:cs="Wingdings 2"/>
                <w:color w:val="000000" w:themeColor="text1"/>
                <w:sz w:val="20"/>
              </w:rPr>
              <w:t>T</w:t>
            </w:r>
            <w:r w:rsidRPr="009E42A3">
              <w:rPr>
                <w:rFonts w:eastAsia="Arial" w:cs="Arial"/>
                <w:color w:val="000000" w:themeColor="text1"/>
                <w:sz w:val="20"/>
              </w:rPr>
              <w:t xml:space="preserve"> Other sources</w:t>
            </w:r>
          </w:p>
        </w:tc>
      </w:tr>
      <w:tr w:rsidR="00B70A5D" w14:paraId="0B9021F4" w14:textId="77777777">
        <w:tc>
          <w:tcPr>
            <w:tcW w:w="2348" w:type="dxa"/>
            <w:vMerge/>
          </w:tcPr>
          <w:p w14:paraId="2C83EF18"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5C783B84"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6BB0E5FF" w14:textId="77777777">
        <w:tc>
          <w:tcPr>
            <w:tcW w:w="2348" w:type="dxa"/>
            <w:shd w:val="clear" w:color="auto" w:fill="E6E6E6"/>
          </w:tcPr>
          <w:p w14:paraId="33734FCE"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lastRenderedPageBreak/>
              <w:t>Choice of data or measurement methods and procedures</w:t>
            </w:r>
          </w:p>
        </w:tc>
        <w:tc>
          <w:tcPr>
            <w:tcW w:w="7224" w:type="dxa"/>
            <w:gridSpan w:val="4"/>
            <w:tcBorders>
              <w:top w:val="single" w:sz="4" w:space="0" w:color="000000" w:themeColor="text1"/>
            </w:tcBorders>
          </w:tcPr>
          <w:p w14:paraId="69C95438" w14:textId="0754B84B"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9E42A3">
              <w:rPr>
                <w:rFonts w:eastAsia="Arial" w:cs="Arial"/>
                <w:color w:val="000000" w:themeColor="text1"/>
                <w:sz w:val="20"/>
              </w:rPr>
              <w:t xml:space="preserve">Default values from the latest version of the IPCC Guidelines for National GHG Inventories are provided for most fuels; other fuels shall use data from peer reviewed sources (see the notes and references listed in </w:t>
            </w:r>
            <w:hyperlink w:anchor="A5" w:history="1">
              <w:r w:rsidRPr="009E42A3">
                <w:rPr>
                  <w:rStyle w:val="Hyperlink"/>
                  <w:rFonts w:eastAsia="Arial" w:cs="Arial"/>
                  <w:sz w:val="20"/>
                </w:rPr>
                <w:t>Appendix 5</w:t>
              </w:r>
            </w:hyperlink>
            <w:r w:rsidRPr="009E42A3">
              <w:rPr>
                <w:rFonts w:eastAsia="Arial" w:cs="Arial"/>
                <w:color w:val="000000" w:themeColor="text1"/>
                <w:sz w:val="20"/>
              </w:rPr>
              <w:t xml:space="preserve">). If a fuel is not included in </w:t>
            </w:r>
            <w:hyperlink w:anchor="A5" w:history="1">
              <w:r w:rsidRPr="009E42A3">
                <w:rPr>
                  <w:rStyle w:val="Hyperlink"/>
                  <w:rFonts w:eastAsia="Arial" w:cs="Arial"/>
                  <w:sz w:val="20"/>
                </w:rPr>
                <w:t>Appendix 5</w:t>
              </w:r>
            </w:hyperlink>
            <w:r w:rsidRPr="009E42A3">
              <w:rPr>
                <w:rFonts w:eastAsia="Arial" w:cs="Arial"/>
                <w:color w:val="000000" w:themeColor="text1"/>
                <w:sz w:val="20"/>
              </w:rPr>
              <w:t>, then use literature-based values or project level tests using ISO 19867.</w:t>
            </w:r>
          </w:p>
        </w:tc>
      </w:tr>
      <w:tr w:rsidR="00347552" w14:paraId="25F762A9" w14:textId="77777777">
        <w:tc>
          <w:tcPr>
            <w:tcW w:w="2348" w:type="dxa"/>
            <w:shd w:val="clear" w:color="auto" w:fill="E6E6E6"/>
          </w:tcPr>
          <w:p w14:paraId="30048702" w14:textId="3EFAAF4D" w:rsidR="00347552" w:rsidRDefault="00355A65"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t>Treatment of uncertainty</w:t>
            </w:r>
          </w:p>
        </w:tc>
        <w:tc>
          <w:tcPr>
            <w:tcW w:w="7224" w:type="dxa"/>
            <w:gridSpan w:val="4"/>
          </w:tcPr>
          <w:p w14:paraId="186366FC" w14:textId="5E5CE821" w:rsidR="007B4DC7" w:rsidRPr="00731FE4" w:rsidRDefault="007B4DC7" w:rsidP="007B4DC7">
            <w:pPr>
              <w:tabs>
                <w:tab w:val="left" w:pos="510"/>
              </w:tabs>
              <w:spacing w:before="60" w:after="60"/>
              <w:ind w:right="57"/>
              <w:rPr>
                <w:rFonts w:eastAsia="Arial" w:cs="Arial"/>
                <w:color w:val="000000" w:themeColor="text1"/>
                <w:sz w:val="20"/>
              </w:rPr>
            </w:pPr>
            <w:r w:rsidRPr="007B4DC7">
              <w:rPr>
                <w:rFonts w:eastAsia="Arial" w:cs="Arial"/>
                <w:color w:val="000000" w:themeColor="text1"/>
                <w:sz w:val="20"/>
              </w:rPr>
              <w:t xml:space="preserve">Uncertainty is addressed </w:t>
            </w:r>
            <w:proofErr w:type="gramStart"/>
            <w:r w:rsidRPr="007B4DC7">
              <w:rPr>
                <w:rFonts w:eastAsia="Arial" w:cs="Arial"/>
                <w:color w:val="000000" w:themeColor="text1"/>
                <w:sz w:val="20"/>
              </w:rPr>
              <w:t>through the use of</w:t>
            </w:r>
            <w:proofErr w:type="gramEnd"/>
            <w:r w:rsidRPr="007B4DC7">
              <w:rPr>
                <w:rFonts w:eastAsia="Arial" w:cs="Arial"/>
                <w:color w:val="000000" w:themeColor="text1"/>
                <w:sz w:val="20"/>
              </w:rPr>
              <w:t xml:space="preserve"> conservative default values.</w:t>
            </w:r>
          </w:p>
          <w:p w14:paraId="1E90BC99" w14:textId="7FCFE336" w:rsidR="00347552" w:rsidRDefault="00347552" w:rsidP="00347552">
            <w:pPr>
              <w:pStyle w:val="ParaTickBox"/>
              <w:tabs>
                <w:tab w:val="clear" w:pos="510"/>
              </w:tabs>
              <w:ind w:left="0" w:right="57" w:firstLine="0"/>
              <w:jc w:val="both"/>
              <w:rPr>
                <w:i/>
                <w:iCs/>
                <w:color w:val="4F81BD" w:themeColor="accent1"/>
                <w:szCs w:val="20"/>
              </w:rPr>
            </w:pPr>
          </w:p>
          <w:p w14:paraId="38BC2C2C" w14:textId="77777777" w:rsidR="00347552" w:rsidRPr="00F05D8C" w:rsidRDefault="00347552">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71907F83" w14:textId="77777777">
        <w:tc>
          <w:tcPr>
            <w:tcW w:w="2348" w:type="dxa"/>
            <w:shd w:val="clear" w:color="auto" w:fill="E6E6E6"/>
          </w:tcPr>
          <w:p w14:paraId="7C7458ED"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16846E84"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bl>
    <w:p w14:paraId="4F78C252"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644F28A7" w14:textId="77777777">
        <w:tc>
          <w:tcPr>
            <w:tcW w:w="2348" w:type="dxa"/>
            <w:shd w:val="clear" w:color="auto" w:fill="E6E6E6"/>
          </w:tcPr>
          <w:p w14:paraId="66C395D5"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7858089B" w14:textId="77777777" w:rsidR="00B70A5D" w:rsidRPr="00916C44" w:rsidRDefault="00000000">
            <w:pPr>
              <w:pBdr>
                <w:top w:val="nil"/>
                <w:left w:val="nil"/>
                <w:bottom w:val="nil"/>
                <w:right w:val="nil"/>
                <w:between w:val="nil"/>
              </w:pBdr>
              <w:tabs>
                <w:tab w:val="left" w:pos="510"/>
              </w:tabs>
              <w:spacing w:before="60" w:after="60"/>
              <w:ind w:right="57"/>
              <w:rPr>
                <w:rFonts w:eastAsia="Arial" w:cs="Arial"/>
                <w:b/>
                <w:color w:val="000000"/>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EF</m:t>
                    </m:r>
                  </m:e>
                  <m:sub>
                    <m:r>
                      <w:rPr>
                        <w:rFonts w:ascii="Cambria Math" w:eastAsia="Cambria Math" w:hAnsi="Cambria Math" w:cs="Cambria Math"/>
                      </w:rPr>
                      <m:t>proj,j,CO2</m:t>
                    </m:r>
                  </m:sub>
                </m:sSub>
              </m:oMath>
            </m:oMathPara>
          </w:p>
        </w:tc>
      </w:tr>
      <w:tr w:rsidR="00B70A5D" w14:paraId="31605AAD" w14:textId="77777777">
        <w:tc>
          <w:tcPr>
            <w:tcW w:w="2348" w:type="dxa"/>
            <w:shd w:val="clear" w:color="auto" w:fill="E6E6E6"/>
          </w:tcPr>
          <w:p w14:paraId="4BD782BB"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25BF27A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CO</w:t>
            </w:r>
            <w:r w:rsidRPr="00584530">
              <w:rPr>
                <w:rFonts w:eastAsia="Arial" w:cs="Arial"/>
                <w:color w:val="000000" w:themeColor="text1"/>
                <w:sz w:val="20"/>
                <w:vertAlign w:val="subscript"/>
              </w:rPr>
              <w:t>2</w:t>
            </w:r>
            <w:r w:rsidRPr="18C4CD90">
              <w:rPr>
                <w:rFonts w:eastAsia="Arial" w:cs="Arial"/>
                <w:color w:val="000000" w:themeColor="text1"/>
                <w:sz w:val="20"/>
              </w:rPr>
              <w:t xml:space="preserve"> emission factor for project fuel</w:t>
            </w:r>
            <w:r w:rsidRPr="00536A3B">
              <w:rPr>
                <w:rFonts w:eastAsia="Arial" w:cs="Arial"/>
                <w:i/>
                <w:color w:val="000000" w:themeColor="text1"/>
                <w:sz w:val="20"/>
              </w:rPr>
              <w:t xml:space="preserve"> j</w:t>
            </w:r>
          </w:p>
        </w:tc>
      </w:tr>
      <w:tr w:rsidR="00B70A5D" w14:paraId="4AB2A69C" w14:textId="77777777">
        <w:tc>
          <w:tcPr>
            <w:tcW w:w="2348" w:type="dxa"/>
            <w:shd w:val="clear" w:color="auto" w:fill="E6E6E6"/>
          </w:tcPr>
          <w:p w14:paraId="58837D1B"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476361FB"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tCO</w:t>
            </w:r>
            <w:r w:rsidRPr="00584530">
              <w:rPr>
                <w:rFonts w:eastAsia="Arial" w:cs="Arial"/>
                <w:color w:val="000000" w:themeColor="text1"/>
                <w:sz w:val="20"/>
                <w:vertAlign w:val="subscript"/>
              </w:rPr>
              <w:t>2</w:t>
            </w:r>
            <w:r w:rsidRPr="18C4CD90">
              <w:rPr>
                <w:rFonts w:eastAsia="Arial" w:cs="Arial"/>
                <w:color w:val="000000" w:themeColor="text1"/>
                <w:sz w:val="20"/>
              </w:rPr>
              <w:t>e/TJ</w:t>
            </w:r>
          </w:p>
        </w:tc>
      </w:tr>
      <w:tr w:rsidR="00B70A5D" w14:paraId="42E55B6C" w14:textId="77777777">
        <w:tc>
          <w:tcPr>
            <w:tcW w:w="2348" w:type="dxa"/>
            <w:shd w:val="clear" w:color="auto" w:fill="E6E6E6"/>
          </w:tcPr>
          <w:p w14:paraId="42AE9300"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3E4A4928" w14:textId="77E8EF4C"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themeColor="text1"/>
                <w:sz w:val="20"/>
              </w:rPr>
              <w:t xml:space="preserve">Eq. </w:t>
            </w:r>
            <w:hyperlink w:anchor="e7" w:history="1">
              <w:r w:rsidRPr="003A1A70">
                <w:rPr>
                  <w:rStyle w:val="Hyperlink"/>
                  <w:rFonts w:eastAsia="Arial" w:cs="Arial"/>
                  <w:sz w:val="20"/>
                </w:rPr>
                <w:t>7</w:t>
              </w:r>
            </w:hyperlink>
            <w:r w:rsidRPr="00584530">
              <w:rPr>
                <w:rFonts w:eastAsia="Arial" w:cs="Arial"/>
                <w:color w:val="000000" w:themeColor="text1"/>
                <w:sz w:val="20"/>
              </w:rPr>
              <w:t xml:space="preserve">, </w:t>
            </w:r>
            <w:hyperlink w:anchor="e15" w:history="1">
              <w:r w:rsidRPr="003A1A70">
                <w:rPr>
                  <w:rStyle w:val="Hyperlink"/>
                  <w:rFonts w:eastAsia="Arial" w:cs="Arial"/>
                  <w:sz w:val="20"/>
                </w:rPr>
                <w:t>15</w:t>
              </w:r>
            </w:hyperlink>
            <w:r w:rsidRPr="00584530">
              <w:rPr>
                <w:rFonts w:eastAsia="Arial" w:cs="Arial"/>
                <w:color w:val="000000" w:themeColor="text1"/>
                <w:sz w:val="20"/>
              </w:rPr>
              <w:t xml:space="preserve">, and </w:t>
            </w:r>
            <w:hyperlink w:anchor="e20" w:history="1">
              <w:r w:rsidRPr="003A1A70">
                <w:rPr>
                  <w:rStyle w:val="Hyperlink"/>
                  <w:rFonts w:eastAsia="Arial" w:cs="Arial"/>
                  <w:sz w:val="20"/>
                </w:rPr>
                <w:t>20</w:t>
              </w:r>
            </w:hyperlink>
          </w:p>
        </w:tc>
      </w:tr>
      <w:tr w:rsidR="00B70A5D" w14:paraId="65BAC846" w14:textId="77777777">
        <w:tc>
          <w:tcPr>
            <w:tcW w:w="2348" w:type="dxa"/>
            <w:vMerge w:val="restart"/>
            <w:shd w:val="clear" w:color="auto" w:fill="E6E6E6"/>
          </w:tcPr>
          <w:p w14:paraId="73F11A8B"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tcBorders>
              <w:bottom w:val="nil"/>
              <w:right w:val="nil"/>
            </w:tcBorders>
          </w:tcPr>
          <w:p w14:paraId="03943E4F"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Baseline emissions / removals</w:t>
            </w:r>
          </w:p>
        </w:tc>
        <w:tc>
          <w:tcPr>
            <w:tcW w:w="2408" w:type="dxa"/>
            <w:gridSpan w:val="2"/>
            <w:tcBorders>
              <w:left w:val="nil"/>
              <w:bottom w:val="nil"/>
              <w:right w:val="nil"/>
            </w:tcBorders>
          </w:tcPr>
          <w:p w14:paraId="69272142"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Project emissions / removals</w:t>
            </w:r>
          </w:p>
        </w:tc>
        <w:tc>
          <w:tcPr>
            <w:tcW w:w="2408" w:type="dxa"/>
            <w:tcBorders>
              <w:left w:val="nil"/>
              <w:bottom w:val="nil"/>
            </w:tcBorders>
          </w:tcPr>
          <w:p w14:paraId="1D33C289"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4D109155" w14:textId="77777777">
        <w:tc>
          <w:tcPr>
            <w:tcW w:w="2348" w:type="dxa"/>
            <w:vMerge/>
          </w:tcPr>
          <w:p w14:paraId="49A222B6"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6C1A6E91"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2730666A" w14:textId="77777777">
        <w:tc>
          <w:tcPr>
            <w:tcW w:w="2348" w:type="dxa"/>
            <w:shd w:val="clear" w:color="auto" w:fill="E6E6E6"/>
          </w:tcPr>
          <w:p w14:paraId="0FA45002"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224" w:type="dxa"/>
            <w:gridSpan w:val="4"/>
            <w:tcBorders>
              <w:bottom w:val="single" w:sz="4" w:space="0" w:color="000000" w:themeColor="text1"/>
            </w:tcBorders>
          </w:tcPr>
          <w:p w14:paraId="2D9E264F" w14:textId="762E1766" w:rsidR="00B70A5D" w:rsidRPr="009E42A3"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r w:rsidRPr="009E42A3">
              <w:rPr>
                <w:rFonts w:eastAsia="Arial" w:cs="Arial"/>
                <w:color w:val="000000" w:themeColor="text1"/>
                <w:sz w:val="20"/>
              </w:rPr>
              <w:t xml:space="preserve">See </w:t>
            </w:r>
            <w:hyperlink w:anchor="A5" w:history="1">
              <w:r w:rsidRPr="009E42A3">
                <w:rPr>
                  <w:rStyle w:val="Hyperlink"/>
                  <w:rFonts w:eastAsia="Arial" w:cs="Arial"/>
                  <w:sz w:val="20"/>
                </w:rPr>
                <w:t xml:space="preserve">Appendix 5: </w:t>
              </w:r>
              <w:r w:rsidRPr="009E42A3">
                <w:rPr>
                  <w:rStyle w:val="Hyperlink"/>
                  <w:rFonts w:eastAsia="Arial" w:cs="Arial"/>
                  <w:i/>
                  <w:iCs/>
                  <w:sz w:val="20"/>
                </w:rPr>
                <w:t>Default Point of Use Emission Factors, Thermal Efficiencies, and NCVs</w:t>
              </w:r>
            </w:hyperlink>
            <w:r w:rsidRPr="009E42A3">
              <w:rPr>
                <w:rFonts w:eastAsia="Arial" w:cs="Arial"/>
                <w:color w:val="000000" w:themeColor="text1"/>
                <w:sz w:val="20"/>
              </w:rPr>
              <w:t xml:space="preserve"> </w:t>
            </w:r>
          </w:p>
        </w:tc>
      </w:tr>
      <w:tr w:rsidR="00B70A5D" w14:paraId="51C63E8B" w14:textId="77777777">
        <w:tc>
          <w:tcPr>
            <w:tcW w:w="2348" w:type="dxa"/>
            <w:vMerge w:val="restart"/>
            <w:shd w:val="clear" w:color="auto" w:fill="E6E6E6"/>
          </w:tcPr>
          <w:p w14:paraId="06D5AF7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Source of data</w:t>
            </w:r>
          </w:p>
        </w:tc>
        <w:tc>
          <w:tcPr>
            <w:tcW w:w="3612" w:type="dxa"/>
            <w:gridSpan w:val="2"/>
            <w:tcBorders>
              <w:bottom w:val="nil"/>
              <w:right w:val="nil"/>
            </w:tcBorders>
            <w:vAlign w:val="center"/>
          </w:tcPr>
          <w:p w14:paraId="4EB8986E" w14:textId="77777777" w:rsidR="00B70A5D" w:rsidRPr="009E42A3"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9E42A3">
              <w:rPr>
                <w:rFonts w:ascii="Segoe UI Symbol" w:eastAsia="Arial" w:hAnsi="Segoe UI Symbol" w:cs="Segoe UI Symbol"/>
                <w:color w:val="000000"/>
                <w:sz w:val="20"/>
                <w:shd w:val="clear" w:color="auto" w:fill="E6E6E6"/>
              </w:rPr>
              <w:t>☐</w:t>
            </w:r>
            <w:r w:rsidRPr="009E42A3">
              <w:rPr>
                <w:rFonts w:eastAsia="Arial" w:cs="Arial"/>
                <w:color w:val="000000"/>
                <w:sz w:val="20"/>
              </w:rPr>
              <w:t xml:space="preserve"> Measured</w:t>
            </w:r>
          </w:p>
        </w:tc>
        <w:tc>
          <w:tcPr>
            <w:tcW w:w="3612" w:type="dxa"/>
            <w:gridSpan w:val="2"/>
            <w:tcBorders>
              <w:left w:val="nil"/>
              <w:bottom w:val="nil"/>
            </w:tcBorders>
            <w:vAlign w:val="center"/>
          </w:tcPr>
          <w:p w14:paraId="1ABCA302"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9E42A3">
              <w:rPr>
                <w:rFonts w:ascii="Wingdings 2" w:eastAsia="Wingdings 2" w:hAnsi="Wingdings 2" w:cs="Wingdings 2"/>
                <w:color w:val="000000" w:themeColor="text1"/>
                <w:sz w:val="20"/>
              </w:rPr>
              <w:t>T</w:t>
            </w:r>
            <w:r w:rsidRPr="009E42A3">
              <w:rPr>
                <w:rFonts w:eastAsia="Arial" w:cs="Arial"/>
                <w:color w:val="000000" w:themeColor="text1"/>
                <w:sz w:val="20"/>
              </w:rPr>
              <w:t xml:space="preserve"> Other sources</w:t>
            </w:r>
          </w:p>
        </w:tc>
      </w:tr>
      <w:tr w:rsidR="00B70A5D" w14:paraId="7D3FA37C" w14:textId="77777777">
        <w:tc>
          <w:tcPr>
            <w:tcW w:w="2348" w:type="dxa"/>
            <w:vMerge/>
          </w:tcPr>
          <w:p w14:paraId="3D5A4AE4"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4BF7D1FD"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71011B54" w14:textId="77777777">
        <w:tc>
          <w:tcPr>
            <w:tcW w:w="2348" w:type="dxa"/>
            <w:shd w:val="clear" w:color="auto" w:fill="E6E6E6"/>
          </w:tcPr>
          <w:p w14:paraId="0D6FBE51"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t>Choice of data or measurement methods and procedures</w:t>
            </w:r>
          </w:p>
        </w:tc>
        <w:tc>
          <w:tcPr>
            <w:tcW w:w="7224" w:type="dxa"/>
            <w:gridSpan w:val="4"/>
            <w:tcBorders>
              <w:top w:val="single" w:sz="4" w:space="0" w:color="000000" w:themeColor="text1"/>
            </w:tcBorders>
          </w:tcPr>
          <w:p w14:paraId="12E4DD0E" w14:textId="77FBEBA9"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9E42A3">
              <w:rPr>
                <w:rFonts w:eastAsia="Arial" w:cs="Arial"/>
                <w:color w:val="000000" w:themeColor="text1"/>
                <w:sz w:val="20"/>
              </w:rPr>
              <w:t xml:space="preserve">Default values from the latest version of the IPCC Guidelines for National GHG Inventories are provided for most fuels; other fuels shall use data from peer reviewed sources (see the notes and references listed in </w:t>
            </w:r>
            <w:hyperlink w:anchor="A5" w:history="1">
              <w:r w:rsidRPr="009E42A3">
                <w:rPr>
                  <w:rStyle w:val="Hyperlink"/>
                  <w:rFonts w:eastAsia="Arial" w:cs="Arial"/>
                  <w:sz w:val="20"/>
                </w:rPr>
                <w:t>Appendix 5</w:t>
              </w:r>
            </w:hyperlink>
            <w:r w:rsidRPr="009E42A3">
              <w:rPr>
                <w:rFonts w:eastAsia="Arial" w:cs="Arial"/>
                <w:color w:val="000000" w:themeColor="text1"/>
                <w:sz w:val="20"/>
              </w:rPr>
              <w:t xml:space="preserve">). If a fuel is not included in </w:t>
            </w:r>
            <w:hyperlink w:anchor="A5" w:history="1">
              <w:r w:rsidRPr="009E42A3">
                <w:rPr>
                  <w:rStyle w:val="Hyperlink"/>
                  <w:rFonts w:eastAsia="Arial" w:cs="Arial"/>
                  <w:sz w:val="20"/>
                </w:rPr>
                <w:t>Appendix 5</w:t>
              </w:r>
            </w:hyperlink>
            <w:r w:rsidRPr="009E42A3">
              <w:rPr>
                <w:rFonts w:eastAsia="Arial" w:cs="Arial"/>
                <w:color w:val="000000" w:themeColor="text1"/>
                <w:sz w:val="20"/>
              </w:rPr>
              <w:t>, then use literature-based values or project level tests using ISO 19867.</w:t>
            </w:r>
          </w:p>
        </w:tc>
      </w:tr>
      <w:tr w:rsidR="00347552" w14:paraId="209A1E53" w14:textId="77777777">
        <w:tc>
          <w:tcPr>
            <w:tcW w:w="2348" w:type="dxa"/>
            <w:shd w:val="clear" w:color="auto" w:fill="E6E6E6"/>
          </w:tcPr>
          <w:p w14:paraId="79C35AD5" w14:textId="01B2AF46" w:rsidR="00347552" w:rsidRDefault="00355A65"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t>Treatment of uncertainty</w:t>
            </w:r>
          </w:p>
        </w:tc>
        <w:tc>
          <w:tcPr>
            <w:tcW w:w="7224" w:type="dxa"/>
            <w:gridSpan w:val="4"/>
          </w:tcPr>
          <w:p w14:paraId="668451BF" w14:textId="654C836E" w:rsidR="007B4DC7" w:rsidRPr="00731FE4" w:rsidRDefault="007B4DC7" w:rsidP="007B4DC7">
            <w:pPr>
              <w:tabs>
                <w:tab w:val="left" w:pos="510"/>
              </w:tabs>
              <w:spacing w:before="60" w:after="60"/>
              <w:ind w:right="57"/>
              <w:rPr>
                <w:rFonts w:eastAsia="Arial" w:cs="Arial"/>
                <w:color w:val="000000" w:themeColor="text1"/>
                <w:sz w:val="20"/>
              </w:rPr>
            </w:pPr>
            <w:r w:rsidRPr="007B4DC7">
              <w:rPr>
                <w:rFonts w:eastAsia="Arial" w:cs="Arial"/>
                <w:color w:val="000000" w:themeColor="text1"/>
                <w:sz w:val="20"/>
              </w:rPr>
              <w:t xml:space="preserve">Uncertainty is addressed </w:t>
            </w:r>
            <w:proofErr w:type="gramStart"/>
            <w:r w:rsidRPr="007B4DC7">
              <w:rPr>
                <w:rFonts w:eastAsia="Arial" w:cs="Arial"/>
                <w:color w:val="000000" w:themeColor="text1"/>
                <w:sz w:val="20"/>
              </w:rPr>
              <w:t>through the use of</w:t>
            </w:r>
            <w:proofErr w:type="gramEnd"/>
            <w:r w:rsidRPr="007B4DC7">
              <w:rPr>
                <w:rFonts w:eastAsia="Arial" w:cs="Arial"/>
                <w:color w:val="000000" w:themeColor="text1"/>
                <w:sz w:val="20"/>
              </w:rPr>
              <w:t xml:space="preserve"> conservative default values.</w:t>
            </w:r>
          </w:p>
          <w:p w14:paraId="5680A72C" w14:textId="5CAA2883" w:rsidR="00347552" w:rsidRPr="00347552" w:rsidRDefault="00347552" w:rsidP="00347552">
            <w:pPr>
              <w:pStyle w:val="ParaTickBox"/>
              <w:tabs>
                <w:tab w:val="clear" w:pos="510"/>
              </w:tabs>
              <w:ind w:left="0" w:right="57" w:firstLine="0"/>
              <w:jc w:val="both"/>
              <w:rPr>
                <w:i/>
                <w:iCs/>
                <w:color w:val="4F81BD" w:themeColor="accent1"/>
                <w:szCs w:val="20"/>
              </w:rPr>
            </w:pPr>
          </w:p>
        </w:tc>
      </w:tr>
      <w:tr w:rsidR="00B70A5D" w14:paraId="67B226E5" w14:textId="77777777">
        <w:tc>
          <w:tcPr>
            <w:tcW w:w="2348" w:type="dxa"/>
            <w:shd w:val="clear" w:color="auto" w:fill="E6E6E6"/>
          </w:tcPr>
          <w:p w14:paraId="52825D07"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6E37A497"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bl>
    <w:p w14:paraId="388B0AB7"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2F64489C" w14:textId="77777777">
        <w:tc>
          <w:tcPr>
            <w:tcW w:w="2348" w:type="dxa"/>
            <w:shd w:val="clear" w:color="auto" w:fill="E6E6E6"/>
          </w:tcPr>
          <w:p w14:paraId="4926DB0F"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72AE9A59" w14:textId="77777777" w:rsidR="00B70A5D" w:rsidRPr="00916C44" w:rsidRDefault="00000000">
            <w:pPr>
              <w:pBdr>
                <w:top w:val="nil"/>
                <w:left w:val="nil"/>
                <w:bottom w:val="nil"/>
                <w:right w:val="nil"/>
                <w:between w:val="nil"/>
              </w:pBdr>
              <w:tabs>
                <w:tab w:val="left" w:pos="510"/>
              </w:tabs>
              <w:spacing w:before="60" w:after="60"/>
              <w:ind w:right="57"/>
              <w:rPr>
                <w:rFonts w:eastAsia="Arial" w:cs="Arial"/>
                <w:b/>
                <w:color w:val="000000"/>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EF</m:t>
                    </m:r>
                  </m:e>
                  <m:sub>
                    <m:r>
                      <w:rPr>
                        <w:rFonts w:ascii="Cambria Math" w:eastAsia="Cambria Math" w:hAnsi="Cambria Math" w:cs="Cambria Math"/>
                      </w:rPr>
                      <m:t>proj,j,nonCO2</m:t>
                    </m:r>
                  </m:sub>
                </m:sSub>
              </m:oMath>
            </m:oMathPara>
          </w:p>
        </w:tc>
      </w:tr>
      <w:tr w:rsidR="00B70A5D" w14:paraId="5404FE7A" w14:textId="77777777">
        <w:tc>
          <w:tcPr>
            <w:tcW w:w="2348" w:type="dxa"/>
            <w:shd w:val="clear" w:color="auto" w:fill="E6E6E6"/>
          </w:tcPr>
          <w:p w14:paraId="35426150"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4E9C0F55"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Non-CO</w:t>
            </w:r>
            <w:r w:rsidRPr="00584530">
              <w:rPr>
                <w:rFonts w:eastAsia="Arial" w:cs="Arial"/>
                <w:color w:val="000000" w:themeColor="text1"/>
                <w:sz w:val="20"/>
                <w:vertAlign w:val="subscript"/>
              </w:rPr>
              <w:t>2</w:t>
            </w:r>
            <w:r w:rsidRPr="18C4CD90">
              <w:rPr>
                <w:rFonts w:eastAsia="Arial" w:cs="Arial"/>
                <w:color w:val="000000" w:themeColor="text1"/>
                <w:sz w:val="20"/>
              </w:rPr>
              <w:t xml:space="preserve"> emission factor for project fuel</w:t>
            </w:r>
            <w:r w:rsidRPr="00536A3B">
              <w:rPr>
                <w:rFonts w:eastAsia="Arial" w:cs="Arial"/>
                <w:i/>
                <w:color w:val="000000" w:themeColor="text1"/>
                <w:sz w:val="20"/>
              </w:rPr>
              <w:t xml:space="preserve"> j</w:t>
            </w:r>
            <w:r w:rsidRPr="18C4CD90">
              <w:rPr>
                <w:rFonts w:eastAsia="Arial" w:cs="Arial"/>
                <w:color w:val="000000" w:themeColor="text1"/>
                <w:sz w:val="20"/>
              </w:rPr>
              <w:t xml:space="preserve">  </w:t>
            </w:r>
          </w:p>
        </w:tc>
      </w:tr>
      <w:tr w:rsidR="00B70A5D" w14:paraId="1DCF2DC8" w14:textId="77777777">
        <w:tc>
          <w:tcPr>
            <w:tcW w:w="2348" w:type="dxa"/>
            <w:shd w:val="clear" w:color="auto" w:fill="E6E6E6"/>
          </w:tcPr>
          <w:p w14:paraId="5EA37CEA"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40FBFABE"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tCO</w:t>
            </w:r>
            <w:r w:rsidRPr="00584530">
              <w:rPr>
                <w:rFonts w:eastAsia="Arial" w:cs="Arial"/>
                <w:color w:val="000000" w:themeColor="text1"/>
                <w:sz w:val="20"/>
                <w:vertAlign w:val="subscript"/>
              </w:rPr>
              <w:t>2</w:t>
            </w:r>
            <w:r w:rsidRPr="18C4CD90">
              <w:rPr>
                <w:rFonts w:eastAsia="Arial" w:cs="Arial"/>
                <w:color w:val="000000" w:themeColor="text1"/>
                <w:sz w:val="20"/>
              </w:rPr>
              <w:t>e/TJ</w:t>
            </w:r>
          </w:p>
        </w:tc>
      </w:tr>
      <w:tr w:rsidR="00B70A5D" w14:paraId="06A5E40D" w14:textId="77777777">
        <w:tc>
          <w:tcPr>
            <w:tcW w:w="2348" w:type="dxa"/>
            <w:shd w:val="clear" w:color="auto" w:fill="E6E6E6"/>
          </w:tcPr>
          <w:p w14:paraId="301C1492"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404DE062" w14:textId="7ABC70A7" w:rsidR="00B70A5D" w:rsidRPr="00F05D8C" w:rsidRDefault="003A1A70">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themeColor="text1"/>
                <w:sz w:val="20"/>
              </w:rPr>
              <w:t xml:space="preserve">Eq. </w:t>
            </w:r>
            <w:hyperlink w:anchor="e7" w:history="1">
              <w:r w:rsidRPr="003A1A70">
                <w:rPr>
                  <w:rStyle w:val="Hyperlink"/>
                  <w:rFonts w:eastAsia="Arial" w:cs="Arial"/>
                  <w:sz w:val="20"/>
                </w:rPr>
                <w:t>7</w:t>
              </w:r>
            </w:hyperlink>
            <w:r w:rsidRPr="00584530">
              <w:rPr>
                <w:rFonts w:eastAsia="Arial" w:cs="Arial"/>
                <w:color w:val="000000" w:themeColor="text1"/>
                <w:sz w:val="20"/>
              </w:rPr>
              <w:t xml:space="preserve">, </w:t>
            </w:r>
            <w:hyperlink w:anchor="e15" w:history="1">
              <w:r w:rsidRPr="003A1A70">
                <w:rPr>
                  <w:rStyle w:val="Hyperlink"/>
                  <w:rFonts w:eastAsia="Arial" w:cs="Arial"/>
                  <w:sz w:val="20"/>
                </w:rPr>
                <w:t>15</w:t>
              </w:r>
            </w:hyperlink>
            <w:r w:rsidRPr="00584530">
              <w:rPr>
                <w:rFonts w:eastAsia="Arial" w:cs="Arial"/>
                <w:color w:val="000000" w:themeColor="text1"/>
                <w:sz w:val="20"/>
              </w:rPr>
              <w:t xml:space="preserve">, and </w:t>
            </w:r>
            <w:hyperlink w:anchor="e20" w:history="1">
              <w:r w:rsidRPr="003A1A70">
                <w:rPr>
                  <w:rStyle w:val="Hyperlink"/>
                  <w:rFonts w:eastAsia="Arial" w:cs="Arial"/>
                  <w:sz w:val="20"/>
                </w:rPr>
                <w:t>20</w:t>
              </w:r>
            </w:hyperlink>
          </w:p>
        </w:tc>
      </w:tr>
      <w:tr w:rsidR="00B70A5D" w14:paraId="5B6F3D5A" w14:textId="77777777">
        <w:tc>
          <w:tcPr>
            <w:tcW w:w="2348" w:type="dxa"/>
            <w:vMerge w:val="restart"/>
            <w:shd w:val="clear" w:color="auto" w:fill="E6E6E6"/>
          </w:tcPr>
          <w:p w14:paraId="252A6F09"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tcBorders>
              <w:bottom w:val="nil"/>
              <w:right w:val="nil"/>
            </w:tcBorders>
          </w:tcPr>
          <w:p w14:paraId="67F27B77"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Baseline emissions / removals</w:t>
            </w:r>
          </w:p>
        </w:tc>
        <w:tc>
          <w:tcPr>
            <w:tcW w:w="2408" w:type="dxa"/>
            <w:gridSpan w:val="2"/>
            <w:tcBorders>
              <w:left w:val="nil"/>
              <w:bottom w:val="nil"/>
              <w:right w:val="nil"/>
            </w:tcBorders>
          </w:tcPr>
          <w:p w14:paraId="5C778435"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Project emissions / removals</w:t>
            </w:r>
          </w:p>
        </w:tc>
        <w:tc>
          <w:tcPr>
            <w:tcW w:w="2408" w:type="dxa"/>
            <w:tcBorders>
              <w:left w:val="nil"/>
              <w:bottom w:val="nil"/>
            </w:tcBorders>
          </w:tcPr>
          <w:p w14:paraId="7017C862"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730F1ED3" w14:textId="77777777">
        <w:tc>
          <w:tcPr>
            <w:tcW w:w="2348" w:type="dxa"/>
            <w:vMerge/>
          </w:tcPr>
          <w:p w14:paraId="5591994F"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4DB34FF4"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303F8AA7" w14:textId="77777777">
        <w:tc>
          <w:tcPr>
            <w:tcW w:w="2348" w:type="dxa"/>
            <w:shd w:val="clear" w:color="auto" w:fill="E6E6E6"/>
          </w:tcPr>
          <w:p w14:paraId="261E8708"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224" w:type="dxa"/>
            <w:gridSpan w:val="4"/>
            <w:tcBorders>
              <w:bottom w:val="single" w:sz="4" w:space="0" w:color="000000" w:themeColor="text1"/>
            </w:tcBorders>
          </w:tcPr>
          <w:p w14:paraId="7C2EF37A" w14:textId="03F7B7AF" w:rsidR="00B70A5D" w:rsidRPr="009E42A3"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r w:rsidRPr="009E42A3">
              <w:rPr>
                <w:rFonts w:eastAsia="Arial" w:cs="Arial"/>
                <w:color w:val="000000" w:themeColor="text1"/>
                <w:sz w:val="20"/>
              </w:rPr>
              <w:t xml:space="preserve">See </w:t>
            </w:r>
            <w:hyperlink w:anchor="A5" w:history="1">
              <w:r w:rsidRPr="009E42A3">
                <w:rPr>
                  <w:rStyle w:val="Hyperlink"/>
                  <w:rFonts w:eastAsia="Arial" w:cs="Arial"/>
                  <w:i/>
                  <w:iCs/>
                  <w:sz w:val="20"/>
                </w:rPr>
                <w:t>Appendix 5: Default Point of Use Emission Factors, Thermal Efficiencies, and NCVs</w:t>
              </w:r>
              <w:r w:rsidR="001D678F" w:rsidRPr="009E42A3">
                <w:rPr>
                  <w:rStyle w:val="Hyperlink"/>
                  <w:rFonts w:eastAsia="Arial" w:cs="Arial"/>
                  <w:sz w:val="20"/>
                </w:rPr>
                <w:t>.</w:t>
              </w:r>
            </w:hyperlink>
          </w:p>
        </w:tc>
      </w:tr>
      <w:tr w:rsidR="00B70A5D" w14:paraId="32795685" w14:textId="77777777">
        <w:tc>
          <w:tcPr>
            <w:tcW w:w="2348" w:type="dxa"/>
            <w:vMerge w:val="restart"/>
            <w:shd w:val="clear" w:color="auto" w:fill="E6E6E6"/>
          </w:tcPr>
          <w:p w14:paraId="10B701E9"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Source of data</w:t>
            </w:r>
          </w:p>
        </w:tc>
        <w:tc>
          <w:tcPr>
            <w:tcW w:w="3612" w:type="dxa"/>
            <w:gridSpan w:val="2"/>
            <w:tcBorders>
              <w:bottom w:val="nil"/>
              <w:right w:val="nil"/>
            </w:tcBorders>
            <w:vAlign w:val="center"/>
          </w:tcPr>
          <w:p w14:paraId="57D107EF" w14:textId="77777777" w:rsidR="00B70A5D" w:rsidRPr="009E42A3"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9E42A3">
              <w:rPr>
                <w:rFonts w:ascii="Wingdings 2" w:eastAsia="Wingdings 2" w:hAnsi="Wingdings 2" w:cs="Wingdings 2"/>
                <w:color w:val="000000" w:themeColor="text1"/>
                <w:sz w:val="20"/>
              </w:rPr>
              <w:t>T</w:t>
            </w:r>
            <w:r w:rsidRPr="009E42A3">
              <w:rPr>
                <w:rFonts w:eastAsia="Arial" w:cs="Arial"/>
                <w:color w:val="000000" w:themeColor="text1"/>
                <w:sz w:val="20"/>
              </w:rPr>
              <w:t xml:space="preserve"> </w:t>
            </w:r>
            <w:r w:rsidRPr="009E42A3">
              <w:rPr>
                <w:rFonts w:eastAsia="Arial" w:cs="Arial"/>
                <w:color w:val="000000"/>
                <w:sz w:val="20"/>
              </w:rPr>
              <w:t>Measured</w:t>
            </w:r>
          </w:p>
        </w:tc>
        <w:tc>
          <w:tcPr>
            <w:tcW w:w="3612" w:type="dxa"/>
            <w:gridSpan w:val="2"/>
            <w:tcBorders>
              <w:left w:val="nil"/>
              <w:bottom w:val="nil"/>
            </w:tcBorders>
            <w:vAlign w:val="center"/>
          </w:tcPr>
          <w:p w14:paraId="092A2FD3"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9E42A3">
              <w:rPr>
                <w:rFonts w:ascii="Wingdings 2" w:eastAsia="Wingdings 2" w:hAnsi="Wingdings 2" w:cs="Wingdings 2"/>
                <w:color w:val="000000" w:themeColor="text1"/>
                <w:sz w:val="20"/>
              </w:rPr>
              <w:t>T</w:t>
            </w:r>
            <w:r w:rsidRPr="009E42A3">
              <w:rPr>
                <w:rFonts w:eastAsia="Arial" w:cs="Arial"/>
                <w:color w:val="000000"/>
                <w:sz w:val="20"/>
                <w:shd w:val="clear" w:color="auto" w:fill="E6E6E6"/>
              </w:rPr>
              <w:t xml:space="preserve"> </w:t>
            </w:r>
            <w:r w:rsidRPr="009E42A3">
              <w:rPr>
                <w:rFonts w:eastAsia="Arial" w:cs="Arial"/>
                <w:color w:val="000000"/>
                <w:sz w:val="20"/>
              </w:rPr>
              <w:t>Other sources</w:t>
            </w:r>
          </w:p>
        </w:tc>
      </w:tr>
      <w:tr w:rsidR="00B70A5D" w14:paraId="0C9FE5DC" w14:textId="77777777">
        <w:tc>
          <w:tcPr>
            <w:tcW w:w="2348" w:type="dxa"/>
            <w:vMerge/>
          </w:tcPr>
          <w:p w14:paraId="73F8EDE0"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2FCAA81B"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57C7FAD4" w14:textId="77777777">
        <w:tc>
          <w:tcPr>
            <w:tcW w:w="2348" w:type="dxa"/>
            <w:shd w:val="clear" w:color="auto" w:fill="E6E6E6"/>
          </w:tcPr>
          <w:p w14:paraId="6D41D86D"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t>Choice of data or measurement methods and procedures</w:t>
            </w:r>
          </w:p>
        </w:tc>
        <w:tc>
          <w:tcPr>
            <w:tcW w:w="7224" w:type="dxa"/>
            <w:gridSpan w:val="4"/>
            <w:tcBorders>
              <w:top w:val="single" w:sz="4" w:space="0" w:color="000000" w:themeColor="text1"/>
            </w:tcBorders>
          </w:tcPr>
          <w:p w14:paraId="1218AD95" w14:textId="57CF068E"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9E42A3">
              <w:rPr>
                <w:rFonts w:eastAsia="Arial" w:cs="Arial"/>
                <w:color w:val="000000" w:themeColor="text1"/>
                <w:sz w:val="20"/>
              </w:rPr>
              <w:t xml:space="preserve">Default values from the latest version of the IPCC Guidelines for National GHG Inventories are provided for most fuels; other fuels shall use data from peer reviewed sources (see the notes and references listed in </w:t>
            </w:r>
            <w:hyperlink w:anchor="A5" w:history="1">
              <w:r w:rsidRPr="009E42A3">
                <w:rPr>
                  <w:rStyle w:val="Hyperlink"/>
                  <w:rFonts w:eastAsia="Arial" w:cs="Arial"/>
                  <w:sz w:val="20"/>
                </w:rPr>
                <w:t>Appendix 5</w:t>
              </w:r>
            </w:hyperlink>
            <w:r w:rsidRPr="009E42A3">
              <w:rPr>
                <w:rFonts w:eastAsia="Arial" w:cs="Arial"/>
                <w:color w:val="000000" w:themeColor="text1"/>
                <w:sz w:val="20"/>
              </w:rPr>
              <w:t xml:space="preserve">). If a fuel is not included in </w:t>
            </w:r>
            <w:hyperlink w:anchor="A5" w:history="1">
              <w:r w:rsidRPr="009E42A3">
                <w:rPr>
                  <w:rStyle w:val="Hyperlink"/>
                  <w:rFonts w:eastAsia="Arial" w:cs="Arial"/>
                  <w:sz w:val="20"/>
                </w:rPr>
                <w:t>Appendix 5</w:t>
              </w:r>
            </w:hyperlink>
            <w:r w:rsidRPr="009E42A3">
              <w:rPr>
                <w:rFonts w:eastAsia="Arial" w:cs="Arial"/>
                <w:color w:val="000000" w:themeColor="text1"/>
                <w:sz w:val="20"/>
              </w:rPr>
              <w:t>, then use literature-based values or project level tests using ISO 19867.</w:t>
            </w:r>
          </w:p>
        </w:tc>
      </w:tr>
      <w:tr w:rsidR="00347552" w14:paraId="622290EF" w14:textId="77777777">
        <w:tc>
          <w:tcPr>
            <w:tcW w:w="2348" w:type="dxa"/>
            <w:shd w:val="clear" w:color="auto" w:fill="E6E6E6"/>
          </w:tcPr>
          <w:p w14:paraId="3DF8A936" w14:textId="5870FD4F" w:rsidR="00347552" w:rsidRDefault="00355A65"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t>Treatment of uncertainty</w:t>
            </w:r>
          </w:p>
        </w:tc>
        <w:tc>
          <w:tcPr>
            <w:tcW w:w="7224" w:type="dxa"/>
            <w:gridSpan w:val="4"/>
          </w:tcPr>
          <w:p w14:paraId="06D9EB3D" w14:textId="06E0FE7D" w:rsidR="007B4DC7" w:rsidRPr="00731FE4" w:rsidRDefault="007B4DC7" w:rsidP="007B4DC7">
            <w:pPr>
              <w:tabs>
                <w:tab w:val="left" w:pos="510"/>
              </w:tabs>
              <w:spacing w:before="60" w:after="60"/>
              <w:ind w:right="57"/>
              <w:rPr>
                <w:rFonts w:eastAsia="Arial" w:cs="Arial"/>
                <w:color w:val="000000" w:themeColor="text1"/>
                <w:sz w:val="20"/>
              </w:rPr>
            </w:pPr>
            <w:r w:rsidRPr="007B4DC7">
              <w:rPr>
                <w:rFonts w:eastAsia="Arial" w:cs="Arial"/>
                <w:color w:val="000000" w:themeColor="text1"/>
                <w:sz w:val="20"/>
              </w:rPr>
              <w:t xml:space="preserve">Uncertainty is addressed </w:t>
            </w:r>
            <w:proofErr w:type="gramStart"/>
            <w:r w:rsidRPr="007B4DC7">
              <w:rPr>
                <w:rFonts w:eastAsia="Arial" w:cs="Arial"/>
                <w:color w:val="000000" w:themeColor="text1"/>
                <w:sz w:val="20"/>
              </w:rPr>
              <w:t>through the use of</w:t>
            </w:r>
            <w:proofErr w:type="gramEnd"/>
            <w:r w:rsidRPr="007B4DC7">
              <w:rPr>
                <w:rFonts w:eastAsia="Arial" w:cs="Arial"/>
                <w:color w:val="000000" w:themeColor="text1"/>
                <w:sz w:val="20"/>
              </w:rPr>
              <w:t xml:space="preserve"> conservative default values.</w:t>
            </w:r>
          </w:p>
          <w:p w14:paraId="07805AA8" w14:textId="7930DA68" w:rsidR="00347552" w:rsidRPr="00347552" w:rsidRDefault="00347552" w:rsidP="00347552">
            <w:pPr>
              <w:pStyle w:val="ParaTickBox"/>
              <w:tabs>
                <w:tab w:val="clear" w:pos="510"/>
              </w:tabs>
              <w:ind w:left="0" w:right="57" w:firstLine="0"/>
              <w:jc w:val="both"/>
              <w:rPr>
                <w:i/>
                <w:iCs/>
                <w:color w:val="4F81BD" w:themeColor="accent1"/>
                <w:szCs w:val="20"/>
              </w:rPr>
            </w:pPr>
          </w:p>
        </w:tc>
      </w:tr>
      <w:tr w:rsidR="00B70A5D" w14:paraId="1AA45D99" w14:textId="77777777">
        <w:tc>
          <w:tcPr>
            <w:tcW w:w="2348" w:type="dxa"/>
            <w:shd w:val="clear" w:color="auto" w:fill="E6E6E6"/>
          </w:tcPr>
          <w:p w14:paraId="2DEE7EB8"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31801B4E"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bl>
    <w:p w14:paraId="2EA77D64"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7B93DA34" w14:textId="77777777">
        <w:tc>
          <w:tcPr>
            <w:tcW w:w="2348" w:type="dxa"/>
            <w:shd w:val="clear" w:color="auto" w:fill="E6E6E6"/>
          </w:tcPr>
          <w:p w14:paraId="6A8231C1"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1FBB9D72" w14:textId="77777777" w:rsidR="00B70A5D" w:rsidRDefault="00000000">
            <w:pPr>
              <w:pBdr>
                <w:top w:val="nil"/>
                <w:left w:val="nil"/>
                <w:bottom w:val="nil"/>
                <w:right w:val="nil"/>
                <w:between w:val="nil"/>
              </w:pBdr>
              <w:tabs>
                <w:tab w:val="left" w:pos="510"/>
              </w:tabs>
              <w:spacing w:before="60" w:after="60"/>
              <w:ind w:right="57"/>
              <w:rPr>
                <w:rFonts w:eastAsia="Arial" w:cs="Arial"/>
                <w:b/>
                <w:color w:val="000000"/>
                <w:sz w:val="20"/>
              </w:rPr>
            </w:pPr>
            <w:sdt>
              <w:sdtPr>
                <w:tag w:val="goog_rdk_114"/>
                <w:id w:val="247470505"/>
              </w:sdtPr>
              <w:sdtContent>
                <m:oMath>
                  <m:sSub>
                    <m:sSubPr>
                      <m:ctrlPr>
                        <w:rPr>
                          <w:rFonts w:ascii="Cambria Math" w:eastAsia="Cambria Math" w:hAnsi="Cambria Math" w:cs="Cambria Math"/>
                        </w:rPr>
                      </m:ctrlPr>
                    </m:sSubPr>
                    <m:e>
                      <m:r>
                        <w:rPr>
                          <w:rFonts w:ascii="Cambria Math" w:eastAsia="Cambria Math" w:hAnsi="Cambria Math" w:cs="Cambria Math"/>
                        </w:rPr>
                        <m:t>EF</m:t>
                      </m:r>
                    </m:e>
                    <m:sub>
                      <m:r>
                        <w:rPr>
                          <w:rFonts w:ascii="Cambria Math" w:eastAsia="Cambria Math" w:hAnsi="Cambria Math" w:cs="Cambria Math"/>
                        </w:rPr>
                        <m:t>i,upstream</m:t>
                      </m:r>
                    </m:sub>
                  </m:sSub>
                </m:oMath>
              </w:sdtContent>
            </w:sdt>
            <w:r w:rsidR="00B70A5D">
              <w:t xml:space="preserve"> and </w:t>
            </w:r>
            <w:sdt>
              <w:sdtPr>
                <w:tag w:val="goog_rdk_114"/>
                <w:id w:val="1898627449"/>
              </w:sdtPr>
              <w:sdtContent>
                <m:oMath>
                  <m:sSub>
                    <m:sSubPr>
                      <m:ctrlPr>
                        <w:rPr>
                          <w:rFonts w:ascii="Cambria Math" w:eastAsia="Cambria Math" w:hAnsi="Cambria Math" w:cs="Cambria Math"/>
                        </w:rPr>
                      </m:ctrlPr>
                    </m:sSubPr>
                    <m:e>
                      <m:r>
                        <w:rPr>
                          <w:rFonts w:ascii="Cambria Math" w:eastAsia="Cambria Math" w:hAnsi="Cambria Math" w:cs="Cambria Math"/>
                        </w:rPr>
                        <m:t>EF</m:t>
                      </m:r>
                    </m:e>
                    <m:sub>
                      <m:r>
                        <w:rPr>
                          <w:rFonts w:ascii="Cambria Math" w:eastAsia="Cambria Math" w:hAnsi="Cambria Math" w:cs="Cambria Math"/>
                        </w:rPr>
                        <m:t>j,upstream</m:t>
                      </m:r>
                    </m:sub>
                  </m:sSub>
                </m:oMath>
              </w:sdtContent>
            </w:sdt>
          </w:p>
        </w:tc>
      </w:tr>
      <w:tr w:rsidR="00B70A5D" w14:paraId="59101B81" w14:textId="77777777">
        <w:tc>
          <w:tcPr>
            <w:tcW w:w="2348" w:type="dxa"/>
            <w:shd w:val="clear" w:color="auto" w:fill="E6E6E6"/>
          </w:tcPr>
          <w:p w14:paraId="7226FB2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5C7D96D4"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Upstream emission factor for fuel</w:t>
            </w:r>
            <w:r w:rsidRPr="00536A3B">
              <w:rPr>
                <w:rFonts w:eastAsia="Arial" w:cs="Arial"/>
                <w:i/>
                <w:color w:val="000000" w:themeColor="text1"/>
                <w:sz w:val="20"/>
              </w:rPr>
              <w:t xml:space="preserve"> </w:t>
            </w:r>
            <w:proofErr w:type="spellStart"/>
            <w:r w:rsidRPr="00536A3B">
              <w:rPr>
                <w:rFonts w:eastAsia="Arial" w:cs="Arial"/>
                <w:i/>
                <w:color w:val="000000" w:themeColor="text1"/>
                <w:sz w:val="20"/>
              </w:rPr>
              <w:t>i</w:t>
            </w:r>
            <w:proofErr w:type="spellEnd"/>
            <w:r w:rsidRPr="18C4CD90">
              <w:rPr>
                <w:rFonts w:eastAsia="Arial" w:cs="Arial"/>
                <w:color w:val="000000" w:themeColor="text1"/>
                <w:sz w:val="20"/>
              </w:rPr>
              <w:t xml:space="preserve"> in baseline or fuel</w:t>
            </w:r>
            <w:r w:rsidRPr="00536A3B">
              <w:rPr>
                <w:rFonts w:eastAsia="Arial" w:cs="Arial"/>
                <w:i/>
                <w:color w:val="000000" w:themeColor="text1"/>
                <w:sz w:val="20"/>
              </w:rPr>
              <w:t xml:space="preserve"> j</w:t>
            </w:r>
            <w:r w:rsidRPr="18C4CD90">
              <w:rPr>
                <w:rFonts w:eastAsia="Arial" w:cs="Arial"/>
                <w:color w:val="000000" w:themeColor="text1"/>
                <w:sz w:val="20"/>
              </w:rPr>
              <w:t xml:space="preserve"> in project scenario</w:t>
            </w:r>
          </w:p>
        </w:tc>
      </w:tr>
      <w:tr w:rsidR="00B70A5D" w14:paraId="7B2C4039" w14:textId="77777777">
        <w:tc>
          <w:tcPr>
            <w:tcW w:w="2348" w:type="dxa"/>
            <w:shd w:val="clear" w:color="auto" w:fill="E6E6E6"/>
          </w:tcPr>
          <w:p w14:paraId="59FC118F"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363A71CB"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tCO</w:t>
            </w:r>
            <w:r w:rsidRPr="00584530">
              <w:rPr>
                <w:rFonts w:eastAsia="Arial" w:cs="Arial"/>
                <w:color w:val="000000" w:themeColor="text1"/>
                <w:sz w:val="20"/>
                <w:vertAlign w:val="subscript"/>
              </w:rPr>
              <w:t>2</w:t>
            </w:r>
            <w:r w:rsidRPr="18C4CD90">
              <w:rPr>
                <w:rFonts w:eastAsia="Arial" w:cs="Arial"/>
                <w:color w:val="000000" w:themeColor="text1"/>
                <w:sz w:val="20"/>
              </w:rPr>
              <w:t>e/TJ</w:t>
            </w:r>
          </w:p>
        </w:tc>
      </w:tr>
      <w:tr w:rsidR="00B70A5D" w14:paraId="48D94184" w14:textId="77777777">
        <w:tc>
          <w:tcPr>
            <w:tcW w:w="2348" w:type="dxa"/>
            <w:shd w:val="clear" w:color="auto" w:fill="E6E6E6"/>
          </w:tcPr>
          <w:p w14:paraId="6BA8D5D9"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4720CB82" w14:textId="213BD22F" w:rsidR="00B70A5D" w:rsidRPr="001C7A73" w:rsidRDefault="00000000">
            <w:pPr>
              <w:pBdr>
                <w:top w:val="nil"/>
                <w:left w:val="nil"/>
                <w:bottom w:val="nil"/>
                <w:right w:val="nil"/>
                <w:between w:val="nil"/>
              </w:pBdr>
              <w:tabs>
                <w:tab w:val="left" w:pos="510"/>
              </w:tabs>
              <w:spacing w:before="60" w:after="60"/>
              <w:ind w:right="57"/>
              <w:rPr>
                <w:rFonts w:eastAsia="Arial" w:cs="Arial"/>
                <w:color w:val="000000" w:themeColor="text1"/>
                <w:sz w:val="20"/>
              </w:rPr>
            </w:pPr>
            <w:sdt>
              <w:sdtPr>
                <w:tag w:val="goog_rdk_114"/>
                <w:id w:val="241224286"/>
              </w:sdtPr>
              <w:sdtContent>
                <m:oMath>
                  <m:sSub>
                    <m:sSubPr>
                      <m:ctrlPr>
                        <w:rPr>
                          <w:rFonts w:ascii="Cambria Math" w:eastAsia="Cambria Math" w:hAnsi="Cambria Math" w:cs="Cambria Math"/>
                        </w:rPr>
                      </m:ctrlPr>
                    </m:sSubPr>
                    <m:e>
                      <m:r>
                        <w:rPr>
                          <w:rFonts w:ascii="Cambria Math" w:eastAsia="Cambria Math" w:hAnsi="Cambria Math" w:cs="Cambria Math"/>
                        </w:rPr>
                        <m:t>EF</m:t>
                      </m:r>
                    </m:e>
                    <m:sub>
                      <m:r>
                        <w:rPr>
                          <w:rFonts w:ascii="Cambria Math" w:eastAsia="Cambria Math" w:hAnsi="Cambria Math" w:cs="Cambria Math"/>
                        </w:rPr>
                        <m:t>i,upstream</m:t>
                      </m:r>
                    </m:sub>
                  </m:sSub>
                </m:oMath>
              </w:sdtContent>
            </w:sdt>
            <w:r w:rsidR="00B70A5D" w:rsidRPr="00F12546">
              <w:rPr>
                <w:rFonts w:eastAsia="Arial" w:cs="Arial"/>
                <w:color w:val="000000" w:themeColor="text1"/>
                <w:sz w:val="20"/>
              </w:rPr>
              <w:t xml:space="preserve">: </w:t>
            </w:r>
            <w:hyperlink w:anchor="e27" w:history="1">
              <w:r w:rsidR="00B70A5D" w:rsidRPr="003A1A70">
                <w:rPr>
                  <w:rStyle w:val="Hyperlink"/>
                  <w:rFonts w:eastAsia="Arial" w:cs="Arial"/>
                  <w:sz w:val="20"/>
                </w:rPr>
                <w:t>Eq. 27</w:t>
              </w:r>
            </w:hyperlink>
          </w:p>
          <w:p w14:paraId="502C26CC" w14:textId="2EE730EE" w:rsidR="00B70A5D" w:rsidRPr="00F05D8C" w:rsidRDefault="00000000">
            <w:pPr>
              <w:pBdr>
                <w:top w:val="nil"/>
                <w:left w:val="nil"/>
                <w:bottom w:val="nil"/>
                <w:right w:val="nil"/>
                <w:between w:val="nil"/>
              </w:pBdr>
              <w:tabs>
                <w:tab w:val="left" w:pos="510"/>
              </w:tabs>
              <w:spacing w:before="60" w:after="60"/>
              <w:ind w:right="57"/>
              <w:rPr>
                <w:rFonts w:eastAsia="Arial" w:cs="Arial"/>
                <w:color w:val="000000"/>
                <w:sz w:val="20"/>
              </w:rPr>
            </w:pPr>
            <w:sdt>
              <w:sdtPr>
                <w:tag w:val="goog_rdk_114"/>
                <w:id w:val="57208130"/>
              </w:sdtPr>
              <w:sdtContent>
                <m:oMath>
                  <m:sSub>
                    <m:sSubPr>
                      <m:ctrlPr>
                        <w:rPr>
                          <w:rFonts w:ascii="Cambria Math" w:eastAsia="Cambria Math" w:hAnsi="Cambria Math" w:cs="Cambria Math"/>
                        </w:rPr>
                      </m:ctrlPr>
                    </m:sSubPr>
                    <m:e>
                      <m:r>
                        <w:rPr>
                          <w:rFonts w:ascii="Cambria Math" w:eastAsia="Cambria Math" w:hAnsi="Cambria Math" w:cs="Cambria Math"/>
                        </w:rPr>
                        <m:t>EF</m:t>
                      </m:r>
                    </m:e>
                    <m:sub>
                      <m:r>
                        <w:rPr>
                          <w:rFonts w:ascii="Cambria Math" w:eastAsia="Cambria Math" w:hAnsi="Cambria Math" w:cs="Cambria Math"/>
                        </w:rPr>
                        <m:t>j,upstream</m:t>
                      </m:r>
                    </m:sub>
                  </m:sSub>
                </m:oMath>
              </w:sdtContent>
            </w:sdt>
            <w:r w:rsidR="00B70A5D">
              <w:t>:</w:t>
            </w:r>
            <w:r w:rsidR="00B70A5D">
              <w:rPr>
                <w:rFonts w:eastAsia="Arial" w:cs="Arial"/>
                <w:color w:val="000000" w:themeColor="text1"/>
                <w:sz w:val="20"/>
              </w:rPr>
              <w:t xml:space="preserve"> </w:t>
            </w:r>
            <w:hyperlink w:anchor="e28" w:history="1">
              <w:r w:rsidR="00B70A5D" w:rsidRPr="003A1A70">
                <w:rPr>
                  <w:rStyle w:val="Hyperlink"/>
                  <w:rFonts w:eastAsia="Arial" w:cs="Arial"/>
                  <w:sz w:val="20"/>
                </w:rPr>
                <w:t>Eq. 28</w:t>
              </w:r>
            </w:hyperlink>
          </w:p>
        </w:tc>
      </w:tr>
      <w:tr w:rsidR="00B70A5D" w14:paraId="7B877484" w14:textId="77777777">
        <w:tc>
          <w:tcPr>
            <w:tcW w:w="2348" w:type="dxa"/>
            <w:vMerge w:val="restart"/>
            <w:shd w:val="clear" w:color="auto" w:fill="E6E6E6"/>
          </w:tcPr>
          <w:p w14:paraId="51B343E3"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tcBorders>
              <w:bottom w:val="nil"/>
              <w:right w:val="nil"/>
            </w:tcBorders>
          </w:tcPr>
          <w:p w14:paraId="65403A9F"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00F05D8C">
              <w:rPr>
                <w:rFonts w:eastAsia="Arial" w:cs="Arial"/>
                <w:color w:val="000000"/>
                <w:sz w:val="20"/>
                <w:shd w:val="clear" w:color="auto" w:fill="E6E6E6"/>
              </w:rPr>
              <w:t xml:space="preserve"> </w:t>
            </w:r>
            <w:r w:rsidRPr="00F05D8C">
              <w:rPr>
                <w:rFonts w:eastAsia="Arial" w:cs="Arial"/>
                <w:color w:val="000000"/>
                <w:sz w:val="20"/>
              </w:rPr>
              <w:t>Baseline emissions / removals</w:t>
            </w:r>
          </w:p>
        </w:tc>
        <w:tc>
          <w:tcPr>
            <w:tcW w:w="2408" w:type="dxa"/>
            <w:gridSpan w:val="2"/>
            <w:tcBorders>
              <w:left w:val="nil"/>
              <w:bottom w:val="nil"/>
              <w:right w:val="nil"/>
            </w:tcBorders>
          </w:tcPr>
          <w:p w14:paraId="6C15D9D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00F05D8C">
              <w:rPr>
                <w:rFonts w:eastAsia="Arial" w:cs="Arial"/>
                <w:color w:val="000000"/>
                <w:sz w:val="20"/>
                <w:shd w:val="clear" w:color="auto" w:fill="E6E6E6"/>
              </w:rPr>
              <w:t xml:space="preserve"> </w:t>
            </w:r>
            <w:r w:rsidRPr="00F05D8C">
              <w:rPr>
                <w:rFonts w:eastAsia="Arial" w:cs="Arial"/>
                <w:color w:val="000000"/>
                <w:sz w:val="20"/>
              </w:rPr>
              <w:t>Project emissions / removals</w:t>
            </w:r>
          </w:p>
        </w:tc>
        <w:tc>
          <w:tcPr>
            <w:tcW w:w="2408" w:type="dxa"/>
            <w:tcBorders>
              <w:left w:val="nil"/>
              <w:bottom w:val="nil"/>
            </w:tcBorders>
          </w:tcPr>
          <w:p w14:paraId="1D525B5B"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36B4A792" w14:textId="77777777">
        <w:tc>
          <w:tcPr>
            <w:tcW w:w="2348" w:type="dxa"/>
            <w:vMerge/>
          </w:tcPr>
          <w:p w14:paraId="168DF094"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5E5324B9"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None of the above. Purpose of data is </w:t>
            </w:r>
            <w:r>
              <w:rPr>
                <w:rFonts w:eastAsia="Arial" w:cs="Arial"/>
                <w:color w:val="000000" w:themeColor="text1"/>
                <w:sz w:val="20"/>
              </w:rPr>
              <w:t>c</w:t>
            </w:r>
            <w:r w:rsidRPr="18C4CD90">
              <w:rPr>
                <w:rFonts w:eastAsia="Arial" w:cs="Arial"/>
                <w:color w:val="000000" w:themeColor="text1"/>
                <w:sz w:val="20"/>
              </w:rPr>
              <w:t>alculation of upstream emissions in baseline and project scenarios.</w:t>
            </w:r>
          </w:p>
        </w:tc>
      </w:tr>
      <w:tr w:rsidR="00B70A5D" w14:paraId="60301041" w14:textId="77777777">
        <w:tc>
          <w:tcPr>
            <w:tcW w:w="2348" w:type="dxa"/>
            <w:shd w:val="clear" w:color="auto" w:fill="E6E6E6"/>
          </w:tcPr>
          <w:p w14:paraId="4B8D6820"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224" w:type="dxa"/>
            <w:gridSpan w:val="4"/>
            <w:tcBorders>
              <w:bottom w:val="single" w:sz="4" w:space="0" w:color="000000" w:themeColor="text1"/>
            </w:tcBorders>
          </w:tcPr>
          <w:p w14:paraId="0AE07689" w14:textId="77777777" w:rsidR="00B70A5D" w:rsidRPr="00F05D8C"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p>
        </w:tc>
      </w:tr>
      <w:tr w:rsidR="00B70A5D" w14:paraId="15BC4FDB" w14:textId="77777777">
        <w:tc>
          <w:tcPr>
            <w:tcW w:w="2348" w:type="dxa"/>
            <w:vMerge w:val="restart"/>
            <w:shd w:val="clear" w:color="auto" w:fill="E6E6E6"/>
          </w:tcPr>
          <w:p w14:paraId="2EEC671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Source of data</w:t>
            </w:r>
          </w:p>
        </w:tc>
        <w:tc>
          <w:tcPr>
            <w:tcW w:w="3612" w:type="dxa"/>
            <w:gridSpan w:val="2"/>
            <w:tcBorders>
              <w:bottom w:val="nil"/>
              <w:right w:val="nil"/>
            </w:tcBorders>
            <w:vAlign w:val="center"/>
          </w:tcPr>
          <w:p w14:paraId="3E3B3F76" w14:textId="77777777" w:rsidR="00B70A5D" w:rsidRPr="00F05D8C"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Measured</w:t>
            </w:r>
          </w:p>
        </w:tc>
        <w:tc>
          <w:tcPr>
            <w:tcW w:w="3612" w:type="dxa"/>
            <w:gridSpan w:val="2"/>
            <w:tcBorders>
              <w:left w:val="nil"/>
              <w:bottom w:val="nil"/>
            </w:tcBorders>
            <w:vAlign w:val="center"/>
          </w:tcPr>
          <w:p w14:paraId="01FE5981"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00F05D8C">
              <w:rPr>
                <w:rFonts w:eastAsia="Arial" w:cs="Arial"/>
                <w:color w:val="000000"/>
                <w:sz w:val="20"/>
                <w:shd w:val="clear" w:color="auto" w:fill="E6E6E6"/>
              </w:rPr>
              <w:t xml:space="preserve"> </w:t>
            </w:r>
            <w:r w:rsidRPr="00F05D8C">
              <w:rPr>
                <w:rFonts w:eastAsia="Arial" w:cs="Arial"/>
                <w:color w:val="000000"/>
                <w:sz w:val="20"/>
              </w:rPr>
              <w:t>Other sources</w:t>
            </w:r>
          </w:p>
        </w:tc>
      </w:tr>
      <w:tr w:rsidR="00B70A5D" w14:paraId="20461A1A" w14:textId="77777777">
        <w:tc>
          <w:tcPr>
            <w:tcW w:w="2348" w:type="dxa"/>
            <w:vMerge/>
          </w:tcPr>
          <w:p w14:paraId="74503B8E"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4509B3DE"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694E54A9" w14:textId="77777777">
        <w:tc>
          <w:tcPr>
            <w:tcW w:w="2348" w:type="dxa"/>
            <w:shd w:val="clear" w:color="auto" w:fill="E6E6E6"/>
          </w:tcPr>
          <w:p w14:paraId="3C6411BD"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t>Choice of data or measurement methods and procedures</w:t>
            </w:r>
          </w:p>
        </w:tc>
        <w:tc>
          <w:tcPr>
            <w:tcW w:w="7224" w:type="dxa"/>
            <w:gridSpan w:val="4"/>
            <w:tcBorders>
              <w:top w:val="single" w:sz="4" w:space="0" w:color="000000" w:themeColor="text1"/>
            </w:tcBorders>
          </w:tcPr>
          <w:p w14:paraId="660965A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p w14:paraId="118D0039" w14:textId="43A24E36"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Se</w:t>
            </w:r>
            <w:r w:rsidRPr="009E42A3">
              <w:rPr>
                <w:rFonts w:eastAsia="Arial" w:cs="Arial"/>
                <w:color w:val="000000" w:themeColor="text1"/>
                <w:sz w:val="20"/>
              </w:rPr>
              <w:t xml:space="preserve">e </w:t>
            </w:r>
            <w:hyperlink w:anchor="A4" w:history="1">
              <w:r w:rsidRPr="009E42A3">
                <w:rPr>
                  <w:rStyle w:val="Hyperlink"/>
                  <w:rFonts w:eastAsia="Arial" w:cs="Arial"/>
                  <w:sz w:val="20"/>
                </w:rPr>
                <w:t>Appendix 4</w:t>
              </w:r>
            </w:hyperlink>
          </w:p>
        </w:tc>
      </w:tr>
      <w:tr w:rsidR="00347552" w14:paraId="13FE3472" w14:textId="77777777">
        <w:tc>
          <w:tcPr>
            <w:tcW w:w="2348" w:type="dxa"/>
            <w:shd w:val="clear" w:color="auto" w:fill="E6E6E6"/>
          </w:tcPr>
          <w:p w14:paraId="4E0E281D" w14:textId="164B0E51" w:rsidR="00347552" w:rsidRDefault="00355A65"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t>Treatment of uncertainty</w:t>
            </w:r>
          </w:p>
        </w:tc>
        <w:tc>
          <w:tcPr>
            <w:tcW w:w="7224" w:type="dxa"/>
            <w:gridSpan w:val="4"/>
          </w:tcPr>
          <w:p w14:paraId="28FD9BD6" w14:textId="77777777" w:rsidR="005A1D31" w:rsidRPr="00731FE4" w:rsidRDefault="005A1D31" w:rsidP="005A1D31">
            <w:pPr>
              <w:tabs>
                <w:tab w:val="left" w:pos="510"/>
              </w:tabs>
              <w:spacing w:before="60" w:after="60"/>
              <w:ind w:right="57"/>
              <w:rPr>
                <w:rFonts w:eastAsia="Arial" w:cs="Arial"/>
                <w:color w:val="000000" w:themeColor="text1"/>
                <w:sz w:val="20"/>
              </w:rPr>
            </w:pPr>
            <w:r w:rsidRPr="007B4DC7">
              <w:rPr>
                <w:rFonts w:eastAsia="Arial" w:cs="Arial"/>
                <w:color w:val="000000" w:themeColor="text1"/>
                <w:sz w:val="20"/>
              </w:rPr>
              <w:t xml:space="preserve">Uncertainty is addressed </w:t>
            </w:r>
            <w:proofErr w:type="gramStart"/>
            <w:r w:rsidRPr="007B4DC7">
              <w:rPr>
                <w:rFonts w:eastAsia="Arial" w:cs="Arial"/>
                <w:color w:val="000000" w:themeColor="text1"/>
                <w:sz w:val="20"/>
              </w:rPr>
              <w:t>through the use of</w:t>
            </w:r>
            <w:proofErr w:type="gramEnd"/>
            <w:r w:rsidRPr="007B4DC7">
              <w:rPr>
                <w:rFonts w:eastAsia="Arial" w:cs="Arial"/>
                <w:color w:val="000000" w:themeColor="text1"/>
                <w:sz w:val="20"/>
              </w:rPr>
              <w:t xml:space="preserve"> conservative default values.</w:t>
            </w:r>
          </w:p>
          <w:p w14:paraId="1025C4DE" w14:textId="0B477094" w:rsidR="00347552" w:rsidRPr="00347552" w:rsidRDefault="00347552" w:rsidP="00347552">
            <w:pPr>
              <w:pStyle w:val="ParaTickBox"/>
              <w:tabs>
                <w:tab w:val="clear" w:pos="510"/>
              </w:tabs>
              <w:ind w:left="0" w:right="57" w:firstLine="0"/>
              <w:jc w:val="both"/>
              <w:rPr>
                <w:i/>
                <w:iCs/>
                <w:color w:val="4F81BD" w:themeColor="accent1"/>
                <w:szCs w:val="20"/>
              </w:rPr>
            </w:pPr>
          </w:p>
        </w:tc>
      </w:tr>
      <w:tr w:rsidR="00B70A5D" w14:paraId="5774276C" w14:textId="77777777">
        <w:tc>
          <w:tcPr>
            <w:tcW w:w="2348" w:type="dxa"/>
            <w:shd w:val="clear" w:color="auto" w:fill="E6E6E6"/>
          </w:tcPr>
          <w:p w14:paraId="7D12BBF2"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52C129F9" w14:textId="37A9045F"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Upstream emissions for fuelwood are considered as zero</w:t>
            </w:r>
            <w:r w:rsidR="007F367F">
              <w:rPr>
                <w:rFonts w:eastAsia="Arial" w:cs="Arial"/>
                <w:color w:val="000000" w:themeColor="text1"/>
                <w:sz w:val="20"/>
              </w:rPr>
              <w:t>.</w:t>
            </w:r>
          </w:p>
        </w:tc>
      </w:tr>
    </w:tbl>
    <w:p w14:paraId="1E193EA4"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3E0B4490" w14:textId="77777777">
        <w:tc>
          <w:tcPr>
            <w:tcW w:w="2348" w:type="dxa"/>
            <w:shd w:val="clear" w:color="auto" w:fill="E6E6E6"/>
          </w:tcPr>
          <w:p w14:paraId="4984DC57"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0905C961" w14:textId="77777777" w:rsidR="00B70A5D" w:rsidRPr="0091480A" w:rsidRDefault="00000000">
            <w:pPr>
              <w:pBdr>
                <w:top w:val="nil"/>
                <w:left w:val="nil"/>
                <w:bottom w:val="nil"/>
                <w:right w:val="nil"/>
                <w:between w:val="nil"/>
              </w:pBdr>
              <w:tabs>
                <w:tab w:val="left" w:pos="510"/>
              </w:tabs>
              <w:spacing w:before="60" w:after="60"/>
              <w:ind w:right="57"/>
              <w:rPr>
                <w:rFonts w:eastAsia="Arial" w:cs="Arial"/>
                <w:b/>
                <w:color w:val="000000"/>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EF</m:t>
                    </m:r>
                  </m:e>
                  <m:sub>
                    <m:r>
                      <w:rPr>
                        <w:rFonts w:ascii="Cambria Math" w:eastAsia="Cambria Math" w:hAnsi="Cambria Math" w:cs="Cambria Math"/>
                      </w:rPr>
                      <m:t>proj,grid</m:t>
                    </m:r>
                  </m:sub>
                </m:sSub>
              </m:oMath>
            </m:oMathPara>
          </w:p>
        </w:tc>
      </w:tr>
      <w:tr w:rsidR="00B70A5D" w14:paraId="12E563E2" w14:textId="77777777">
        <w:tc>
          <w:tcPr>
            <w:tcW w:w="2348" w:type="dxa"/>
            <w:shd w:val="clear" w:color="auto" w:fill="E6E6E6"/>
          </w:tcPr>
          <w:p w14:paraId="5152163D"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552BF867"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Country-specific marginal grid emission factor</w:t>
            </w:r>
          </w:p>
        </w:tc>
      </w:tr>
      <w:tr w:rsidR="00B70A5D" w14:paraId="1D78A8FD" w14:textId="77777777">
        <w:tc>
          <w:tcPr>
            <w:tcW w:w="2348" w:type="dxa"/>
            <w:shd w:val="clear" w:color="auto" w:fill="E6E6E6"/>
          </w:tcPr>
          <w:p w14:paraId="05358E20"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729A1DDD"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gCO</w:t>
            </w:r>
            <w:r w:rsidRPr="00584530">
              <w:rPr>
                <w:rFonts w:eastAsia="Arial" w:cs="Arial"/>
                <w:color w:val="000000" w:themeColor="text1"/>
                <w:sz w:val="20"/>
                <w:vertAlign w:val="subscript"/>
              </w:rPr>
              <w:t>2</w:t>
            </w:r>
            <w:r w:rsidRPr="18C4CD90">
              <w:rPr>
                <w:rFonts w:eastAsia="Arial" w:cs="Arial"/>
                <w:color w:val="000000" w:themeColor="text1"/>
                <w:sz w:val="20"/>
              </w:rPr>
              <w:t>e/kWh</w:t>
            </w:r>
          </w:p>
        </w:tc>
      </w:tr>
      <w:tr w:rsidR="00B70A5D" w14:paraId="44A5D6FD" w14:textId="77777777">
        <w:tc>
          <w:tcPr>
            <w:tcW w:w="2348" w:type="dxa"/>
            <w:shd w:val="clear" w:color="auto" w:fill="E6E6E6"/>
          </w:tcPr>
          <w:p w14:paraId="38F7B592"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11FD7CB5" w14:textId="23FBD1FC"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themeColor="text1"/>
                <w:sz w:val="20"/>
              </w:rPr>
              <w:t xml:space="preserve">Eq. </w:t>
            </w:r>
            <w:hyperlink w:anchor="e9" w:history="1">
              <w:r w:rsidRPr="003A1A70">
                <w:rPr>
                  <w:rStyle w:val="Hyperlink"/>
                  <w:rFonts w:eastAsia="Arial" w:cs="Arial"/>
                  <w:sz w:val="20"/>
                </w:rPr>
                <w:t>9</w:t>
              </w:r>
            </w:hyperlink>
            <w:r>
              <w:rPr>
                <w:rFonts w:eastAsia="Arial" w:cs="Arial"/>
                <w:color w:val="000000" w:themeColor="text1"/>
                <w:sz w:val="20"/>
              </w:rPr>
              <w:t xml:space="preserve"> and </w:t>
            </w:r>
            <w:hyperlink w:anchor="e22" w:history="1">
              <w:r w:rsidRPr="003A1A70">
                <w:rPr>
                  <w:rStyle w:val="Hyperlink"/>
                  <w:rFonts w:eastAsia="Arial" w:cs="Arial"/>
                  <w:sz w:val="20"/>
                </w:rPr>
                <w:t>22</w:t>
              </w:r>
            </w:hyperlink>
          </w:p>
        </w:tc>
      </w:tr>
      <w:tr w:rsidR="00B70A5D" w14:paraId="540432EB" w14:textId="77777777">
        <w:tc>
          <w:tcPr>
            <w:tcW w:w="2348" w:type="dxa"/>
            <w:vMerge w:val="restart"/>
            <w:shd w:val="clear" w:color="auto" w:fill="E6E6E6"/>
          </w:tcPr>
          <w:p w14:paraId="29357A55"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tcBorders>
              <w:bottom w:val="nil"/>
              <w:right w:val="nil"/>
            </w:tcBorders>
          </w:tcPr>
          <w:p w14:paraId="03A2E13B"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Baseline emissions / removals</w:t>
            </w:r>
          </w:p>
        </w:tc>
        <w:tc>
          <w:tcPr>
            <w:tcW w:w="2408" w:type="dxa"/>
            <w:gridSpan w:val="2"/>
            <w:tcBorders>
              <w:left w:val="nil"/>
              <w:bottom w:val="nil"/>
              <w:right w:val="nil"/>
            </w:tcBorders>
          </w:tcPr>
          <w:p w14:paraId="1AA73973"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Project emissions / removals</w:t>
            </w:r>
          </w:p>
        </w:tc>
        <w:tc>
          <w:tcPr>
            <w:tcW w:w="2408" w:type="dxa"/>
            <w:tcBorders>
              <w:left w:val="nil"/>
              <w:bottom w:val="nil"/>
            </w:tcBorders>
          </w:tcPr>
          <w:p w14:paraId="1C53C047"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574E32C4" w14:textId="77777777">
        <w:tc>
          <w:tcPr>
            <w:tcW w:w="2348" w:type="dxa"/>
            <w:vMerge/>
          </w:tcPr>
          <w:p w14:paraId="40223404"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7B3264B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1D29C0DF" w14:textId="77777777">
        <w:tc>
          <w:tcPr>
            <w:tcW w:w="2348" w:type="dxa"/>
            <w:shd w:val="clear" w:color="auto" w:fill="E6E6E6"/>
          </w:tcPr>
          <w:p w14:paraId="6DFE8043"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224" w:type="dxa"/>
            <w:gridSpan w:val="4"/>
            <w:tcBorders>
              <w:bottom w:val="single" w:sz="4" w:space="0" w:color="000000" w:themeColor="text1"/>
            </w:tcBorders>
          </w:tcPr>
          <w:p w14:paraId="578B7C3B" w14:textId="6E71222B" w:rsidR="00B70A5D" w:rsidRPr="00F05D8C"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r w:rsidRPr="18C4CD90">
              <w:rPr>
                <w:rFonts w:eastAsia="Arial" w:cs="Arial"/>
                <w:color w:val="000000" w:themeColor="text1"/>
                <w:sz w:val="20"/>
              </w:rPr>
              <w:t xml:space="preserve">See </w:t>
            </w:r>
            <w:hyperlink w:anchor="A2" w:history="1">
              <w:r w:rsidRPr="009E42A3">
                <w:rPr>
                  <w:rStyle w:val="Hyperlink"/>
                  <w:rFonts w:eastAsia="Arial" w:cs="Arial"/>
                  <w:sz w:val="20"/>
                </w:rPr>
                <w:t>Appendix 2</w:t>
              </w:r>
            </w:hyperlink>
          </w:p>
        </w:tc>
      </w:tr>
      <w:tr w:rsidR="00B70A5D" w14:paraId="5477608F" w14:textId="77777777">
        <w:tc>
          <w:tcPr>
            <w:tcW w:w="2348" w:type="dxa"/>
            <w:vMerge w:val="restart"/>
            <w:shd w:val="clear" w:color="auto" w:fill="E6E6E6"/>
          </w:tcPr>
          <w:p w14:paraId="65D8F1E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Source of data</w:t>
            </w:r>
          </w:p>
        </w:tc>
        <w:tc>
          <w:tcPr>
            <w:tcW w:w="3612" w:type="dxa"/>
            <w:gridSpan w:val="2"/>
            <w:tcBorders>
              <w:bottom w:val="nil"/>
              <w:right w:val="nil"/>
            </w:tcBorders>
            <w:vAlign w:val="center"/>
          </w:tcPr>
          <w:p w14:paraId="4EC4B196" w14:textId="77777777" w:rsidR="00B70A5D" w:rsidRPr="00F05D8C"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Measured</w:t>
            </w:r>
          </w:p>
        </w:tc>
        <w:tc>
          <w:tcPr>
            <w:tcW w:w="3612" w:type="dxa"/>
            <w:gridSpan w:val="2"/>
            <w:tcBorders>
              <w:left w:val="nil"/>
              <w:bottom w:val="nil"/>
            </w:tcBorders>
            <w:vAlign w:val="center"/>
          </w:tcPr>
          <w:p w14:paraId="6ADDA7B3"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Other sources</w:t>
            </w:r>
          </w:p>
        </w:tc>
      </w:tr>
      <w:tr w:rsidR="00B70A5D" w14:paraId="79FC2459" w14:textId="77777777">
        <w:tc>
          <w:tcPr>
            <w:tcW w:w="2348" w:type="dxa"/>
            <w:vMerge/>
          </w:tcPr>
          <w:p w14:paraId="02C02266"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1FF44B5E"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3D762E0E" w14:textId="77777777">
        <w:tc>
          <w:tcPr>
            <w:tcW w:w="2348" w:type="dxa"/>
            <w:shd w:val="clear" w:color="auto" w:fill="E6E6E6"/>
          </w:tcPr>
          <w:p w14:paraId="590B5AF3"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t>Choice of data or measurement methods and procedures</w:t>
            </w:r>
          </w:p>
        </w:tc>
        <w:tc>
          <w:tcPr>
            <w:tcW w:w="7224" w:type="dxa"/>
            <w:gridSpan w:val="4"/>
            <w:tcBorders>
              <w:top w:val="single" w:sz="4" w:space="0" w:color="000000" w:themeColor="text1"/>
            </w:tcBorders>
          </w:tcPr>
          <w:p w14:paraId="23ACF66B" w14:textId="0236D3E4"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Marginal emission factors from the International Financial Institutions Technical Working Group on GHG </w:t>
            </w:r>
            <w:r w:rsidRPr="009E42A3">
              <w:rPr>
                <w:rFonts w:eastAsia="Arial" w:cs="Arial"/>
                <w:color w:val="000000" w:themeColor="text1"/>
                <w:sz w:val="20"/>
              </w:rPr>
              <w:t xml:space="preserve">Accounting, (provided in </w:t>
            </w:r>
            <w:hyperlink w:anchor="A2" w:history="1">
              <w:r w:rsidRPr="009E42A3">
                <w:rPr>
                  <w:rStyle w:val="Hyperlink"/>
                  <w:rFonts w:eastAsia="Arial" w:cs="Arial"/>
                  <w:sz w:val="20"/>
                </w:rPr>
                <w:t>Appendix 2: Grid Emission Factors</w:t>
              </w:r>
            </w:hyperlink>
            <w:r w:rsidRPr="009E42A3">
              <w:rPr>
                <w:rFonts w:eastAsia="Arial" w:cs="Arial"/>
                <w:color w:val="000000" w:themeColor="text1"/>
                <w:sz w:val="20"/>
              </w:rPr>
              <w:t>), or marginal emission</w:t>
            </w:r>
            <w:r w:rsidRPr="18C4CD90">
              <w:rPr>
                <w:rFonts w:eastAsia="Arial" w:cs="Arial"/>
                <w:color w:val="000000" w:themeColor="text1"/>
                <w:sz w:val="20"/>
              </w:rPr>
              <w:t xml:space="preserve"> factors provided by the relevant national authority.</w:t>
            </w:r>
          </w:p>
        </w:tc>
      </w:tr>
      <w:tr w:rsidR="00347552" w14:paraId="1359E666" w14:textId="77777777">
        <w:tc>
          <w:tcPr>
            <w:tcW w:w="2348" w:type="dxa"/>
            <w:shd w:val="clear" w:color="auto" w:fill="E6E6E6"/>
          </w:tcPr>
          <w:p w14:paraId="051D68F2" w14:textId="0CEA5EFF" w:rsidR="00347552" w:rsidRDefault="00355A65"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t>Treatment of uncertainty</w:t>
            </w:r>
          </w:p>
        </w:tc>
        <w:tc>
          <w:tcPr>
            <w:tcW w:w="7224" w:type="dxa"/>
            <w:gridSpan w:val="4"/>
          </w:tcPr>
          <w:p w14:paraId="0BB73D6C" w14:textId="77777777" w:rsidR="005A1D31" w:rsidRPr="00731FE4" w:rsidRDefault="005A1D31" w:rsidP="005A1D31">
            <w:pPr>
              <w:tabs>
                <w:tab w:val="left" w:pos="510"/>
              </w:tabs>
              <w:spacing w:before="60" w:after="60"/>
              <w:ind w:right="57"/>
              <w:rPr>
                <w:rFonts w:eastAsia="Arial" w:cs="Arial"/>
                <w:color w:val="000000" w:themeColor="text1"/>
                <w:sz w:val="20"/>
              </w:rPr>
            </w:pPr>
            <w:r w:rsidRPr="007B4DC7">
              <w:rPr>
                <w:rFonts w:eastAsia="Arial" w:cs="Arial"/>
                <w:color w:val="000000" w:themeColor="text1"/>
                <w:sz w:val="20"/>
              </w:rPr>
              <w:t xml:space="preserve">Uncertainty is addressed </w:t>
            </w:r>
            <w:proofErr w:type="gramStart"/>
            <w:r w:rsidRPr="007B4DC7">
              <w:rPr>
                <w:rFonts w:eastAsia="Arial" w:cs="Arial"/>
                <w:color w:val="000000" w:themeColor="text1"/>
                <w:sz w:val="20"/>
              </w:rPr>
              <w:t>through the use of</w:t>
            </w:r>
            <w:proofErr w:type="gramEnd"/>
            <w:r w:rsidRPr="007B4DC7">
              <w:rPr>
                <w:rFonts w:eastAsia="Arial" w:cs="Arial"/>
                <w:color w:val="000000" w:themeColor="text1"/>
                <w:sz w:val="20"/>
              </w:rPr>
              <w:t xml:space="preserve"> conservative default values.</w:t>
            </w:r>
          </w:p>
          <w:p w14:paraId="544FC588" w14:textId="7DD4D8E4" w:rsidR="00347552" w:rsidRPr="00347552" w:rsidRDefault="00347552" w:rsidP="00347552">
            <w:pPr>
              <w:pStyle w:val="ParaTickBox"/>
              <w:tabs>
                <w:tab w:val="clear" w:pos="510"/>
              </w:tabs>
              <w:ind w:left="0" w:right="57" w:firstLine="0"/>
              <w:jc w:val="both"/>
              <w:rPr>
                <w:i/>
                <w:iCs/>
                <w:color w:val="4F81BD" w:themeColor="accent1"/>
                <w:szCs w:val="20"/>
              </w:rPr>
            </w:pPr>
          </w:p>
        </w:tc>
      </w:tr>
      <w:tr w:rsidR="00B70A5D" w14:paraId="14D2ACAB" w14:textId="77777777">
        <w:tc>
          <w:tcPr>
            <w:tcW w:w="2348" w:type="dxa"/>
            <w:shd w:val="clear" w:color="auto" w:fill="E6E6E6"/>
          </w:tcPr>
          <w:p w14:paraId="79D197FD"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78C0BAFE"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bl>
    <w:p w14:paraId="7136E27A"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64AE846D" w14:textId="77777777">
        <w:tc>
          <w:tcPr>
            <w:tcW w:w="2348" w:type="dxa"/>
            <w:shd w:val="clear" w:color="auto" w:fill="E6E6E6"/>
          </w:tcPr>
          <w:p w14:paraId="619B51A9"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1E98BD9A" w14:textId="77777777" w:rsidR="00B70A5D" w:rsidRPr="0091480A" w:rsidRDefault="00000000">
            <w:pPr>
              <w:pBdr>
                <w:top w:val="nil"/>
                <w:left w:val="nil"/>
                <w:bottom w:val="nil"/>
                <w:right w:val="nil"/>
                <w:between w:val="nil"/>
              </w:pBdr>
              <w:tabs>
                <w:tab w:val="left" w:pos="510"/>
              </w:tabs>
              <w:spacing w:before="60" w:after="60"/>
              <w:ind w:right="57"/>
              <w:rPr>
                <w:rFonts w:eastAsia="Arial" w:cs="Arial"/>
                <w:b/>
                <w:color w:val="000000"/>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EF</m:t>
                    </m:r>
                  </m:e>
                  <m:sub>
                    <m:r>
                      <w:rPr>
                        <w:rFonts w:ascii="Cambria Math" w:eastAsia="Cambria Math" w:hAnsi="Cambria Math" w:cs="Cambria Math"/>
                      </w:rPr>
                      <m:t>proj,offgrid,k</m:t>
                    </m:r>
                  </m:sub>
                </m:sSub>
              </m:oMath>
            </m:oMathPara>
          </w:p>
        </w:tc>
      </w:tr>
      <w:tr w:rsidR="00B70A5D" w14:paraId="3F0573D9" w14:textId="77777777">
        <w:tc>
          <w:tcPr>
            <w:tcW w:w="2348" w:type="dxa"/>
            <w:shd w:val="clear" w:color="auto" w:fill="E6E6E6"/>
          </w:tcPr>
          <w:p w14:paraId="161B2E61"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2BCEFE7B"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Off-grid emission factor for source </w:t>
            </w:r>
            <w:r w:rsidRPr="00536A3B">
              <w:rPr>
                <w:rFonts w:eastAsia="Arial" w:cs="Arial"/>
                <w:i/>
                <w:color w:val="000000" w:themeColor="text1"/>
                <w:sz w:val="20"/>
              </w:rPr>
              <w:t>k</w:t>
            </w:r>
          </w:p>
        </w:tc>
      </w:tr>
      <w:tr w:rsidR="00B70A5D" w14:paraId="12F42C09" w14:textId="77777777">
        <w:tc>
          <w:tcPr>
            <w:tcW w:w="2348" w:type="dxa"/>
            <w:shd w:val="clear" w:color="auto" w:fill="E6E6E6"/>
          </w:tcPr>
          <w:p w14:paraId="4F3A2A6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0579210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gCO</w:t>
            </w:r>
            <w:r w:rsidRPr="00584530">
              <w:rPr>
                <w:rFonts w:eastAsia="Arial" w:cs="Arial"/>
                <w:color w:val="000000" w:themeColor="text1"/>
                <w:sz w:val="20"/>
                <w:vertAlign w:val="subscript"/>
              </w:rPr>
              <w:t>2</w:t>
            </w:r>
            <w:r w:rsidRPr="18C4CD90">
              <w:rPr>
                <w:rFonts w:eastAsia="Arial" w:cs="Arial"/>
                <w:color w:val="000000" w:themeColor="text1"/>
                <w:sz w:val="20"/>
              </w:rPr>
              <w:t>e/kWh</w:t>
            </w:r>
          </w:p>
        </w:tc>
      </w:tr>
      <w:tr w:rsidR="00B70A5D" w14:paraId="01ED9C59" w14:textId="77777777">
        <w:tc>
          <w:tcPr>
            <w:tcW w:w="2348" w:type="dxa"/>
            <w:shd w:val="clear" w:color="auto" w:fill="E6E6E6"/>
          </w:tcPr>
          <w:p w14:paraId="3C4A14BC"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010A445F" w14:textId="43CF9497" w:rsidR="00B70A5D" w:rsidRPr="00F05D8C" w:rsidRDefault="003A1A70">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themeColor="text1"/>
                <w:sz w:val="20"/>
              </w:rPr>
              <w:t xml:space="preserve">Eq. </w:t>
            </w:r>
            <w:hyperlink w:anchor="e9" w:history="1">
              <w:r w:rsidRPr="003A1A70">
                <w:rPr>
                  <w:rStyle w:val="Hyperlink"/>
                  <w:rFonts w:eastAsia="Arial" w:cs="Arial"/>
                  <w:sz w:val="20"/>
                </w:rPr>
                <w:t>9</w:t>
              </w:r>
            </w:hyperlink>
            <w:r>
              <w:rPr>
                <w:rFonts w:eastAsia="Arial" w:cs="Arial"/>
                <w:color w:val="000000" w:themeColor="text1"/>
                <w:sz w:val="20"/>
              </w:rPr>
              <w:t xml:space="preserve"> and </w:t>
            </w:r>
            <w:hyperlink w:anchor="e22" w:history="1">
              <w:r w:rsidRPr="003A1A70">
                <w:rPr>
                  <w:rStyle w:val="Hyperlink"/>
                  <w:rFonts w:eastAsia="Arial" w:cs="Arial"/>
                  <w:sz w:val="20"/>
                </w:rPr>
                <w:t>22</w:t>
              </w:r>
            </w:hyperlink>
          </w:p>
        </w:tc>
      </w:tr>
      <w:tr w:rsidR="00B70A5D" w14:paraId="00D3046E" w14:textId="77777777">
        <w:tc>
          <w:tcPr>
            <w:tcW w:w="2348" w:type="dxa"/>
            <w:vMerge w:val="restart"/>
            <w:shd w:val="clear" w:color="auto" w:fill="E6E6E6"/>
          </w:tcPr>
          <w:p w14:paraId="1393BFC7"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tcBorders>
              <w:bottom w:val="nil"/>
              <w:right w:val="nil"/>
            </w:tcBorders>
          </w:tcPr>
          <w:p w14:paraId="2630F22C"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Baseline emissions / removals</w:t>
            </w:r>
          </w:p>
        </w:tc>
        <w:tc>
          <w:tcPr>
            <w:tcW w:w="2408" w:type="dxa"/>
            <w:gridSpan w:val="2"/>
            <w:tcBorders>
              <w:left w:val="nil"/>
              <w:bottom w:val="nil"/>
              <w:right w:val="nil"/>
            </w:tcBorders>
          </w:tcPr>
          <w:p w14:paraId="3EC74801"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Project emissions / removals</w:t>
            </w:r>
          </w:p>
        </w:tc>
        <w:tc>
          <w:tcPr>
            <w:tcW w:w="2408" w:type="dxa"/>
            <w:tcBorders>
              <w:left w:val="nil"/>
              <w:bottom w:val="nil"/>
            </w:tcBorders>
          </w:tcPr>
          <w:p w14:paraId="7E223187"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5076ADF4" w14:textId="77777777">
        <w:tc>
          <w:tcPr>
            <w:tcW w:w="2348" w:type="dxa"/>
            <w:vMerge/>
          </w:tcPr>
          <w:p w14:paraId="3A5D9128"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329670EB"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2756AD8C" w14:textId="77777777">
        <w:tc>
          <w:tcPr>
            <w:tcW w:w="2348" w:type="dxa"/>
            <w:shd w:val="clear" w:color="auto" w:fill="E6E6E6"/>
          </w:tcPr>
          <w:p w14:paraId="73FC4786"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224" w:type="dxa"/>
            <w:gridSpan w:val="4"/>
            <w:tcBorders>
              <w:bottom w:val="single" w:sz="4" w:space="0" w:color="000000" w:themeColor="text1"/>
            </w:tcBorders>
          </w:tcPr>
          <w:p w14:paraId="3050D060" w14:textId="7CFEA828" w:rsidR="00B70A5D" w:rsidRPr="00F05D8C"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r w:rsidRPr="18C4CD90">
              <w:rPr>
                <w:rFonts w:eastAsia="Arial" w:cs="Arial"/>
                <w:color w:val="000000" w:themeColor="text1"/>
                <w:sz w:val="20"/>
              </w:rPr>
              <w:t xml:space="preserve">See </w:t>
            </w:r>
            <w:hyperlink w:anchor="A3" w:history="1">
              <w:r w:rsidRPr="009E42A3">
                <w:rPr>
                  <w:rStyle w:val="Hyperlink"/>
                  <w:rFonts w:eastAsia="Arial" w:cs="Arial"/>
                  <w:sz w:val="20"/>
                </w:rPr>
                <w:t>Appendix 3</w:t>
              </w:r>
            </w:hyperlink>
            <w:r w:rsidRPr="18C4CD90">
              <w:rPr>
                <w:rFonts w:eastAsia="Arial" w:cs="Arial"/>
                <w:color w:val="000000" w:themeColor="text1"/>
                <w:sz w:val="20"/>
              </w:rPr>
              <w:t xml:space="preserve"> </w:t>
            </w:r>
          </w:p>
        </w:tc>
      </w:tr>
      <w:tr w:rsidR="00B70A5D" w14:paraId="7F911798" w14:textId="77777777">
        <w:tc>
          <w:tcPr>
            <w:tcW w:w="2348" w:type="dxa"/>
            <w:vMerge w:val="restart"/>
            <w:shd w:val="clear" w:color="auto" w:fill="E6E6E6"/>
          </w:tcPr>
          <w:p w14:paraId="434C8FF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Source of data</w:t>
            </w:r>
          </w:p>
        </w:tc>
        <w:tc>
          <w:tcPr>
            <w:tcW w:w="3612" w:type="dxa"/>
            <w:gridSpan w:val="2"/>
            <w:tcBorders>
              <w:bottom w:val="nil"/>
              <w:right w:val="nil"/>
            </w:tcBorders>
            <w:vAlign w:val="center"/>
          </w:tcPr>
          <w:p w14:paraId="6B3B510A" w14:textId="77777777" w:rsidR="00B70A5D" w:rsidRPr="00F05D8C"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Measured</w:t>
            </w:r>
          </w:p>
        </w:tc>
        <w:tc>
          <w:tcPr>
            <w:tcW w:w="3612" w:type="dxa"/>
            <w:gridSpan w:val="2"/>
            <w:tcBorders>
              <w:left w:val="nil"/>
              <w:bottom w:val="nil"/>
            </w:tcBorders>
            <w:vAlign w:val="center"/>
          </w:tcPr>
          <w:p w14:paraId="5DA0DED2"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Other sources</w:t>
            </w:r>
          </w:p>
        </w:tc>
      </w:tr>
      <w:tr w:rsidR="00B70A5D" w14:paraId="0E48313A" w14:textId="77777777">
        <w:tc>
          <w:tcPr>
            <w:tcW w:w="2348" w:type="dxa"/>
            <w:vMerge/>
          </w:tcPr>
          <w:p w14:paraId="7C432557"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36FC760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240BDF01" w14:textId="77777777">
        <w:tc>
          <w:tcPr>
            <w:tcW w:w="2348" w:type="dxa"/>
            <w:shd w:val="clear" w:color="auto" w:fill="E6E6E6"/>
          </w:tcPr>
          <w:p w14:paraId="02953346"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t>Choice of data or measurement methods and procedures</w:t>
            </w:r>
          </w:p>
        </w:tc>
        <w:tc>
          <w:tcPr>
            <w:tcW w:w="7224" w:type="dxa"/>
            <w:gridSpan w:val="4"/>
            <w:tcBorders>
              <w:top w:val="single" w:sz="4" w:space="0" w:color="000000" w:themeColor="text1"/>
            </w:tcBorders>
          </w:tcPr>
          <w:p w14:paraId="30DCB68F"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Mini-grid Emission Tool from </w:t>
            </w:r>
            <w:proofErr w:type="spellStart"/>
            <w:r w:rsidRPr="18C4CD90">
              <w:rPr>
                <w:rFonts w:eastAsia="Arial" w:cs="Arial"/>
                <w:color w:val="000000" w:themeColor="text1"/>
                <w:sz w:val="20"/>
              </w:rPr>
              <w:t>SEforAll</w:t>
            </w:r>
            <w:proofErr w:type="spellEnd"/>
          </w:p>
          <w:p w14:paraId="1E545349"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347552" w14:paraId="4170FCC7" w14:textId="77777777">
        <w:tc>
          <w:tcPr>
            <w:tcW w:w="2348" w:type="dxa"/>
            <w:shd w:val="clear" w:color="auto" w:fill="E6E6E6"/>
          </w:tcPr>
          <w:p w14:paraId="4800B9AA" w14:textId="6AFD27BD" w:rsidR="00347552" w:rsidRDefault="00355A65"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t>Treatment of uncertainty</w:t>
            </w:r>
          </w:p>
        </w:tc>
        <w:tc>
          <w:tcPr>
            <w:tcW w:w="7224" w:type="dxa"/>
            <w:gridSpan w:val="4"/>
          </w:tcPr>
          <w:p w14:paraId="5EDF8EAA" w14:textId="0A8DD947" w:rsidR="00347552" w:rsidRPr="003F527D" w:rsidRDefault="003F527D" w:rsidP="00347552">
            <w:pPr>
              <w:pStyle w:val="ParaTickBox"/>
              <w:tabs>
                <w:tab w:val="clear" w:pos="510"/>
              </w:tabs>
              <w:ind w:left="0" w:right="57" w:firstLine="0"/>
              <w:jc w:val="both"/>
              <w:rPr>
                <w:i/>
                <w:color w:val="4F81BD" w:themeColor="accent1"/>
              </w:rPr>
            </w:pPr>
            <w:r w:rsidRPr="7D956FC6">
              <w:rPr>
                <w:color w:val="000000" w:themeColor="text1"/>
              </w:rPr>
              <w:t xml:space="preserve">Uncertainty is addressed </w:t>
            </w:r>
            <w:proofErr w:type="gramStart"/>
            <w:r w:rsidRPr="7D956FC6">
              <w:rPr>
                <w:color w:val="000000" w:themeColor="text1"/>
              </w:rPr>
              <w:t>through the use of</w:t>
            </w:r>
            <w:proofErr w:type="gramEnd"/>
            <w:r w:rsidRPr="7D956FC6">
              <w:rPr>
                <w:color w:val="000000" w:themeColor="text1"/>
              </w:rPr>
              <w:t xml:space="preserve"> standardized values from the </w:t>
            </w:r>
            <w:proofErr w:type="spellStart"/>
            <w:r w:rsidRPr="7D956FC6">
              <w:rPr>
                <w:color w:val="000000" w:themeColor="text1"/>
              </w:rPr>
              <w:t>SEforALL</w:t>
            </w:r>
            <w:proofErr w:type="spellEnd"/>
            <w:r w:rsidRPr="7D956FC6">
              <w:rPr>
                <w:color w:val="000000" w:themeColor="text1"/>
              </w:rPr>
              <w:t xml:space="preserve"> Mini-Grid Tool, which applies conservative </w:t>
            </w:r>
            <w:r w:rsidR="02CE4820" w:rsidRPr="7D956FC6">
              <w:rPr>
                <w:color w:val="000000" w:themeColor="text1"/>
              </w:rPr>
              <w:t>assumptions</w:t>
            </w:r>
            <w:r w:rsidR="73E96624" w:rsidRPr="7D956FC6">
              <w:rPr>
                <w:color w:val="000000" w:themeColor="text1"/>
              </w:rPr>
              <w:t>.</w:t>
            </w:r>
          </w:p>
        </w:tc>
      </w:tr>
      <w:tr w:rsidR="00B70A5D" w14:paraId="75C410B7" w14:textId="77777777">
        <w:tc>
          <w:tcPr>
            <w:tcW w:w="2348" w:type="dxa"/>
            <w:shd w:val="clear" w:color="auto" w:fill="E6E6E6"/>
          </w:tcPr>
          <w:p w14:paraId="7676E7C7"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4AA6A2E5"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bl>
    <w:p w14:paraId="7DC24166"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6EF59371" w14:textId="77777777">
        <w:tc>
          <w:tcPr>
            <w:tcW w:w="2348" w:type="dxa"/>
            <w:shd w:val="clear" w:color="auto" w:fill="E6E6E6"/>
          </w:tcPr>
          <w:p w14:paraId="2053EF40"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4F0E3434" w14:textId="24ED1E1D" w:rsidR="00B70A5D" w:rsidRPr="0091480A" w:rsidRDefault="00000000">
            <w:pPr>
              <w:pBdr>
                <w:top w:val="nil"/>
                <w:left w:val="nil"/>
                <w:bottom w:val="nil"/>
                <w:right w:val="nil"/>
                <w:between w:val="nil"/>
              </w:pBdr>
              <w:tabs>
                <w:tab w:val="left" w:pos="510"/>
              </w:tabs>
              <w:spacing w:before="60" w:after="60"/>
              <w:ind w:right="57"/>
              <w:rPr>
                <w:rFonts w:eastAsia="Arial" w:cs="Arial"/>
                <w:b/>
                <w:color w:val="000000"/>
                <w:sz w:val="20"/>
              </w:rPr>
            </w:pPr>
            <m:oMathPara>
              <m:oMathParaPr>
                <m:jc m:val="left"/>
              </m:oMathParaPr>
              <m:oMath>
                <m:sSub>
                  <m:sSubPr>
                    <m:ctrlPr>
                      <w:rPr>
                        <w:rFonts w:ascii="Cambria Math" w:eastAsia="Cambria Math" w:hAnsi="Cambria Math" w:cs="Cambria Math"/>
                        <w:i/>
                      </w:rPr>
                    </m:ctrlPr>
                  </m:sSubPr>
                  <m:e>
                    <m:r>
                      <w:rPr>
                        <w:rFonts w:ascii="Cambria Math" w:eastAsia="Cambria Math" w:hAnsi="Cambria Math" w:cs="Cambria Math"/>
                      </w:rPr>
                      <m:t>fNRB</m:t>
                    </m:r>
                  </m:e>
                  <m:sub>
                    <m:r>
                      <w:rPr>
                        <w:rFonts w:ascii="Cambria Math" w:eastAsia="Cambria Math" w:hAnsi="Cambria Math" w:cs="Cambria Math"/>
                      </w:rPr>
                      <m:t>i</m:t>
                    </m:r>
                  </m:sub>
                </m:sSub>
              </m:oMath>
            </m:oMathPara>
          </w:p>
        </w:tc>
      </w:tr>
      <w:tr w:rsidR="00B70A5D" w14:paraId="218FAC1F" w14:textId="77777777">
        <w:tc>
          <w:tcPr>
            <w:tcW w:w="2348" w:type="dxa"/>
            <w:shd w:val="clear" w:color="auto" w:fill="E6E6E6"/>
          </w:tcPr>
          <w:p w14:paraId="5E264D1C"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7E691D22"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Fraction of non-renewable woody biomass fuel </w:t>
            </w:r>
            <w:proofErr w:type="spellStart"/>
            <w:r w:rsidRPr="00536A3B">
              <w:rPr>
                <w:rFonts w:eastAsia="Arial" w:cs="Arial"/>
                <w:i/>
                <w:color w:val="000000" w:themeColor="text1"/>
                <w:sz w:val="20"/>
              </w:rPr>
              <w:t>i</w:t>
            </w:r>
            <w:proofErr w:type="spellEnd"/>
            <w:r w:rsidRPr="00536A3B">
              <w:rPr>
                <w:rFonts w:eastAsia="Arial" w:cs="Arial"/>
                <w:i/>
                <w:color w:val="000000" w:themeColor="text1"/>
                <w:sz w:val="20"/>
              </w:rPr>
              <w:t xml:space="preserve"> </w:t>
            </w:r>
            <w:r w:rsidRPr="18C4CD90">
              <w:rPr>
                <w:rFonts w:eastAsia="Arial" w:cs="Arial"/>
                <w:color w:val="000000" w:themeColor="text1"/>
                <w:sz w:val="20"/>
              </w:rPr>
              <w:t xml:space="preserve">during year </w:t>
            </w:r>
            <w:r w:rsidRPr="00536A3B">
              <w:rPr>
                <w:rFonts w:eastAsia="Arial" w:cs="Arial"/>
                <w:i/>
                <w:color w:val="000000" w:themeColor="text1"/>
                <w:sz w:val="20"/>
              </w:rPr>
              <w:t>y</w:t>
            </w:r>
          </w:p>
        </w:tc>
      </w:tr>
      <w:tr w:rsidR="00B70A5D" w14:paraId="55447FF6" w14:textId="77777777">
        <w:tc>
          <w:tcPr>
            <w:tcW w:w="2348" w:type="dxa"/>
            <w:shd w:val="clear" w:color="auto" w:fill="E6E6E6"/>
          </w:tcPr>
          <w:p w14:paraId="1FCAE406"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459A8DF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Fraction</w:t>
            </w:r>
          </w:p>
        </w:tc>
      </w:tr>
      <w:tr w:rsidR="00B70A5D" w14:paraId="075104E5" w14:textId="77777777">
        <w:tc>
          <w:tcPr>
            <w:tcW w:w="2348" w:type="dxa"/>
            <w:shd w:val="clear" w:color="auto" w:fill="E6E6E6"/>
          </w:tcPr>
          <w:p w14:paraId="3FEDF4A8"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26CFA747" w14:textId="5DBCD295"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themeColor="text1"/>
                <w:sz w:val="20"/>
              </w:rPr>
              <w:t xml:space="preserve">Eq. </w:t>
            </w:r>
            <w:hyperlink w:anchor="e2" w:history="1">
              <w:r w:rsidRPr="003A1A70">
                <w:rPr>
                  <w:rStyle w:val="Hyperlink"/>
                  <w:rFonts w:eastAsia="Arial" w:cs="Arial"/>
                  <w:sz w:val="20"/>
                </w:rPr>
                <w:t>2</w:t>
              </w:r>
            </w:hyperlink>
            <w:r w:rsidRPr="00584530">
              <w:rPr>
                <w:rFonts w:eastAsia="Arial" w:cs="Arial"/>
                <w:color w:val="000000" w:themeColor="text1"/>
                <w:sz w:val="20"/>
              </w:rPr>
              <w:t xml:space="preserve">, </w:t>
            </w:r>
            <w:hyperlink w:anchor="e7" w:history="1">
              <w:r w:rsidRPr="003A1A70">
                <w:rPr>
                  <w:rStyle w:val="Hyperlink"/>
                  <w:rFonts w:eastAsia="Arial" w:cs="Arial"/>
                  <w:sz w:val="20"/>
                </w:rPr>
                <w:t>7</w:t>
              </w:r>
            </w:hyperlink>
            <w:r w:rsidRPr="00584530">
              <w:rPr>
                <w:rFonts w:eastAsia="Arial" w:cs="Arial"/>
                <w:color w:val="000000" w:themeColor="text1"/>
                <w:sz w:val="20"/>
              </w:rPr>
              <w:t xml:space="preserve">, </w:t>
            </w:r>
            <w:hyperlink w:anchor="e13" w:history="1">
              <w:r w:rsidRPr="003A1A70">
                <w:rPr>
                  <w:rStyle w:val="Hyperlink"/>
                  <w:rFonts w:eastAsia="Arial" w:cs="Arial"/>
                  <w:sz w:val="20"/>
                </w:rPr>
                <w:t>13</w:t>
              </w:r>
            </w:hyperlink>
            <w:r w:rsidRPr="00584530">
              <w:rPr>
                <w:rFonts w:eastAsia="Arial" w:cs="Arial"/>
                <w:color w:val="000000" w:themeColor="text1"/>
                <w:sz w:val="20"/>
              </w:rPr>
              <w:t xml:space="preserve">, </w:t>
            </w:r>
            <w:hyperlink w:anchor="e15" w:history="1">
              <w:r w:rsidRPr="003A1A70">
                <w:rPr>
                  <w:rStyle w:val="Hyperlink"/>
                  <w:rFonts w:eastAsia="Arial" w:cs="Arial"/>
                  <w:sz w:val="20"/>
                </w:rPr>
                <w:t>15</w:t>
              </w:r>
            </w:hyperlink>
            <w:r w:rsidRPr="00584530">
              <w:rPr>
                <w:rFonts w:eastAsia="Arial" w:cs="Arial"/>
                <w:color w:val="000000" w:themeColor="text1"/>
                <w:sz w:val="20"/>
              </w:rPr>
              <w:t xml:space="preserve">, </w:t>
            </w:r>
            <w:hyperlink w:anchor="e17" w:history="1">
              <w:r w:rsidRPr="003A1A70">
                <w:rPr>
                  <w:rStyle w:val="Hyperlink"/>
                  <w:rFonts w:eastAsia="Arial" w:cs="Arial"/>
                  <w:sz w:val="20"/>
                </w:rPr>
                <w:t>17</w:t>
              </w:r>
            </w:hyperlink>
            <w:r w:rsidRPr="00584530">
              <w:rPr>
                <w:rFonts w:eastAsia="Arial" w:cs="Arial"/>
                <w:color w:val="000000" w:themeColor="text1"/>
                <w:sz w:val="20"/>
              </w:rPr>
              <w:t xml:space="preserve">, and </w:t>
            </w:r>
            <w:hyperlink w:anchor="e20" w:history="1">
              <w:r w:rsidRPr="003A1A70">
                <w:rPr>
                  <w:rStyle w:val="Hyperlink"/>
                  <w:rFonts w:eastAsia="Arial" w:cs="Arial"/>
                  <w:sz w:val="20"/>
                </w:rPr>
                <w:t>20</w:t>
              </w:r>
            </w:hyperlink>
          </w:p>
        </w:tc>
      </w:tr>
      <w:tr w:rsidR="00B70A5D" w14:paraId="16E6EC13" w14:textId="77777777">
        <w:tc>
          <w:tcPr>
            <w:tcW w:w="2348" w:type="dxa"/>
            <w:vMerge w:val="restart"/>
            <w:shd w:val="clear" w:color="auto" w:fill="E6E6E6"/>
          </w:tcPr>
          <w:p w14:paraId="4A357E36"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tcBorders>
              <w:bottom w:val="nil"/>
              <w:right w:val="nil"/>
            </w:tcBorders>
          </w:tcPr>
          <w:p w14:paraId="0137C03A"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Baseline emissions / removals</w:t>
            </w:r>
          </w:p>
        </w:tc>
        <w:tc>
          <w:tcPr>
            <w:tcW w:w="2408" w:type="dxa"/>
            <w:gridSpan w:val="2"/>
            <w:tcBorders>
              <w:left w:val="nil"/>
              <w:bottom w:val="nil"/>
              <w:right w:val="nil"/>
            </w:tcBorders>
          </w:tcPr>
          <w:p w14:paraId="52D6260B"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Project emissions / removals</w:t>
            </w:r>
          </w:p>
        </w:tc>
        <w:tc>
          <w:tcPr>
            <w:tcW w:w="2408" w:type="dxa"/>
            <w:tcBorders>
              <w:left w:val="nil"/>
              <w:bottom w:val="nil"/>
            </w:tcBorders>
          </w:tcPr>
          <w:p w14:paraId="7C7E5DF1"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30C0978C" w14:textId="77777777">
        <w:tc>
          <w:tcPr>
            <w:tcW w:w="2348" w:type="dxa"/>
            <w:vMerge/>
          </w:tcPr>
          <w:p w14:paraId="33FB62C1"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4E08556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65AF31DF" w14:textId="77777777">
        <w:tc>
          <w:tcPr>
            <w:tcW w:w="2348" w:type="dxa"/>
            <w:shd w:val="clear" w:color="auto" w:fill="E6E6E6"/>
          </w:tcPr>
          <w:p w14:paraId="6782B4DE"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224" w:type="dxa"/>
            <w:gridSpan w:val="4"/>
            <w:tcBorders>
              <w:bottom w:val="single" w:sz="4" w:space="0" w:color="000000" w:themeColor="text1"/>
            </w:tcBorders>
          </w:tcPr>
          <w:p w14:paraId="1C618EC7" w14:textId="77777777" w:rsidR="00B70A5D" w:rsidRPr="00F05D8C"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p>
        </w:tc>
      </w:tr>
      <w:tr w:rsidR="00B70A5D" w14:paraId="0EEE6B63" w14:textId="77777777">
        <w:tc>
          <w:tcPr>
            <w:tcW w:w="2348" w:type="dxa"/>
            <w:vMerge w:val="restart"/>
            <w:shd w:val="clear" w:color="auto" w:fill="E6E6E6"/>
          </w:tcPr>
          <w:p w14:paraId="0D192017"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Source of data</w:t>
            </w:r>
          </w:p>
        </w:tc>
        <w:tc>
          <w:tcPr>
            <w:tcW w:w="3612" w:type="dxa"/>
            <w:gridSpan w:val="2"/>
            <w:tcBorders>
              <w:bottom w:val="nil"/>
              <w:right w:val="nil"/>
            </w:tcBorders>
            <w:vAlign w:val="center"/>
          </w:tcPr>
          <w:p w14:paraId="17F0D14C" w14:textId="77777777" w:rsidR="00B70A5D" w:rsidRPr="00F05D8C"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Measured</w:t>
            </w:r>
          </w:p>
        </w:tc>
        <w:tc>
          <w:tcPr>
            <w:tcW w:w="3612" w:type="dxa"/>
            <w:gridSpan w:val="2"/>
            <w:tcBorders>
              <w:left w:val="nil"/>
              <w:bottom w:val="nil"/>
            </w:tcBorders>
            <w:vAlign w:val="center"/>
          </w:tcPr>
          <w:p w14:paraId="0C9A1A44"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00F05D8C">
              <w:rPr>
                <w:rFonts w:eastAsia="Arial" w:cs="Arial"/>
                <w:color w:val="000000"/>
                <w:sz w:val="20"/>
                <w:shd w:val="clear" w:color="auto" w:fill="E6E6E6"/>
              </w:rPr>
              <w:t xml:space="preserve"> </w:t>
            </w:r>
            <w:r w:rsidRPr="00F05D8C">
              <w:rPr>
                <w:rFonts w:eastAsia="Arial" w:cs="Arial"/>
                <w:color w:val="000000"/>
                <w:sz w:val="20"/>
              </w:rPr>
              <w:t>Other sources</w:t>
            </w:r>
          </w:p>
        </w:tc>
      </w:tr>
      <w:tr w:rsidR="00B70A5D" w14:paraId="296F83E2" w14:textId="77777777">
        <w:tc>
          <w:tcPr>
            <w:tcW w:w="2348" w:type="dxa"/>
            <w:vMerge/>
          </w:tcPr>
          <w:p w14:paraId="6B9A6FC8"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1EBF3C0D"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507B94E4" w14:textId="77777777">
        <w:tc>
          <w:tcPr>
            <w:tcW w:w="2348" w:type="dxa"/>
            <w:shd w:val="clear" w:color="auto" w:fill="E6E6E6"/>
          </w:tcPr>
          <w:p w14:paraId="362341AE"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t>Choice of data or measurement methods and procedures</w:t>
            </w:r>
          </w:p>
        </w:tc>
        <w:tc>
          <w:tcPr>
            <w:tcW w:w="7224" w:type="dxa"/>
            <w:gridSpan w:val="4"/>
            <w:tcBorders>
              <w:top w:val="single" w:sz="4" w:space="0" w:color="000000" w:themeColor="text1"/>
            </w:tcBorders>
          </w:tcPr>
          <w:p w14:paraId="019B7C1E" w14:textId="77777777" w:rsidR="00B70A5D" w:rsidRPr="00A642D2" w:rsidRDefault="00B70A5D" w:rsidP="00620061">
            <w:pPr>
              <w:pStyle w:val="ListParagraph"/>
              <w:numPr>
                <w:ilvl w:val="0"/>
                <w:numId w:val="23"/>
              </w:numPr>
              <w:pBdr>
                <w:top w:val="nil"/>
                <w:left w:val="nil"/>
                <w:bottom w:val="nil"/>
                <w:right w:val="nil"/>
                <w:between w:val="nil"/>
              </w:pBdr>
              <w:tabs>
                <w:tab w:val="left" w:pos="510"/>
              </w:tabs>
              <w:spacing w:before="60" w:after="60" w:line="276" w:lineRule="auto"/>
              <w:ind w:right="57"/>
              <w:contextualSpacing w:val="0"/>
              <w:jc w:val="left"/>
              <w:rPr>
                <w:rFonts w:eastAsia="Arial" w:cs="Arial"/>
                <w:color w:val="000000" w:themeColor="text1"/>
                <w:sz w:val="20"/>
              </w:rPr>
            </w:pPr>
            <w:r w:rsidRPr="18C4CD90">
              <w:rPr>
                <w:rFonts w:eastAsia="Arial" w:cs="Arial"/>
                <w:color w:val="000000" w:themeColor="text1"/>
                <w:sz w:val="20"/>
              </w:rPr>
              <w:t xml:space="preserve">National or sub-national default [a] values from </w:t>
            </w:r>
            <w:r w:rsidRPr="00A642D2">
              <w:rPr>
                <w:rFonts w:eastAsia="Arial" w:cs="Arial"/>
                <w:color w:val="000000" w:themeColor="text1"/>
                <w:sz w:val="20"/>
              </w:rPr>
              <w:t>CDM TOOL33</w:t>
            </w:r>
            <w:r w:rsidRPr="18C4CD90">
              <w:rPr>
                <w:rFonts w:eastAsia="Arial" w:cs="Arial"/>
                <w:color w:val="000000" w:themeColor="text1"/>
                <w:sz w:val="20"/>
              </w:rPr>
              <w:t xml:space="preserve"> [b]; or</w:t>
            </w:r>
          </w:p>
          <w:p w14:paraId="44F53E73" w14:textId="77777777" w:rsidR="00B70A5D" w:rsidRPr="00A642D2" w:rsidRDefault="00B70A5D" w:rsidP="00620061">
            <w:pPr>
              <w:pStyle w:val="ListParagraph"/>
              <w:numPr>
                <w:ilvl w:val="0"/>
                <w:numId w:val="23"/>
              </w:numPr>
              <w:pBdr>
                <w:top w:val="nil"/>
                <w:left w:val="nil"/>
                <w:bottom w:val="nil"/>
                <w:right w:val="nil"/>
                <w:between w:val="nil"/>
              </w:pBdr>
              <w:tabs>
                <w:tab w:val="left" w:pos="510"/>
              </w:tabs>
              <w:spacing w:before="60" w:after="60" w:line="276" w:lineRule="auto"/>
              <w:ind w:right="57"/>
              <w:contextualSpacing w:val="0"/>
              <w:jc w:val="left"/>
              <w:rPr>
                <w:rFonts w:eastAsia="Arial" w:cs="Arial"/>
                <w:color w:val="000000" w:themeColor="text1"/>
                <w:sz w:val="20"/>
              </w:rPr>
            </w:pPr>
            <w:r w:rsidRPr="18C4CD90">
              <w:rPr>
                <w:rFonts w:eastAsia="Arial" w:cs="Arial"/>
                <w:color w:val="000000" w:themeColor="text1"/>
                <w:sz w:val="20"/>
              </w:rPr>
              <w:lastRenderedPageBreak/>
              <w:t xml:space="preserve">Customized project area (not aligned with national or subnational boundaries) using the online </w:t>
            </w:r>
            <w:proofErr w:type="spellStart"/>
            <w:r w:rsidRPr="18C4CD90">
              <w:rPr>
                <w:rFonts w:eastAsia="Arial" w:cs="Arial"/>
                <w:color w:val="000000" w:themeColor="text1"/>
                <w:sz w:val="20"/>
              </w:rPr>
              <w:t>MoFuSS</w:t>
            </w:r>
            <w:proofErr w:type="spellEnd"/>
            <w:r w:rsidRPr="18C4CD90">
              <w:rPr>
                <w:rFonts w:eastAsia="Arial" w:cs="Arial"/>
                <w:color w:val="000000" w:themeColor="text1"/>
                <w:sz w:val="20"/>
              </w:rPr>
              <w:t xml:space="preserve"> Default Scenarios (</w:t>
            </w:r>
            <w:proofErr w:type="spellStart"/>
            <w:r w:rsidRPr="18C4CD90">
              <w:rPr>
                <w:rFonts w:eastAsia="Arial" w:cs="Arial"/>
                <w:color w:val="000000" w:themeColor="text1"/>
                <w:sz w:val="20"/>
              </w:rPr>
              <w:t>MoFuSS</w:t>
            </w:r>
            <w:proofErr w:type="spellEnd"/>
            <w:r w:rsidRPr="18C4CD90">
              <w:rPr>
                <w:rFonts w:eastAsia="Arial" w:cs="Arial"/>
                <w:color w:val="000000" w:themeColor="text1"/>
                <w:sz w:val="20"/>
              </w:rPr>
              <w:t>-DS) interface</w:t>
            </w:r>
            <w:r>
              <w:rPr>
                <w:rFonts w:eastAsia="Arial" w:cs="Arial"/>
                <w:color w:val="000000" w:themeColor="text1"/>
                <w:sz w:val="20"/>
              </w:rPr>
              <w:t xml:space="preserve"> [c]</w:t>
            </w:r>
            <w:r w:rsidRPr="18C4CD90">
              <w:rPr>
                <w:rFonts w:eastAsia="Arial" w:cs="Arial"/>
                <w:color w:val="000000" w:themeColor="text1"/>
                <w:sz w:val="20"/>
              </w:rPr>
              <w:t>; or</w:t>
            </w:r>
          </w:p>
          <w:p w14:paraId="0F699A6C" w14:textId="77777777" w:rsidR="00B70A5D" w:rsidRPr="0029779C" w:rsidRDefault="00B70A5D" w:rsidP="00620061">
            <w:pPr>
              <w:pStyle w:val="ListParagraph"/>
              <w:numPr>
                <w:ilvl w:val="0"/>
                <w:numId w:val="23"/>
              </w:numPr>
              <w:pBdr>
                <w:top w:val="nil"/>
                <w:left w:val="nil"/>
                <w:bottom w:val="nil"/>
                <w:right w:val="nil"/>
                <w:between w:val="nil"/>
              </w:pBdr>
              <w:tabs>
                <w:tab w:val="left" w:pos="510"/>
              </w:tabs>
              <w:spacing w:before="60" w:after="60" w:line="276" w:lineRule="auto"/>
              <w:ind w:right="57"/>
              <w:contextualSpacing w:val="0"/>
              <w:jc w:val="left"/>
              <w:rPr>
                <w:rFonts w:eastAsia="Arial" w:cs="Arial"/>
                <w:color w:val="000000" w:themeColor="text1"/>
                <w:sz w:val="20"/>
              </w:rPr>
            </w:pPr>
            <w:r w:rsidRPr="18C4CD90">
              <w:rPr>
                <w:rFonts w:eastAsia="Arial" w:cs="Arial"/>
                <w:color w:val="000000" w:themeColor="text1"/>
                <w:sz w:val="20"/>
              </w:rPr>
              <w:t xml:space="preserve">Where applicable, project proponents may run their own model with </w:t>
            </w:r>
            <w:proofErr w:type="spellStart"/>
            <w:r w:rsidRPr="18C4CD90">
              <w:rPr>
                <w:rFonts w:eastAsia="Arial" w:cs="Arial"/>
                <w:color w:val="000000" w:themeColor="text1"/>
                <w:sz w:val="20"/>
              </w:rPr>
              <w:t>webMoFuSS</w:t>
            </w:r>
            <w:proofErr w:type="spellEnd"/>
            <w:r w:rsidRPr="18C4CD90">
              <w:rPr>
                <w:rFonts w:eastAsia="Arial" w:cs="Arial"/>
                <w:color w:val="000000" w:themeColor="text1"/>
                <w:sz w:val="20"/>
              </w:rPr>
              <w:t xml:space="preserve"> [</w:t>
            </w:r>
            <w:r>
              <w:rPr>
                <w:rFonts w:eastAsia="Arial" w:cs="Arial"/>
                <w:color w:val="000000" w:themeColor="text1"/>
                <w:sz w:val="20"/>
              </w:rPr>
              <w:t>d</w:t>
            </w:r>
            <w:r w:rsidRPr="0029779C">
              <w:rPr>
                <w:rFonts w:eastAsia="Arial" w:cs="Arial"/>
                <w:color w:val="000000" w:themeColor="text1"/>
                <w:sz w:val="20"/>
              </w:rPr>
              <w:t>] using their own rigorously validated inputs, as stipulated in the model.</w:t>
            </w:r>
            <w:r w:rsidRPr="00A02A40">
              <w:rPr>
                <w:rFonts w:eastAsia="Arial" w:cs="Arial"/>
                <w:color w:val="000000" w:themeColor="text1"/>
                <w:sz w:val="20"/>
              </w:rPr>
              <w:t xml:space="preserve"> </w:t>
            </w:r>
            <w:r w:rsidRPr="00584530">
              <w:rPr>
                <w:rFonts w:eastAsia="Arial Nova" w:cs="Arial"/>
                <w:sz w:val="20"/>
              </w:rPr>
              <w:t xml:space="preserve">For demand-side parameters like per capita fuel consumption, input data from population-representative surveys meeting the 95/10 rule or national datasets are acceptable. For supply-side data like land cover, biomass stock, or biomass growth maps, validated maps from reputed international sources or national remote sensing agencies are acceptable. More guidance </w:t>
            </w:r>
            <w:r>
              <w:rPr>
                <w:rFonts w:eastAsia="Arial Nova" w:cs="Arial"/>
                <w:sz w:val="20"/>
              </w:rPr>
              <w:t xml:space="preserve">to </w:t>
            </w:r>
            <w:r w:rsidRPr="00584530">
              <w:rPr>
                <w:rFonts w:eastAsia="Arial Nova" w:cs="Arial"/>
                <w:sz w:val="20"/>
              </w:rPr>
              <w:t xml:space="preserve">be published on </w:t>
            </w:r>
            <w:proofErr w:type="spellStart"/>
            <w:r w:rsidRPr="00584530">
              <w:rPr>
                <w:rFonts w:eastAsia="Arial Nova" w:cs="Arial"/>
                <w:sz w:val="20"/>
              </w:rPr>
              <w:t>webMoFuSS</w:t>
            </w:r>
            <w:proofErr w:type="spellEnd"/>
            <w:r w:rsidRPr="00584530">
              <w:rPr>
                <w:rFonts w:eastAsia="Arial Nova" w:cs="Arial"/>
                <w:sz w:val="20"/>
              </w:rPr>
              <w:t>.</w:t>
            </w:r>
          </w:p>
          <w:p w14:paraId="6155DB9A"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themeColor="text1"/>
                <w:sz w:val="20"/>
              </w:rPr>
            </w:pPr>
          </w:p>
          <w:p w14:paraId="35D68FE4"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[a] Sub-national values are appropriate for projects concentrated in specific regions. National values are appropriate for projects that are evenly spread throughout a country.</w:t>
            </w:r>
          </w:p>
          <w:p w14:paraId="035AFBB8" w14:textId="0DBD2F35" w:rsidR="00B70A5D" w:rsidRPr="00F05D8C" w:rsidRDefault="00B70A5D">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 xml:space="preserve">[b] </w:t>
            </w:r>
            <w:r>
              <w:rPr>
                <w:rFonts w:eastAsia="Arial" w:cs="Arial"/>
                <w:color w:val="000000" w:themeColor="text1"/>
                <w:sz w:val="20"/>
              </w:rPr>
              <w:t>D</w:t>
            </w:r>
            <w:r w:rsidRPr="009E42A3">
              <w:rPr>
                <w:rFonts w:eastAsia="Arial" w:cs="Arial"/>
                <w:color w:val="000000" w:themeColor="text1"/>
                <w:sz w:val="20"/>
              </w:rPr>
              <w:t xml:space="preserve">efault </w:t>
            </w:r>
            <w:proofErr w:type="spellStart"/>
            <w:r w:rsidRPr="009E42A3">
              <w:rPr>
                <w:rFonts w:eastAsia="Arial" w:cs="Arial"/>
                <w:color w:val="000000" w:themeColor="text1"/>
                <w:sz w:val="20"/>
              </w:rPr>
              <w:t>fNRB</w:t>
            </w:r>
            <w:proofErr w:type="spellEnd"/>
            <w:r w:rsidRPr="009E42A3">
              <w:rPr>
                <w:rFonts w:eastAsia="Arial" w:cs="Arial"/>
                <w:color w:val="000000" w:themeColor="text1"/>
                <w:sz w:val="20"/>
              </w:rPr>
              <w:t xml:space="preserve"> values from CDM TOOL33 (version 3.0) are included in </w:t>
            </w:r>
            <w:hyperlink w:anchor="A11" w:history="1">
              <w:r w:rsidRPr="009E42A3">
                <w:rPr>
                  <w:rStyle w:val="Hyperlink"/>
                  <w:rFonts w:eastAsia="Arial" w:cs="Arial"/>
                  <w:sz w:val="20"/>
                </w:rPr>
                <w:t>Appendix 11.</w:t>
              </w:r>
            </w:hyperlink>
          </w:p>
          <w:p w14:paraId="547765CF"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themeColor="text1"/>
                <w:sz w:val="20"/>
              </w:rPr>
            </w:pPr>
            <w:r>
              <w:rPr>
                <w:rFonts w:eastAsia="Arial" w:cs="Arial"/>
                <w:color w:val="000000" w:themeColor="text1"/>
                <w:sz w:val="20"/>
              </w:rPr>
              <w:t xml:space="preserve">[c] </w:t>
            </w:r>
            <w:hyperlink r:id="rId52" w:tgtFrame="_blank" w:tooltip="https://mofuss.unam.mx/mofuss-ds/" w:history="1">
              <w:r w:rsidRPr="00124123">
                <w:rPr>
                  <w:rStyle w:val="Hyperlink"/>
                  <w:rFonts w:eastAsia="Arial" w:cs="Arial"/>
                  <w:sz w:val="20"/>
                </w:rPr>
                <w:t>https://mofuss.unam.mx/mofuss-ds/</w:t>
              </w:r>
            </w:hyperlink>
            <w:r>
              <w:rPr>
                <w:rFonts w:eastAsia="Arial" w:cs="Arial"/>
                <w:color w:val="000000" w:themeColor="text1"/>
                <w:sz w:val="20"/>
              </w:rPr>
              <w:t xml:space="preserve"> </w:t>
            </w:r>
          </w:p>
          <w:p w14:paraId="0389973C"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w:t>
            </w:r>
            <w:r>
              <w:rPr>
                <w:rFonts w:eastAsia="Arial" w:cs="Arial"/>
                <w:color w:val="000000" w:themeColor="text1"/>
                <w:sz w:val="20"/>
              </w:rPr>
              <w:t>d</w:t>
            </w:r>
            <w:r w:rsidRPr="18C4CD90">
              <w:rPr>
                <w:rFonts w:eastAsia="Arial" w:cs="Arial"/>
                <w:color w:val="000000" w:themeColor="text1"/>
                <w:sz w:val="20"/>
              </w:rPr>
              <w:t xml:space="preserve">] If UNFCCC determines that a marginal approach to calculating </w:t>
            </w:r>
            <w:proofErr w:type="spellStart"/>
            <w:r w:rsidRPr="18C4CD90">
              <w:rPr>
                <w:rFonts w:eastAsia="Arial" w:cs="Arial"/>
                <w:color w:val="000000" w:themeColor="text1"/>
                <w:sz w:val="20"/>
              </w:rPr>
              <w:t>fNRB</w:t>
            </w:r>
            <w:proofErr w:type="spellEnd"/>
            <w:r w:rsidRPr="18C4CD90">
              <w:rPr>
                <w:rFonts w:eastAsia="Arial" w:cs="Arial"/>
                <w:color w:val="000000" w:themeColor="text1"/>
                <w:sz w:val="20"/>
              </w:rPr>
              <w:t xml:space="preserve"> is allowable, </w:t>
            </w:r>
            <w:proofErr w:type="spellStart"/>
            <w:r w:rsidRPr="18C4CD90">
              <w:rPr>
                <w:rFonts w:eastAsia="Arial" w:cs="Arial"/>
                <w:color w:val="000000" w:themeColor="text1"/>
                <w:sz w:val="20"/>
              </w:rPr>
              <w:t>MoFuSS</w:t>
            </w:r>
            <w:proofErr w:type="spellEnd"/>
            <w:r w:rsidRPr="18C4CD90">
              <w:rPr>
                <w:rFonts w:eastAsia="Arial" w:cs="Arial"/>
                <w:color w:val="000000" w:themeColor="text1"/>
                <w:sz w:val="20"/>
              </w:rPr>
              <w:t xml:space="preserve"> may be used to calculate marginal </w:t>
            </w:r>
            <w:proofErr w:type="spellStart"/>
            <w:r w:rsidRPr="18C4CD90">
              <w:rPr>
                <w:rFonts w:eastAsia="Arial" w:cs="Arial"/>
                <w:color w:val="000000" w:themeColor="text1"/>
                <w:sz w:val="20"/>
              </w:rPr>
              <w:t>fNRB</w:t>
            </w:r>
            <w:proofErr w:type="spellEnd"/>
            <w:r w:rsidRPr="18C4CD90">
              <w:rPr>
                <w:rFonts w:eastAsia="Arial" w:cs="Arial"/>
                <w:color w:val="000000" w:themeColor="text1"/>
                <w:sz w:val="20"/>
              </w:rPr>
              <w:t xml:space="preserve"> for a given project under this methodology.</w:t>
            </w:r>
          </w:p>
        </w:tc>
      </w:tr>
      <w:tr w:rsidR="00355A65" w14:paraId="16B3696C" w14:textId="77777777">
        <w:tc>
          <w:tcPr>
            <w:tcW w:w="2348" w:type="dxa"/>
            <w:shd w:val="clear" w:color="auto" w:fill="E6E6E6"/>
          </w:tcPr>
          <w:p w14:paraId="4FFC0BFC" w14:textId="6C49EC5A" w:rsidR="00355A65" w:rsidRDefault="00355A65"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lastRenderedPageBreak/>
              <w:t>Treatment of uncertainty</w:t>
            </w:r>
          </w:p>
        </w:tc>
        <w:tc>
          <w:tcPr>
            <w:tcW w:w="7224" w:type="dxa"/>
            <w:gridSpan w:val="4"/>
          </w:tcPr>
          <w:p w14:paraId="1364A24F" w14:textId="221B5680" w:rsidR="00355A65" w:rsidRPr="0029129F" w:rsidRDefault="0041629A" w:rsidP="00355A65">
            <w:pPr>
              <w:pStyle w:val="ParaTickBox"/>
              <w:tabs>
                <w:tab w:val="clear" w:pos="510"/>
              </w:tabs>
              <w:ind w:left="0" w:right="57" w:firstLine="0"/>
              <w:jc w:val="both"/>
              <w:rPr>
                <w:color w:val="4F81BD" w:themeColor="accent1"/>
                <w:szCs w:val="20"/>
              </w:rPr>
            </w:pPr>
            <w:r w:rsidRPr="0041629A">
              <w:rPr>
                <w:color w:val="000000" w:themeColor="text1"/>
                <w:szCs w:val="20"/>
              </w:rPr>
              <w:t xml:space="preserve">The </w:t>
            </w:r>
            <w:proofErr w:type="spellStart"/>
            <w:r w:rsidRPr="0041629A">
              <w:rPr>
                <w:color w:val="000000" w:themeColor="text1"/>
                <w:szCs w:val="20"/>
              </w:rPr>
              <w:t>MoFuSS</w:t>
            </w:r>
            <w:proofErr w:type="spellEnd"/>
            <w:r w:rsidRPr="0041629A">
              <w:rPr>
                <w:color w:val="000000" w:themeColor="text1"/>
                <w:szCs w:val="20"/>
              </w:rPr>
              <w:t xml:space="preserve"> model explicitly </w:t>
            </w:r>
            <w:r w:rsidR="00B62A10">
              <w:rPr>
                <w:color w:val="000000" w:themeColor="text1"/>
                <w:szCs w:val="20"/>
              </w:rPr>
              <w:t xml:space="preserve">addresses uncertainty in </w:t>
            </w:r>
            <w:r w:rsidR="00996420">
              <w:rPr>
                <w:color w:val="000000" w:themeColor="text1"/>
                <w:szCs w:val="20"/>
              </w:rPr>
              <w:t xml:space="preserve">select </w:t>
            </w:r>
            <w:r w:rsidR="00B62A10">
              <w:rPr>
                <w:color w:val="000000" w:themeColor="text1"/>
                <w:szCs w:val="20"/>
              </w:rPr>
              <w:t xml:space="preserve">inputs </w:t>
            </w:r>
            <w:r w:rsidR="001232E1">
              <w:rPr>
                <w:color w:val="000000" w:themeColor="text1"/>
                <w:szCs w:val="20"/>
              </w:rPr>
              <w:t xml:space="preserve">like biomass </w:t>
            </w:r>
            <w:r w:rsidR="00422A9D">
              <w:rPr>
                <w:color w:val="000000" w:themeColor="text1"/>
                <w:szCs w:val="20"/>
              </w:rPr>
              <w:t>growth rates</w:t>
            </w:r>
            <w:r w:rsidR="009E1A7F">
              <w:rPr>
                <w:color w:val="000000" w:themeColor="text1"/>
                <w:szCs w:val="20"/>
              </w:rPr>
              <w:t xml:space="preserve"> by running Monte Carlo simulations</w:t>
            </w:r>
            <w:r w:rsidR="00867715">
              <w:rPr>
                <w:color w:val="000000" w:themeColor="text1"/>
                <w:szCs w:val="20"/>
              </w:rPr>
              <w:t xml:space="preserve"> (multiple </w:t>
            </w:r>
            <w:proofErr w:type="gramStart"/>
            <w:r w:rsidR="00867715">
              <w:rPr>
                <w:color w:val="000000" w:themeColor="text1"/>
                <w:szCs w:val="20"/>
              </w:rPr>
              <w:t>model</w:t>
            </w:r>
            <w:proofErr w:type="gramEnd"/>
            <w:r w:rsidR="00867715">
              <w:rPr>
                <w:color w:val="000000" w:themeColor="text1"/>
                <w:szCs w:val="20"/>
              </w:rPr>
              <w:t xml:space="preserve"> runs using randomly selected inputs from a statistical distribution of possible values)</w:t>
            </w:r>
            <w:r w:rsidR="009E1A7F">
              <w:rPr>
                <w:color w:val="000000" w:themeColor="text1"/>
                <w:szCs w:val="20"/>
              </w:rPr>
              <w:t xml:space="preserve">. </w:t>
            </w:r>
            <w:r w:rsidR="00867715">
              <w:rPr>
                <w:color w:val="000000" w:themeColor="text1"/>
                <w:szCs w:val="20"/>
              </w:rPr>
              <w:t xml:space="preserve">The results are expressed as </w:t>
            </w:r>
            <w:r w:rsidR="00F43F6D">
              <w:rPr>
                <w:color w:val="000000" w:themeColor="text1"/>
                <w:szCs w:val="20"/>
              </w:rPr>
              <w:t xml:space="preserve">standard </w:t>
            </w:r>
            <w:r w:rsidR="00867715">
              <w:rPr>
                <w:color w:val="000000" w:themeColor="text1"/>
                <w:szCs w:val="20"/>
              </w:rPr>
              <w:t xml:space="preserve">errors </w:t>
            </w:r>
            <w:r w:rsidR="00123F7E">
              <w:rPr>
                <w:color w:val="000000" w:themeColor="text1"/>
                <w:szCs w:val="20"/>
              </w:rPr>
              <w:t xml:space="preserve">in the </w:t>
            </w:r>
            <w:r w:rsidR="00CD63FC">
              <w:rPr>
                <w:color w:val="000000" w:themeColor="text1"/>
                <w:szCs w:val="20"/>
              </w:rPr>
              <w:t xml:space="preserve">web-based query for </w:t>
            </w:r>
            <w:proofErr w:type="spellStart"/>
            <w:r w:rsidR="00CD63FC">
              <w:rPr>
                <w:color w:val="000000" w:themeColor="text1"/>
                <w:szCs w:val="20"/>
              </w:rPr>
              <w:t>MoFuSS</w:t>
            </w:r>
            <w:proofErr w:type="spellEnd"/>
            <w:r w:rsidR="00CD63FC">
              <w:rPr>
                <w:color w:val="000000" w:themeColor="text1"/>
                <w:szCs w:val="20"/>
              </w:rPr>
              <w:t xml:space="preserve"> default scenarios (</w:t>
            </w:r>
            <w:hyperlink r:id="rId53" w:tgtFrame="_blank" w:tooltip="https://mofuss.unam.mx/mofuss-ds/" w:history="1">
              <w:r w:rsidR="00CD63FC" w:rsidRPr="00124123">
                <w:rPr>
                  <w:rStyle w:val="Hyperlink"/>
                  <w:rFonts w:eastAsia="Arial"/>
                </w:rPr>
                <w:t>https://mofuss.unam.mx/mofuss-ds/</w:t>
              </w:r>
            </w:hyperlink>
            <w:r w:rsidR="00CD63FC">
              <w:rPr>
                <w:color w:val="000000" w:themeColor="text1"/>
                <w:szCs w:val="20"/>
              </w:rPr>
              <w:t>)</w:t>
            </w:r>
            <w:r w:rsidR="0079394A">
              <w:rPr>
                <w:color w:val="000000" w:themeColor="text1"/>
                <w:szCs w:val="20"/>
              </w:rPr>
              <w:t xml:space="preserve"> and can also be accessed </w:t>
            </w:r>
            <w:r w:rsidR="00A57F5E">
              <w:rPr>
                <w:color w:val="000000" w:themeColor="text1"/>
                <w:szCs w:val="20"/>
              </w:rPr>
              <w:t>from</w:t>
            </w:r>
            <w:r w:rsidR="0079394A">
              <w:rPr>
                <w:color w:val="000000" w:themeColor="text1"/>
                <w:szCs w:val="20"/>
              </w:rPr>
              <w:t xml:space="preserve"> the permanent </w:t>
            </w:r>
            <w:proofErr w:type="spellStart"/>
            <w:r w:rsidR="0079394A">
              <w:rPr>
                <w:color w:val="000000" w:themeColor="text1"/>
                <w:szCs w:val="20"/>
              </w:rPr>
              <w:t>MoFuSS</w:t>
            </w:r>
            <w:proofErr w:type="spellEnd"/>
            <w:r w:rsidR="0079394A">
              <w:rPr>
                <w:color w:val="000000" w:themeColor="text1"/>
                <w:szCs w:val="20"/>
              </w:rPr>
              <w:t xml:space="preserve"> data repository </w:t>
            </w:r>
            <w:r w:rsidR="00A57F5E">
              <w:rPr>
                <w:color w:val="000000" w:themeColor="text1"/>
                <w:szCs w:val="20"/>
              </w:rPr>
              <w:t>(</w:t>
            </w:r>
            <w:hyperlink r:id="rId54" w:history="1">
              <w:r w:rsidR="00A57F5E" w:rsidRPr="001D2255">
                <w:rPr>
                  <w:rStyle w:val="Hyperlink"/>
                  <w:szCs w:val="20"/>
                </w:rPr>
                <w:t>https://zenodo.org/records/14389323</w:t>
              </w:r>
            </w:hyperlink>
            <w:r w:rsidR="00A57F5E">
              <w:rPr>
                <w:color w:val="000000" w:themeColor="text1"/>
                <w:szCs w:val="20"/>
              </w:rPr>
              <w:t xml:space="preserve">). </w:t>
            </w:r>
          </w:p>
        </w:tc>
      </w:tr>
      <w:tr w:rsidR="00B70A5D" w14:paraId="5C8CECD8" w14:textId="77777777">
        <w:tc>
          <w:tcPr>
            <w:tcW w:w="2348" w:type="dxa"/>
            <w:shd w:val="clear" w:color="auto" w:fill="E6E6E6"/>
          </w:tcPr>
          <w:p w14:paraId="300BBC3B"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4D40EF4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Frequency of monitoring: Determined once ex-ante</w:t>
            </w:r>
            <w:r>
              <w:rPr>
                <w:rFonts w:eastAsia="Arial" w:cs="Arial"/>
                <w:color w:val="000000" w:themeColor="text1"/>
                <w:sz w:val="20"/>
              </w:rPr>
              <w:t>.</w:t>
            </w:r>
          </w:p>
          <w:p w14:paraId="4F27B049"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 xml:space="preserve">This parameter is only considered when woody biomass is used in either baseline or project scenario.  </w:t>
            </w:r>
          </w:p>
          <w:p w14:paraId="40A2BD48"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 xml:space="preserve">This parameter varies between zero and </w:t>
            </w:r>
            <w:r>
              <w:rPr>
                <w:rFonts w:eastAsia="Arial" w:cs="Arial"/>
                <w:color w:val="000000" w:themeColor="text1"/>
                <w:sz w:val="20"/>
              </w:rPr>
              <w:t>1</w:t>
            </w:r>
            <w:r w:rsidRPr="18C4CD90">
              <w:rPr>
                <w:rFonts w:eastAsia="Arial" w:cs="Arial"/>
                <w:color w:val="000000" w:themeColor="text1"/>
                <w:sz w:val="20"/>
              </w:rPr>
              <w:t xml:space="preserve"> for fuelwood, charcoal, and other solid biomass fuels that are not fully renewable. When renewable biomass fuels are used, this parameter is equal to zero. When fossil fuels are used, it is equal to</w:t>
            </w:r>
            <w:r>
              <w:rPr>
                <w:rFonts w:eastAsia="Arial" w:cs="Arial"/>
                <w:color w:val="000000" w:themeColor="text1"/>
                <w:sz w:val="20"/>
              </w:rPr>
              <w:t xml:space="preserve"> 1</w:t>
            </w:r>
            <w:r w:rsidRPr="18C4CD90">
              <w:rPr>
                <w:rFonts w:eastAsia="Arial" w:cs="Arial"/>
                <w:color w:val="000000" w:themeColor="text1"/>
                <w:sz w:val="20"/>
              </w:rPr>
              <w:t xml:space="preserve">. </w:t>
            </w:r>
          </w:p>
          <w:p w14:paraId="3E44480D"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Updated at crediting period renewal.</w:t>
            </w:r>
          </w:p>
        </w:tc>
      </w:tr>
    </w:tbl>
    <w:p w14:paraId="2566F74F"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15174155" w14:textId="77777777">
        <w:tc>
          <w:tcPr>
            <w:tcW w:w="2348" w:type="dxa"/>
            <w:shd w:val="clear" w:color="auto" w:fill="E6E6E6"/>
          </w:tcPr>
          <w:p w14:paraId="7A2A4732"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42FA3D87" w14:textId="77777777" w:rsidR="00B70A5D" w:rsidRDefault="00B70A5D">
            <w:pPr>
              <w:pBdr>
                <w:top w:val="nil"/>
                <w:left w:val="nil"/>
                <w:bottom w:val="nil"/>
                <w:right w:val="nil"/>
                <w:between w:val="nil"/>
              </w:pBdr>
              <w:tabs>
                <w:tab w:val="left" w:pos="510"/>
              </w:tabs>
              <w:spacing w:before="60" w:after="60"/>
              <w:ind w:right="57"/>
              <w:rPr>
                <w:rFonts w:eastAsia="Arial" w:cs="Arial"/>
                <w:b/>
                <w:bCs/>
                <w:color w:val="000000"/>
                <w:sz w:val="20"/>
              </w:rPr>
            </w:pPr>
            <w:proofErr w:type="spellStart"/>
            <w:r w:rsidRPr="543E7F3E">
              <w:rPr>
                <w:rFonts w:ascii="Cambria Math" w:eastAsia="Cambria Math" w:hAnsi="Cambria Math" w:cs="Cambria Math"/>
                <w:i/>
                <w:iCs/>
              </w:rPr>
              <w:t>LE</w:t>
            </w:r>
            <w:r w:rsidRPr="543E7F3E">
              <w:rPr>
                <w:rFonts w:ascii="Cambria Math" w:eastAsia="Cambria Math" w:hAnsi="Cambria Math" w:cs="Cambria Math"/>
                <w:i/>
                <w:iCs/>
                <w:vertAlign w:val="subscript"/>
              </w:rPr>
              <w:t>y</w:t>
            </w:r>
            <w:proofErr w:type="spellEnd"/>
          </w:p>
        </w:tc>
      </w:tr>
      <w:tr w:rsidR="00B70A5D" w14:paraId="18F66A58" w14:textId="77777777">
        <w:tc>
          <w:tcPr>
            <w:tcW w:w="2348" w:type="dxa"/>
            <w:shd w:val="clear" w:color="auto" w:fill="E6E6E6"/>
          </w:tcPr>
          <w:p w14:paraId="383212D3"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74090449"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Percentage deduction to account for leakage emissions during year </w:t>
            </w:r>
            <w:r w:rsidRPr="00536A3B">
              <w:rPr>
                <w:rFonts w:eastAsia="Arial" w:cs="Arial"/>
                <w:i/>
                <w:color w:val="000000" w:themeColor="text1"/>
                <w:sz w:val="20"/>
              </w:rPr>
              <w:t>y</w:t>
            </w:r>
          </w:p>
        </w:tc>
      </w:tr>
      <w:tr w:rsidR="00B70A5D" w14:paraId="56110E34" w14:textId="77777777">
        <w:tc>
          <w:tcPr>
            <w:tcW w:w="2348" w:type="dxa"/>
            <w:shd w:val="clear" w:color="auto" w:fill="E6E6E6"/>
          </w:tcPr>
          <w:p w14:paraId="405A755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6953FCAB"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Percentage</w:t>
            </w:r>
          </w:p>
        </w:tc>
      </w:tr>
      <w:tr w:rsidR="00B70A5D" w14:paraId="2DB6FFB6" w14:textId="77777777">
        <w:tc>
          <w:tcPr>
            <w:tcW w:w="2348" w:type="dxa"/>
            <w:shd w:val="clear" w:color="auto" w:fill="E6E6E6"/>
          </w:tcPr>
          <w:p w14:paraId="675AB1D0"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1D6458FF" w14:textId="23172960"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hyperlink w:anchor="e16" w:history="1">
              <w:r w:rsidRPr="003A1A70">
                <w:rPr>
                  <w:rStyle w:val="Hyperlink"/>
                  <w:rFonts w:eastAsia="Arial" w:cs="Arial"/>
                  <w:sz w:val="20"/>
                </w:rPr>
                <w:t>Eq. 16</w:t>
              </w:r>
            </w:hyperlink>
          </w:p>
        </w:tc>
      </w:tr>
      <w:tr w:rsidR="00B70A5D" w14:paraId="4037D20C" w14:textId="77777777">
        <w:tc>
          <w:tcPr>
            <w:tcW w:w="2348" w:type="dxa"/>
            <w:vMerge w:val="restart"/>
            <w:shd w:val="clear" w:color="auto" w:fill="E6E6E6"/>
          </w:tcPr>
          <w:p w14:paraId="607CB11F"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tcBorders>
              <w:bottom w:val="nil"/>
              <w:right w:val="nil"/>
            </w:tcBorders>
          </w:tcPr>
          <w:p w14:paraId="2AA3E175"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Baseline emissions / removals</w:t>
            </w:r>
          </w:p>
        </w:tc>
        <w:tc>
          <w:tcPr>
            <w:tcW w:w="2408" w:type="dxa"/>
            <w:gridSpan w:val="2"/>
            <w:tcBorders>
              <w:left w:val="nil"/>
              <w:bottom w:val="nil"/>
              <w:right w:val="nil"/>
            </w:tcBorders>
          </w:tcPr>
          <w:p w14:paraId="6C0D0E42"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Project emissions / removals</w:t>
            </w:r>
          </w:p>
        </w:tc>
        <w:tc>
          <w:tcPr>
            <w:tcW w:w="2408" w:type="dxa"/>
            <w:tcBorders>
              <w:left w:val="nil"/>
              <w:bottom w:val="nil"/>
            </w:tcBorders>
          </w:tcPr>
          <w:p w14:paraId="4BE8E220"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00F05D8C">
              <w:rPr>
                <w:rFonts w:eastAsia="Arial" w:cs="Arial"/>
                <w:color w:val="000000"/>
                <w:sz w:val="20"/>
              </w:rPr>
              <w:t xml:space="preserve"> Leakage emissions</w:t>
            </w:r>
          </w:p>
        </w:tc>
      </w:tr>
      <w:tr w:rsidR="00B70A5D" w14:paraId="39DBA336" w14:textId="77777777">
        <w:tc>
          <w:tcPr>
            <w:tcW w:w="2348" w:type="dxa"/>
            <w:vMerge/>
          </w:tcPr>
          <w:p w14:paraId="3881E9D5"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6AF45131"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45C2912C" w14:textId="77777777">
        <w:tc>
          <w:tcPr>
            <w:tcW w:w="2348" w:type="dxa"/>
            <w:shd w:val="clear" w:color="auto" w:fill="E6E6E6"/>
          </w:tcPr>
          <w:p w14:paraId="3A11235D"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224" w:type="dxa"/>
            <w:gridSpan w:val="4"/>
            <w:tcBorders>
              <w:bottom w:val="single" w:sz="4" w:space="0" w:color="000000" w:themeColor="text1"/>
            </w:tcBorders>
          </w:tcPr>
          <w:p w14:paraId="3E866AF8" w14:textId="77777777" w:rsidR="00B70A5D" w:rsidRPr="00F05D8C"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r>
              <w:rPr>
                <w:rFonts w:eastAsia="Arial" w:cs="Arial"/>
                <w:color w:val="000000" w:themeColor="text1"/>
                <w:sz w:val="20"/>
              </w:rPr>
              <w:t>2</w:t>
            </w:r>
            <w:r w:rsidRPr="18C4CD90">
              <w:rPr>
                <w:rFonts w:eastAsia="Arial" w:cs="Arial"/>
                <w:color w:val="000000" w:themeColor="text1"/>
                <w:sz w:val="20"/>
              </w:rPr>
              <w:t>%</w:t>
            </w:r>
          </w:p>
        </w:tc>
      </w:tr>
      <w:tr w:rsidR="00B70A5D" w14:paraId="57A50151" w14:textId="77777777">
        <w:tc>
          <w:tcPr>
            <w:tcW w:w="2348" w:type="dxa"/>
            <w:vMerge w:val="restart"/>
            <w:shd w:val="clear" w:color="auto" w:fill="E6E6E6"/>
          </w:tcPr>
          <w:p w14:paraId="54482019"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lastRenderedPageBreak/>
              <w:t>Source of data</w:t>
            </w:r>
          </w:p>
        </w:tc>
        <w:tc>
          <w:tcPr>
            <w:tcW w:w="3612" w:type="dxa"/>
            <w:gridSpan w:val="2"/>
            <w:tcBorders>
              <w:bottom w:val="nil"/>
              <w:right w:val="nil"/>
            </w:tcBorders>
            <w:vAlign w:val="center"/>
          </w:tcPr>
          <w:p w14:paraId="6E043420" w14:textId="77777777" w:rsidR="00B70A5D" w:rsidRPr="00F05D8C"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7EB30EA0">
              <w:rPr>
                <w:rFonts w:ascii="Wingdings 2" w:eastAsia="Wingdings 2" w:hAnsi="Wingdings 2" w:cs="Wingdings 2"/>
                <w:color w:val="000000" w:themeColor="text1"/>
                <w:sz w:val="20"/>
              </w:rPr>
              <w:t>T</w:t>
            </w:r>
            <w:r w:rsidRPr="00F05D8C">
              <w:rPr>
                <w:rFonts w:eastAsia="Arial" w:cs="Arial"/>
                <w:color w:val="000000"/>
                <w:sz w:val="20"/>
              </w:rPr>
              <w:t xml:space="preserve"> Measured</w:t>
            </w:r>
          </w:p>
        </w:tc>
        <w:tc>
          <w:tcPr>
            <w:tcW w:w="3612" w:type="dxa"/>
            <w:gridSpan w:val="2"/>
            <w:tcBorders>
              <w:left w:val="nil"/>
              <w:bottom w:val="nil"/>
            </w:tcBorders>
            <w:vAlign w:val="center"/>
          </w:tcPr>
          <w:p w14:paraId="32508FAF"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00F05D8C">
              <w:rPr>
                <w:rFonts w:eastAsia="Arial" w:cs="Arial"/>
                <w:color w:val="000000"/>
                <w:sz w:val="20"/>
                <w:shd w:val="clear" w:color="auto" w:fill="E6E6E6"/>
              </w:rPr>
              <w:t xml:space="preserve"> </w:t>
            </w:r>
            <w:r w:rsidRPr="00F05D8C">
              <w:rPr>
                <w:rFonts w:eastAsia="Arial" w:cs="Arial"/>
                <w:color w:val="000000"/>
                <w:sz w:val="20"/>
              </w:rPr>
              <w:t>Other sources</w:t>
            </w:r>
          </w:p>
        </w:tc>
      </w:tr>
      <w:tr w:rsidR="00B70A5D" w14:paraId="5A81DDF5" w14:textId="77777777">
        <w:tc>
          <w:tcPr>
            <w:tcW w:w="2348" w:type="dxa"/>
            <w:vMerge/>
          </w:tcPr>
          <w:p w14:paraId="70306AF9"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0C84B78A"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4AF15FD6" w14:textId="77777777">
        <w:tc>
          <w:tcPr>
            <w:tcW w:w="2348" w:type="dxa"/>
            <w:shd w:val="clear" w:color="auto" w:fill="E6E6E6"/>
          </w:tcPr>
          <w:p w14:paraId="432CDC04"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t>Choice of data or measurement methods and procedures</w:t>
            </w:r>
          </w:p>
        </w:tc>
        <w:tc>
          <w:tcPr>
            <w:tcW w:w="7224" w:type="dxa"/>
            <w:gridSpan w:val="4"/>
            <w:tcBorders>
              <w:top w:val="single" w:sz="4" w:space="0" w:color="000000" w:themeColor="text1"/>
            </w:tcBorders>
          </w:tcPr>
          <w:p w14:paraId="2B016164" w14:textId="77777777" w:rsidR="00B70A5D" w:rsidRDefault="00B70A5D">
            <w:pPr>
              <w:rPr>
                <w:rFonts w:cs="Arial"/>
                <w:sz w:val="20"/>
              </w:rPr>
            </w:pPr>
            <w:r w:rsidRPr="008538C3">
              <w:rPr>
                <w:rFonts w:cs="Arial"/>
                <w:sz w:val="20"/>
              </w:rPr>
              <w:t>Project proponents shall either</w:t>
            </w:r>
            <w:r>
              <w:rPr>
                <w:rFonts w:cs="Arial"/>
                <w:sz w:val="20"/>
              </w:rPr>
              <w:t>:</w:t>
            </w:r>
          </w:p>
          <w:p w14:paraId="6F020E4B" w14:textId="77777777" w:rsidR="00B70A5D" w:rsidRDefault="00B70A5D">
            <w:pPr>
              <w:rPr>
                <w:rFonts w:cs="Arial"/>
                <w:sz w:val="20"/>
              </w:rPr>
            </w:pPr>
          </w:p>
          <w:p w14:paraId="3CEB52B3" w14:textId="77777777" w:rsidR="00B70A5D" w:rsidRDefault="00B70A5D">
            <w:pPr>
              <w:rPr>
                <w:rFonts w:cs="Arial"/>
                <w:color w:val="000000" w:themeColor="text1"/>
                <w:sz w:val="20"/>
              </w:rPr>
            </w:pPr>
            <w:r>
              <w:rPr>
                <w:rFonts w:cs="Arial"/>
                <w:sz w:val="20"/>
              </w:rPr>
              <w:t>-A</w:t>
            </w:r>
            <w:r w:rsidRPr="008538C3">
              <w:rPr>
                <w:rFonts w:cs="Arial"/>
                <w:sz w:val="20"/>
              </w:rPr>
              <w:t>pply a default adjustment factor of 2% to the emission reductions to approximate leakage emissions</w:t>
            </w:r>
            <w:r>
              <w:rPr>
                <w:rFonts w:cs="Arial"/>
                <w:sz w:val="20"/>
              </w:rPr>
              <w:t>;</w:t>
            </w:r>
            <w:r w:rsidRPr="008538C3">
              <w:rPr>
                <w:rFonts w:cs="Arial"/>
                <w:sz w:val="20"/>
              </w:rPr>
              <w:t xml:space="preserve"> or</w:t>
            </w:r>
            <w:r w:rsidRPr="008538C3">
              <w:rPr>
                <w:rFonts w:cs="Arial"/>
                <w:color w:val="000000" w:themeColor="text1"/>
                <w:sz w:val="20"/>
              </w:rPr>
              <w:t xml:space="preserve"> </w:t>
            </w:r>
          </w:p>
          <w:p w14:paraId="2AD075D2" w14:textId="77777777" w:rsidR="00B70A5D" w:rsidRDefault="00B70A5D">
            <w:pPr>
              <w:rPr>
                <w:rFonts w:cs="Arial"/>
                <w:color w:val="000000" w:themeColor="text1"/>
                <w:sz w:val="20"/>
              </w:rPr>
            </w:pPr>
            <w:r>
              <w:rPr>
                <w:rFonts w:cs="Arial"/>
                <w:color w:val="000000" w:themeColor="text1"/>
                <w:sz w:val="20"/>
              </w:rPr>
              <w:t>-E</w:t>
            </w:r>
            <w:r w:rsidRPr="008538C3">
              <w:rPr>
                <w:rFonts w:cs="Arial"/>
                <w:color w:val="000000" w:themeColor="text1"/>
                <w:sz w:val="20"/>
              </w:rPr>
              <w:t xml:space="preserve">valuate the relevant potential sources of leakage and provide an evidence-based description and </w:t>
            </w:r>
            <w:r>
              <w:rPr>
                <w:rFonts w:cs="Arial"/>
                <w:color w:val="000000" w:themeColor="text1"/>
                <w:sz w:val="20"/>
              </w:rPr>
              <w:t>estimated</w:t>
            </w:r>
            <w:r w:rsidRPr="008538C3">
              <w:rPr>
                <w:rFonts w:cs="Arial"/>
                <w:color w:val="000000" w:themeColor="text1"/>
                <w:sz w:val="20"/>
              </w:rPr>
              <w:t xml:space="preserve"> quantification of each potential source and its relevance for the project. </w:t>
            </w:r>
          </w:p>
          <w:p w14:paraId="1A44B622" w14:textId="77777777" w:rsidR="00B70A5D" w:rsidRDefault="00B70A5D">
            <w:pPr>
              <w:rPr>
                <w:rFonts w:cs="Arial"/>
                <w:color w:val="000000" w:themeColor="text1"/>
                <w:sz w:val="20"/>
              </w:rPr>
            </w:pPr>
          </w:p>
          <w:p w14:paraId="590BFCB5" w14:textId="77777777" w:rsidR="00B70A5D" w:rsidRPr="00A2101E" w:rsidRDefault="00B70A5D">
            <w:pPr>
              <w:rPr>
                <w:rFonts w:eastAsia="Arial" w:cs="Arial"/>
                <w:sz w:val="20"/>
                <w:lang w:val="en-US"/>
              </w:rPr>
            </w:pPr>
            <w:r w:rsidRPr="00A2101E">
              <w:rPr>
                <w:rFonts w:eastAsia="Arial" w:cs="Arial"/>
                <w:sz w:val="20"/>
                <w:lang w:val="en-US"/>
              </w:rPr>
              <w:t xml:space="preserve">If utilizing the latter, for each source for which the leakage assessment expects an increase in fuel consumption by non-project households attributable to the project activity, then calculations must be undertaken to account for the leakage from this source. Leakage is either calculated as a quantitative emissions volume (tCO2e) or as a percentage of total emission reductions. The project documentation shall include a projection of leakage emissions based on available data and information. The monitoring plan must include monitoring parameters to be registered during the leakage investigation every two years to populate the leakage calculation. </w:t>
            </w:r>
          </w:p>
          <w:p w14:paraId="3BEA9B19" w14:textId="77777777" w:rsidR="00B70A5D" w:rsidRPr="00A2101E" w:rsidRDefault="00B70A5D">
            <w:pPr>
              <w:rPr>
                <w:rFonts w:eastAsia="Arial" w:cs="Arial"/>
                <w:sz w:val="20"/>
                <w:lang w:val="en-US"/>
              </w:rPr>
            </w:pPr>
          </w:p>
          <w:p w14:paraId="324CE4C6" w14:textId="77777777" w:rsidR="00B70A5D" w:rsidRPr="001E7AC6" w:rsidRDefault="00B70A5D">
            <w:pPr>
              <w:rPr>
                <w:rFonts w:eastAsia="Arial" w:cs="Arial"/>
                <w:sz w:val="20"/>
              </w:rPr>
            </w:pPr>
            <w:r w:rsidRPr="00A2101E">
              <w:rPr>
                <w:rFonts w:eastAsia="Arial" w:cs="Arial"/>
                <w:sz w:val="20"/>
                <w:lang w:val="en-US"/>
              </w:rPr>
              <w:t>When using the latter, the project proponent must conduct a leakage investigation every two years using relevant methods. For example, surveys to determine parameters for the leakage calculation may be combined with project monitoring surveys, as is applicable. Monitoring plans should include field-based measurement methods, especially for the quantification of fuel, as data on fuel use estimated via surveys are often insufficiently accurate.</w:t>
            </w:r>
          </w:p>
        </w:tc>
      </w:tr>
      <w:tr w:rsidR="00355A65" w14:paraId="34BA1D08" w14:textId="77777777">
        <w:tc>
          <w:tcPr>
            <w:tcW w:w="2348" w:type="dxa"/>
            <w:shd w:val="clear" w:color="auto" w:fill="E6E6E6"/>
          </w:tcPr>
          <w:p w14:paraId="7992CE67" w14:textId="0EC9BC4F" w:rsidR="00355A65" w:rsidRDefault="00355A65"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t>Treatment of uncertainty</w:t>
            </w:r>
          </w:p>
        </w:tc>
        <w:tc>
          <w:tcPr>
            <w:tcW w:w="7224" w:type="dxa"/>
            <w:gridSpan w:val="4"/>
          </w:tcPr>
          <w:p w14:paraId="5F7116CA" w14:textId="5AABD61A" w:rsidR="0013673C" w:rsidRDefault="0013673C" w:rsidP="00355A65">
            <w:pPr>
              <w:pStyle w:val="ParaTickBox"/>
              <w:tabs>
                <w:tab w:val="clear" w:pos="510"/>
              </w:tabs>
              <w:ind w:left="0" w:right="57" w:firstLine="0"/>
              <w:jc w:val="both"/>
              <w:rPr>
                <w:i/>
                <w:iCs/>
                <w:color w:val="4F81BD" w:themeColor="accent1"/>
                <w:szCs w:val="20"/>
              </w:rPr>
            </w:pPr>
            <w:r w:rsidRPr="007B4DC7">
              <w:rPr>
                <w:rFonts w:eastAsia="Arial"/>
                <w:color w:val="000000" w:themeColor="text1"/>
              </w:rPr>
              <w:t xml:space="preserve">Uncertainty is addressed </w:t>
            </w:r>
            <w:proofErr w:type="gramStart"/>
            <w:r w:rsidRPr="007B4DC7">
              <w:rPr>
                <w:rFonts w:eastAsia="Arial"/>
                <w:color w:val="000000" w:themeColor="text1"/>
              </w:rPr>
              <w:t>through the use of</w:t>
            </w:r>
            <w:proofErr w:type="gramEnd"/>
            <w:r w:rsidRPr="007B4DC7">
              <w:rPr>
                <w:rFonts w:eastAsia="Arial"/>
                <w:color w:val="000000" w:themeColor="text1"/>
              </w:rPr>
              <w:t xml:space="preserve"> conservative default values.</w:t>
            </w:r>
          </w:p>
          <w:p w14:paraId="100541CD" w14:textId="4841136B" w:rsidR="00355A65" w:rsidRPr="00355A65" w:rsidRDefault="00355A65" w:rsidP="00355A65">
            <w:pPr>
              <w:pStyle w:val="ParaTickBox"/>
              <w:tabs>
                <w:tab w:val="clear" w:pos="510"/>
              </w:tabs>
              <w:ind w:left="0" w:right="57" w:firstLine="0"/>
              <w:jc w:val="both"/>
              <w:rPr>
                <w:i/>
                <w:iCs/>
                <w:color w:val="4F81BD" w:themeColor="accent1"/>
                <w:szCs w:val="20"/>
              </w:rPr>
            </w:pPr>
          </w:p>
        </w:tc>
      </w:tr>
      <w:tr w:rsidR="00B70A5D" w14:paraId="1F8A44E0" w14:textId="77777777">
        <w:tc>
          <w:tcPr>
            <w:tcW w:w="2348" w:type="dxa"/>
            <w:shd w:val="clear" w:color="auto" w:fill="E6E6E6"/>
          </w:tcPr>
          <w:p w14:paraId="28F681C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13DCFAB2"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bl>
    <w:p w14:paraId="1681006C"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29E60C7D" w14:textId="77777777">
        <w:tc>
          <w:tcPr>
            <w:tcW w:w="2348" w:type="dxa"/>
            <w:shd w:val="clear" w:color="auto" w:fill="E6E6E6"/>
          </w:tcPr>
          <w:p w14:paraId="6DF9E7CE"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273EA8FF" w14:textId="77777777" w:rsidR="00B70A5D" w:rsidRPr="005936ED" w:rsidRDefault="00000000">
            <w:pPr>
              <w:pBdr>
                <w:top w:val="nil"/>
                <w:left w:val="nil"/>
                <w:bottom w:val="nil"/>
                <w:right w:val="nil"/>
                <w:between w:val="nil"/>
              </w:pBdr>
              <w:tabs>
                <w:tab w:val="left" w:pos="510"/>
              </w:tabs>
              <w:spacing w:before="60" w:after="60"/>
              <w:ind w:right="57"/>
              <w:rPr>
                <w:rFonts w:eastAsia="Arial" w:cs="Arial"/>
                <w:b/>
                <w:color w:val="000000"/>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NCV</m:t>
                    </m:r>
                  </m:e>
                  <m:sub>
                    <m:r>
                      <w:rPr>
                        <w:rFonts w:ascii="Cambria Math" w:eastAsia="Cambria Math" w:hAnsi="Cambria Math" w:cs="Cambria Math"/>
                      </w:rPr>
                      <m:t>x</m:t>
                    </m:r>
                  </m:sub>
                </m:sSub>
                <m:sSub>
                  <m:sSubPr>
                    <m:ctrlPr>
                      <w:rPr>
                        <w:rFonts w:ascii="Cambria Math" w:eastAsia="Cambria Math" w:hAnsi="Cambria Math" w:cs="Cambria Math"/>
                      </w:rPr>
                    </m:ctrlPr>
                  </m:sSubPr>
                  <m:e>
                    <m:r>
                      <w:rPr>
                        <w:rFonts w:ascii="Cambria Math" w:eastAsia="Cambria Math" w:hAnsi="Cambria Math" w:cs="Cambria Math"/>
                      </w:rPr>
                      <m:t xml:space="preserve"> (also NCV</m:t>
                    </m:r>
                  </m:e>
                  <m:sub>
                    <m:r>
                      <w:rPr>
                        <w:rFonts w:ascii="Cambria Math" w:eastAsia="Cambria Math" w:hAnsi="Cambria Math" w:cs="Cambria Math"/>
                      </w:rPr>
                      <m:t>j</m:t>
                    </m:r>
                  </m:sub>
                </m:sSub>
                <m:r>
                  <w:rPr>
                    <w:rFonts w:ascii="Cambria Math" w:eastAsia="Cambria Math" w:hAnsi="Cambria Math" w:cs="Cambria Math"/>
                  </w:rPr>
                  <m:t>)</m:t>
                </m:r>
              </m:oMath>
            </m:oMathPara>
          </w:p>
        </w:tc>
      </w:tr>
      <w:tr w:rsidR="00B70A5D" w14:paraId="3FA6E59E" w14:textId="77777777">
        <w:tc>
          <w:tcPr>
            <w:tcW w:w="2348" w:type="dxa"/>
            <w:shd w:val="clear" w:color="auto" w:fill="E6E6E6"/>
          </w:tcPr>
          <w:p w14:paraId="7979E6AE"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5493A828"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Net calorific value of fuel </w:t>
            </w:r>
            <w:r w:rsidRPr="00EB23DF">
              <w:rPr>
                <w:rFonts w:eastAsia="Arial" w:cs="Arial"/>
                <w:i/>
                <w:color w:val="000000" w:themeColor="text1"/>
                <w:sz w:val="20"/>
              </w:rPr>
              <w:t>x</w:t>
            </w:r>
            <w:r>
              <w:rPr>
                <w:rFonts w:eastAsia="Arial" w:cs="Arial"/>
                <w:color w:val="000000" w:themeColor="text1"/>
                <w:sz w:val="20"/>
              </w:rPr>
              <w:t xml:space="preserve"> (or </w:t>
            </w:r>
            <w:r w:rsidRPr="00EB23DF">
              <w:rPr>
                <w:rFonts w:eastAsia="Arial" w:cs="Arial"/>
                <w:i/>
                <w:color w:val="000000" w:themeColor="text1"/>
                <w:sz w:val="20"/>
              </w:rPr>
              <w:t>j</w:t>
            </w:r>
            <w:r>
              <w:rPr>
                <w:rFonts w:eastAsia="Arial" w:cs="Arial"/>
                <w:color w:val="000000" w:themeColor="text1"/>
                <w:sz w:val="20"/>
              </w:rPr>
              <w:t>)</w:t>
            </w:r>
          </w:p>
        </w:tc>
      </w:tr>
      <w:tr w:rsidR="00B70A5D" w14:paraId="3CE4C3A7" w14:textId="77777777">
        <w:tc>
          <w:tcPr>
            <w:tcW w:w="2348" w:type="dxa"/>
            <w:shd w:val="clear" w:color="auto" w:fill="E6E6E6"/>
          </w:tcPr>
          <w:p w14:paraId="00C3A523"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6CA2CECF"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TJ/tonnes</w:t>
            </w:r>
          </w:p>
        </w:tc>
      </w:tr>
      <w:tr w:rsidR="00B70A5D" w14:paraId="3CCF5F7F" w14:textId="77777777">
        <w:tc>
          <w:tcPr>
            <w:tcW w:w="2348" w:type="dxa"/>
            <w:shd w:val="clear" w:color="auto" w:fill="E6E6E6"/>
          </w:tcPr>
          <w:p w14:paraId="2F32A4A0"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44E2687D" w14:textId="522281EA"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hyperlink w:anchor="e1" w:history="1">
              <w:r w:rsidRPr="003A1A70">
                <w:rPr>
                  <w:rStyle w:val="Hyperlink"/>
                  <w:rFonts w:eastAsia="Arial" w:cs="Arial"/>
                  <w:sz w:val="20"/>
                </w:rPr>
                <w:t>Eq. 1</w:t>
              </w:r>
            </w:hyperlink>
          </w:p>
        </w:tc>
      </w:tr>
      <w:tr w:rsidR="00B70A5D" w14:paraId="7D956A35" w14:textId="77777777">
        <w:tc>
          <w:tcPr>
            <w:tcW w:w="2348" w:type="dxa"/>
            <w:vMerge w:val="restart"/>
            <w:shd w:val="clear" w:color="auto" w:fill="E6E6E6"/>
          </w:tcPr>
          <w:p w14:paraId="7A8F6E0A"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tcBorders>
              <w:bottom w:val="nil"/>
              <w:right w:val="nil"/>
            </w:tcBorders>
          </w:tcPr>
          <w:p w14:paraId="6B7D6CD7"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Baseline emissions / removals</w:t>
            </w:r>
          </w:p>
        </w:tc>
        <w:tc>
          <w:tcPr>
            <w:tcW w:w="2408" w:type="dxa"/>
            <w:gridSpan w:val="2"/>
            <w:tcBorders>
              <w:left w:val="nil"/>
              <w:bottom w:val="nil"/>
              <w:right w:val="nil"/>
            </w:tcBorders>
          </w:tcPr>
          <w:p w14:paraId="45C57402"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Project emissions / removals</w:t>
            </w:r>
          </w:p>
        </w:tc>
        <w:tc>
          <w:tcPr>
            <w:tcW w:w="2408" w:type="dxa"/>
            <w:tcBorders>
              <w:left w:val="nil"/>
              <w:bottom w:val="nil"/>
            </w:tcBorders>
          </w:tcPr>
          <w:p w14:paraId="43004CF7"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784F51C1" w14:textId="77777777">
        <w:tc>
          <w:tcPr>
            <w:tcW w:w="2348" w:type="dxa"/>
            <w:vMerge/>
          </w:tcPr>
          <w:p w14:paraId="68186238"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0A7CFF00"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5A125F14" w14:textId="77777777">
        <w:tc>
          <w:tcPr>
            <w:tcW w:w="2348" w:type="dxa"/>
            <w:shd w:val="clear" w:color="auto" w:fill="E6E6E6"/>
          </w:tcPr>
          <w:p w14:paraId="1600402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224" w:type="dxa"/>
            <w:gridSpan w:val="4"/>
            <w:tcBorders>
              <w:bottom w:val="single" w:sz="4" w:space="0" w:color="000000" w:themeColor="text1"/>
            </w:tcBorders>
          </w:tcPr>
          <w:p w14:paraId="22A975A1" w14:textId="503867A3" w:rsidR="00B70A5D" w:rsidRPr="009E42A3"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r w:rsidRPr="009E42A3">
              <w:rPr>
                <w:rFonts w:eastAsia="Arial" w:cs="Arial"/>
                <w:color w:val="000000" w:themeColor="text1"/>
                <w:sz w:val="20"/>
              </w:rPr>
              <w:t xml:space="preserve">See </w:t>
            </w:r>
            <w:hyperlink w:anchor="A5" w:history="1">
              <w:r w:rsidRPr="009E42A3">
                <w:rPr>
                  <w:rStyle w:val="Hyperlink"/>
                  <w:rFonts w:eastAsia="Arial" w:cs="Arial"/>
                  <w:sz w:val="20"/>
                </w:rPr>
                <w:t>Appendix 5.</w:t>
              </w:r>
            </w:hyperlink>
          </w:p>
        </w:tc>
      </w:tr>
      <w:tr w:rsidR="00B70A5D" w14:paraId="4AACA03D" w14:textId="77777777">
        <w:tc>
          <w:tcPr>
            <w:tcW w:w="2348" w:type="dxa"/>
            <w:vMerge w:val="restart"/>
            <w:shd w:val="clear" w:color="auto" w:fill="E6E6E6"/>
          </w:tcPr>
          <w:p w14:paraId="0DD667F2"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Source of data</w:t>
            </w:r>
          </w:p>
        </w:tc>
        <w:tc>
          <w:tcPr>
            <w:tcW w:w="3612" w:type="dxa"/>
            <w:gridSpan w:val="2"/>
            <w:tcBorders>
              <w:bottom w:val="nil"/>
              <w:right w:val="nil"/>
            </w:tcBorders>
            <w:vAlign w:val="center"/>
          </w:tcPr>
          <w:p w14:paraId="755E750B" w14:textId="77777777" w:rsidR="00B70A5D" w:rsidRPr="009E42A3"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9E42A3">
              <w:rPr>
                <w:rFonts w:ascii="Wingdings 2" w:eastAsia="Wingdings 2" w:hAnsi="Wingdings 2" w:cs="Wingdings 2"/>
                <w:color w:val="000000" w:themeColor="text1"/>
                <w:sz w:val="20"/>
              </w:rPr>
              <w:t>T</w:t>
            </w:r>
            <w:r w:rsidRPr="009E42A3">
              <w:rPr>
                <w:rFonts w:eastAsia="Arial" w:cs="Arial"/>
                <w:color w:val="000000" w:themeColor="text1"/>
                <w:sz w:val="20"/>
              </w:rPr>
              <w:t xml:space="preserve"> Measured</w:t>
            </w:r>
          </w:p>
        </w:tc>
        <w:tc>
          <w:tcPr>
            <w:tcW w:w="3612" w:type="dxa"/>
            <w:gridSpan w:val="2"/>
            <w:tcBorders>
              <w:left w:val="nil"/>
              <w:bottom w:val="nil"/>
            </w:tcBorders>
            <w:vAlign w:val="center"/>
          </w:tcPr>
          <w:p w14:paraId="43BD27CC"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9E42A3">
              <w:rPr>
                <w:rFonts w:ascii="Wingdings 2" w:eastAsia="Wingdings 2" w:hAnsi="Wingdings 2" w:cs="Wingdings 2"/>
                <w:color w:val="000000" w:themeColor="text1"/>
                <w:sz w:val="20"/>
              </w:rPr>
              <w:t>T</w:t>
            </w:r>
            <w:r w:rsidRPr="009E42A3">
              <w:rPr>
                <w:rFonts w:eastAsia="Arial" w:cs="Arial"/>
                <w:color w:val="000000" w:themeColor="text1"/>
                <w:sz w:val="20"/>
              </w:rPr>
              <w:t xml:space="preserve"> Other sources</w:t>
            </w:r>
          </w:p>
        </w:tc>
      </w:tr>
      <w:tr w:rsidR="00B70A5D" w14:paraId="08B9DF7E" w14:textId="77777777">
        <w:tc>
          <w:tcPr>
            <w:tcW w:w="2348" w:type="dxa"/>
            <w:vMerge/>
          </w:tcPr>
          <w:p w14:paraId="5B8C29E9"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2B30C31C" w14:textId="77777777"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5F9F4921" w14:textId="77777777">
        <w:tc>
          <w:tcPr>
            <w:tcW w:w="2348" w:type="dxa"/>
            <w:shd w:val="clear" w:color="auto" w:fill="E6E6E6"/>
          </w:tcPr>
          <w:p w14:paraId="5DBFA1D7"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t>Choice of data or measurement methods and procedures</w:t>
            </w:r>
          </w:p>
        </w:tc>
        <w:tc>
          <w:tcPr>
            <w:tcW w:w="7224" w:type="dxa"/>
            <w:gridSpan w:val="4"/>
            <w:tcBorders>
              <w:top w:val="single" w:sz="4" w:space="0" w:color="000000" w:themeColor="text1"/>
            </w:tcBorders>
          </w:tcPr>
          <w:p w14:paraId="1BB0905F" w14:textId="52B702D5" w:rsidR="00B70A5D" w:rsidRPr="009E42A3"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9E42A3">
              <w:rPr>
                <w:rFonts w:eastAsia="Arial" w:cs="Arial"/>
                <w:color w:val="000000" w:themeColor="text1"/>
                <w:sz w:val="20"/>
              </w:rPr>
              <w:t xml:space="preserve">Default values from the latest version of the IPCC Guidelines for National GHG Inventories are provided for most fuels in </w:t>
            </w:r>
            <w:hyperlink w:anchor="A5" w:history="1">
              <w:r w:rsidRPr="009E42A3">
                <w:rPr>
                  <w:rStyle w:val="Hyperlink"/>
                  <w:rFonts w:eastAsia="Arial" w:cs="Arial"/>
                  <w:sz w:val="20"/>
                </w:rPr>
                <w:t>Appendix 5</w:t>
              </w:r>
            </w:hyperlink>
            <w:r w:rsidRPr="009E42A3">
              <w:rPr>
                <w:rFonts w:eastAsia="Arial" w:cs="Arial"/>
                <w:color w:val="000000" w:themeColor="text1"/>
                <w:sz w:val="20"/>
              </w:rPr>
              <w:t xml:space="preserve">). Use of these values for wood and charcoal are required. For other fuels, project level tests using ISO 19867 may be used. Significant variance between such outputs and the values above must be noted and justified in the </w:t>
            </w:r>
            <w:hyperlink w:anchor="A1" w:history="1">
              <w:r w:rsidRPr="00850906">
                <w:rPr>
                  <w:rStyle w:val="Hyperlink"/>
                  <w:rFonts w:eastAsia="Arial" w:cs="Arial"/>
                  <w:sz w:val="20"/>
                </w:rPr>
                <w:t>Project Information Cover Sheet</w:t>
              </w:r>
            </w:hyperlink>
            <w:r w:rsidRPr="009E42A3">
              <w:rPr>
                <w:rFonts w:eastAsia="Arial" w:cs="Arial"/>
                <w:color w:val="000000" w:themeColor="text1"/>
                <w:sz w:val="20"/>
              </w:rPr>
              <w:t xml:space="preserve">. If a fuel is not included in </w:t>
            </w:r>
            <w:hyperlink w:anchor="A5" w:history="1">
              <w:r w:rsidRPr="009E42A3">
                <w:rPr>
                  <w:rStyle w:val="Hyperlink"/>
                  <w:rFonts w:eastAsia="Arial" w:cs="Arial"/>
                  <w:sz w:val="20"/>
                </w:rPr>
                <w:t>Appendix 5</w:t>
              </w:r>
            </w:hyperlink>
            <w:r w:rsidRPr="009E42A3">
              <w:rPr>
                <w:rFonts w:eastAsia="Arial" w:cs="Arial"/>
                <w:color w:val="000000" w:themeColor="text1"/>
                <w:sz w:val="20"/>
              </w:rPr>
              <w:t>, then use literature-based values or project level tests using ISO 19867.</w:t>
            </w:r>
          </w:p>
        </w:tc>
      </w:tr>
      <w:tr w:rsidR="00355A65" w14:paraId="0A77D8A8" w14:textId="77777777">
        <w:tc>
          <w:tcPr>
            <w:tcW w:w="2348" w:type="dxa"/>
            <w:shd w:val="clear" w:color="auto" w:fill="E6E6E6"/>
          </w:tcPr>
          <w:p w14:paraId="26B0E21C" w14:textId="710CB006" w:rsidR="00355A65" w:rsidRDefault="00355A65"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lastRenderedPageBreak/>
              <w:t>Treatment of uncertainty</w:t>
            </w:r>
          </w:p>
        </w:tc>
        <w:tc>
          <w:tcPr>
            <w:tcW w:w="7224" w:type="dxa"/>
            <w:gridSpan w:val="4"/>
          </w:tcPr>
          <w:p w14:paraId="6A7DC892" w14:textId="77777777" w:rsidR="008E7189" w:rsidRPr="00731FE4" w:rsidRDefault="008E7189" w:rsidP="008E7189">
            <w:pPr>
              <w:tabs>
                <w:tab w:val="left" w:pos="510"/>
              </w:tabs>
              <w:spacing w:before="60" w:after="60"/>
              <w:ind w:right="57"/>
              <w:rPr>
                <w:rFonts w:eastAsia="Arial" w:cs="Arial"/>
                <w:color w:val="000000" w:themeColor="text1"/>
                <w:sz w:val="20"/>
              </w:rPr>
            </w:pPr>
            <w:r w:rsidRPr="007B4DC7">
              <w:rPr>
                <w:rFonts w:eastAsia="Arial" w:cs="Arial"/>
                <w:color w:val="000000" w:themeColor="text1"/>
                <w:sz w:val="20"/>
              </w:rPr>
              <w:t xml:space="preserve">Uncertainty is addressed </w:t>
            </w:r>
            <w:proofErr w:type="gramStart"/>
            <w:r w:rsidRPr="007B4DC7">
              <w:rPr>
                <w:rFonts w:eastAsia="Arial" w:cs="Arial"/>
                <w:color w:val="000000" w:themeColor="text1"/>
                <w:sz w:val="20"/>
              </w:rPr>
              <w:t>through the use of</w:t>
            </w:r>
            <w:proofErr w:type="gramEnd"/>
            <w:r w:rsidRPr="007B4DC7">
              <w:rPr>
                <w:rFonts w:eastAsia="Arial" w:cs="Arial"/>
                <w:color w:val="000000" w:themeColor="text1"/>
                <w:sz w:val="20"/>
              </w:rPr>
              <w:t xml:space="preserve"> conservative default values.</w:t>
            </w:r>
          </w:p>
          <w:p w14:paraId="6ADF100E" w14:textId="28C58BEF" w:rsidR="00355A65" w:rsidRPr="00355A65" w:rsidRDefault="00355A65" w:rsidP="00355A65">
            <w:pPr>
              <w:pStyle w:val="ParaTickBox"/>
              <w:tabs>
                <w:tab w:val="clear" w:pos="510"/>
              </w:tabs>
              <w:ind w:left="0" w:right="57" w:firstLine="0"/>
              <w:jc w:val="both"/>
              <w:rPr>
                <w:i/>
                <w:iCs/>
                <w:color w:val="4F81BD" w:themeColor="accent1"/>
                <w:szCs w:val="20"/>
              </w:rPr>
            </w:pPr>
          </w:p>
        </w:tc>
      </w:tr>
      <w:tr w:rsidR="00B70A5D" w14:paraId="4A2C5C5B" w14:textId="77777777">
        <w:tc>
          <w:tcPr>
            <w:tcW w:w="2348" w:type="dxa"/>
            <w:shd w:val="clear" w:color="auto" w:fill="E6E6E6"/>
          </w:tcPr>
          <w:p w14:paraId="7CC54ECD"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386D0A2E"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Not applicable for electricity as energy source in baseline or project scenario</w:t>
            </w:r>
          </w:p>
        </w:tc>
      </w:tr>
    </w:tbl>
    <w:p w14:paraId="22DFDA24"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2658C027" w14:textId="77777777">
        <w:tc>
          <w:tcPr>
            <w:tcW w:w="2348" w:type="dxa"/>
            <w:shd w:val="clear" w:color="auto" w:fill="E6E6E6"/>
          </w:tcPr>
          <w:p w14:paraId="00C04AB5"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6BFEBAFF"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sidRPr="00CB42E1">
              <w:rPr>
                <w:rFonts w:ascii="Cambria Math" w:eastAsia="Cambria Math" w:hAnsi="Cambria Math" w:cs="Cambria Math"/>
              </w:rPr>
              <w:t>𝑛</w:t>
            </w:r>
            <w:r>
              <w:rPr>
                <w:rFonts w:ascii="Cambria Math" w:eastAsia="Cambria Math" w:hAnsi="Cambria Math" w:cs="Cambria Math"/>
              </w:rPr>
              <w:t>t</w:t>
            </w:r>
            <w:r w:rsidRPr="00CB42E1">
              <w:rPr>
                <w:rFonts w:ascii="Cambria Math" w:eastAsia="Cambria Math" w:hAnsi="Cambria Math" w:cs="Cambria Math"/>
              </w:rPr>
              <w:t>𝐸𝐶</w:t>
            </w:r>
            <w:proofErr w:type="spellStart"/>
            <w:proofErr w:type="gramStart"/>
            <w:r>
              <w:rPr>
                <w:rFonts w:ascii="Cambria Math" w:eastAsia="Cambria Math" w:hAnsi="Cambria Math" w:cs="Cambria Math"/>
                <w:vertAlign w:val="subscript"/>
              </w:rPr>
              <w:t>base</w:t>
            </w:r>
            <w:r w:rsidRPr="00A12C99">
              <w:rPr>
                <w:rFonts w:ascii="Cambria Math" w:eastAsia="Cambria Math" w:hAnsi="Cambria Math" w:cs="Cambria Math"/>
                <w:i/>
                <w:iCs/>
                <w:vertAlign w:val="subscript"/>
              </w:rPr>
              <w:t>,</w:t>
            </w:r>
            <w:r>
              <w:rPr>
                <w:rFonts w:ascii="Cambria Math" w:eastAsia="Cambria Math" w:hAnsi="Cambria Math" w:cs="Cambria Math"/>
                <w:i/>
                <w:iCs/>
                <w:vertAlign w:val="subscript"/>
              </w:rPr>
              <w:t>i</w:t>
            </w:r>
            <w:proofErr w:type="gramEnd"/>
            <w:r>
              <w:rPr>
                <w:rFonts w:ascii="Cambria Math" w:eastAsia="Cambria Math" w:hAnsi="Cambria Math" w:cs="Cambria Math"/>
                <w:i/>
                <w:iCs/>
                <w:vertAlign w:val="subscript"/>
              </w:rPr>
              <w:t>,y</w:t>
            </w:r>
            <w:proofErr w:type="spellEnd"/>
          </w:p>
        </w:tc>
      </w:tr>
      <w:tr w:rsidR="00B70A5D" w14:paraId="5613E555" w14:textId="77777777">
        <w:tc>
          <w:tcPr>
            <w:tcW w:w="2348" w:type="dxa"/>
            <w:shd w:val="clear" w:color="auto" w:fill="E6E6E6"/>
          </w:tcPr>
          <w:p w14:paraId="35D04C65"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130F8953"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Energy consumption of baseline fuel</w:t>
            </w:r>
            <w:r w:rsidRPr="00EB23DF">
              <w:rPr>
                <w:rFonts w:eastAsia="Arial" w:cs="Arial"/>
                <w:i/>
                <w:color w:val="000000" w:themeColor="text1"/>
                <w:sz w:val="20"/>
              </w:rPr>
              <w:t xml:space="preserve"> </w:t>
            </w:r>
            <w:proofErr w:type="spellStart"/>
            <w:r w:rsidRPr="00EB23DF">
              <w:rPr>
                <w:rFonts w:eastAsia="Arial" w:cs="Arial"/>
                <w:i/>
                <w:color w:val="000000" w:themeColor="text1"/>
                <w:sz w:val="20"/>
              </w:rPr>
              <w:t>i</w:t>
            </w:r>
            <w:proofErr w:type="spellEnd"/>
            <w:r w:rsidRPr="18C4CD90">
              <w:rPr>
                <w:rFonts w:eastAsia="Arial" w:cs="Arial"/>
                <w:color w:val="000000" w:themeColor="text1"/>
                <w:sz w:val="20"/>
              </w:rPr>
              <w:t xml:space="preserve"> for non-CTEC projects</w:t>
            </w:r>
            <w:r>
              <w:rPr>
                <w:rFonts w:eastAsia="Arial" w:cs="Arial"/>
                <w:color w:val="000000" w:themeColor="text1"/>
                <w:sz w:val="20"/>
              </w:rPr>
              <w:t xml:space="preserve"> in year </w:t>
            </w:r>
            <w:r w:rsidRPr="00584530">
              <w:rPr>
                <w:rFonts w:eastAsia="Arial" w:cs="Arial"/>
                <w:i/>
                <w:iCs/>
                <w:color w:val="000000" w:themeColor="text1"/>
                <w:sz w:val="20"/>
              </w:rPr>
              <w:t>y</w:t>
            </w:r>
          </w:p>
        </w:tc>
      </w:tr>
      <w:tr w:rsidR="00B70A5D" w14:paraId="49E3C5D3" w14:textId="77777777">
        <w:tc>
          <w:tcPr>
            <w:tcW w:w="2348" w:type="dxa"/>
            <w:shd w:val="clear" w:color="auto" w:fill="E6E6E6"/>
          </w:tcPr>
          <w:p w14:paraId="5451BFD9"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5F39DD18"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TJ/(person*year)</w:t>
            </w:r>
          </w:p>
        </w:tc>
      </w:tr>
      <w:tr w:rsidR="00B70A5D" w14:paraId="40DB892C" w14:textId="77777777">
        <w:tc>
          <w:tcPr>
            <w:tcW w:w="2348" w:type="dxa"/>
            <w:shd w:val="clear" w:color="auto" w:fill="E6E6E6"/>
          </w:tcPr>
          <w:p w14:paraId="4228FCE7"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397B0E2C" w14:textId="48651DDE"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hyperlink w:anchor="e18" w:history="1">
              <w:r w:rsidRPr="003A1A70">
                <w:rPr>
                  <w:rStyle w:val="Hyperlink"/>
                  <w:rFonts w:eastAsia="Arial" w:cs="Arial"/>
                  <w:sz w:val="20"/>
                </w:rPr>
                <w:t>Eq. 18</w:t>
              </w:r>
            </w:hyperlink>
          </w:p>
        </w:tc>
      </w:tr>
      <w:tr w:rsidR="00B70A5D" w14:paraId="1BF25BAA" w14:textId="77777777">
        <w:tc>
          <w:tcPr>
            <w:tcW w:w="2348" w:type="dxa"/>
            <w:vMerge w:val="restart"/>
            <w:shd w:val="clear" w:color="auto" w:fill="E6E6E6"/>
          </w:tcPr>
          <w:p w14:paraId="412A38FF"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tcBorders>
              <w:bottom w:val="nil"/>
              <w:right w:val="nil"/>
            </w:tcBorders>
          </w:tcPr>
          <w:p w14:paraId="0BD96A94"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18C4CD90">
              <w:rPr>
                <w:rFonts w:eastAsia="Arial" w:cs="Arial"/>
                <w:color w:val="000000" w:themeColor="text1"/>
                <w:sz w:val="20"/>
              </w:rPr>
              <w:t xml:space="preserve"> </w:t>
            </w:r>
            <w:r w:rsidRPr="7EB30EA0">
              <w:rPr>
                <w:rFonts w:eastAsia="Arial" w:cs="Arial"/>
                <w:color w:val="000000" w:themeColor="text1"/>
                <w:sz w:val="20"/>
              </w:rPr>
              <w:t>Baseline emissions / removals</w:t>
            </w:r>
          </w:p>
        </w:tc>
        <w:tc>
          <w:tcPr>
            <w:tcW w:w="2408" w:type="dxa"/>
            <w:gridSpan w:val="2"/>
            <w:tcBorders>
              <w:left w:val="nil"/>
              <w:bottom w:val="nil"/>
              <w:right w:val="nil"/>
            </w:tcBorders>
          </w:tcPr>
          <w:p w14:paraId="2EDA5E5F"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Project emissions / removals</w:t>
            </w:r>
          </w:p>
        </w:tc>
        <w:tc>
          <w:tcPr>
            <w:tcW w:w="2408" w:type="dxa"/>
            <w:tcBorders>
              <w:left w:val="nil"/>
              <w:bottom w:val="nil"/>
            </w:tcBorders>
          </w:tcPr>
          <w:p w14:paraId="0A633B9B"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6E98607B" w14:textId="77777777">
        <w:tc>
          <w:tcPr>
            <w:tcW w:w="2348" w:type="dxa"/>
            <w:vMerge/>
          </w:tcPr>
          <w:p w14:paraId="3BB33EA2"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66769754"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Calculation of baseline emissions for non-CTEC projects</w:t>
            </w:r>
          </w:p>
        </w:tc>
      </w:tr>
      <w:tr w:rsidR="00B70A5D" w14:paraId="7C17258E" w14:textId="77777777">
        <w:tc>
          <w:tcPr>
            <w:tcW w:w="2348" w:type="dxa"/>
            <w:shd w:val="clear" w:color="auto" w:fill="E6E6E6"/>
          </w:tcPr>
          <w:p w14:paraId="66BA4F42"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224" w:type="dxa"/>
            <w:gridSpan w:val="4"/>
            <w:tcBorders>
              <w:bottom w:val="single" w:sz="4" w:space="0" w:color="000000" w:themeColor="text1"/>
            </w:tcBorders>
          </w:tcPr>
          <w:p w14:paraId="147F8B7E" w14:textId="77777777" w:rsidR="00B70A5D" w:rsidRPr="00F05D8C"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p>
        </w:tc>
      </w:tr>
      <w:tr w:rsidR="00B70A5D" w14:paraId="49BA5714" w14:textId="77777777">
        <w:tc>
          <w:tcPr>
            <w:tcW w:w="2348" w:type="dxa"/>
            <w:vMerge w:val="restart"/>
            <w:shd w:val="clear" w:color="auto" w:fill="E6E6E6"/>
          </w:tcPr>
          <w:p w14:paraId="1F08AF0D"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Source of data</w:t>
            </w:r>
          </w:p>
        </w:tc>
        <w:tc>
          <w:tcPr>
            <w:tcW w:w="3612" w:type="dxa"/>
            <w:gridSpan w:val="2"/>
            <w:tcBorders>
              <w:bottom w:val="nil"/>
              <w:right w:val="nil"/>
            </w:tcBorders>
            <w:vAlign w:val="center"/>
          </w:tcPr>
          <w:p w14:paraId="2B303FF2" w14:textId="77777777" w:rsidR="00B70A5D" w:rsidRPr="00F12546"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F05D8C">
              <w:rPr>
                <w:rFonts w:ascii="Segoe UI Symbol" w:eastAsia="Arial" w:hAnsi="Segoe UI Symbol" w:cs="Segoe UI Symbol"/>
                <w:color w:val="000000"/>
                <w:sz w:val="20"/>
                <w:shd w:val="clear" w:color="auto" w:fill="E6E6E6"/>
              </w:rPr>
              <w:t>☐</w:t>
            </w:r>
            <w:r w:rsidRPr="7EB30EA0">
              <w:rPr>
                <w:rFonts w:eastAsia="Arial" w:cs="Arial"/>
                <w:color w:val="000000" w:themeColor="text1"/>
                <w:sz w:val="20"/>
              </w:rPr>
              <w:t xml:space="preserve"> Measured</w:t>
            </w:r>
          </w:p>
        </w:tc>
        <w:tc>
          <w:tcPr>
            <w:tcW w:w="3612" w:type="dxa"/>
            <w:gridSpan w:val="2"/>
            <w:tcBorders>
              <w:left w:val="nil"/>
              <w:bottom w:val="nil"/>
            </w:tcBorders>
            <w:vAlign w:val="center"/>
          </w:tcPr>
          <w:p w14:paraId="7511DF8F"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Other sources</w:t>
            </w:r>
          </w:p>
        </w:tc>
      </w:tr>
      <w:tr w:rsidR="00B70A5D" w14:paraId="78E64CB0" w14:textId="77777777">
        <w:tc>
          <w:tcPr>
            <w:tcW w:w="2348" w:type="dxa"/>
            <w:vMerge/>
          </w:tcPr>
          <w:p w14:paraId="0CAB63EC"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26251D6B"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5820E0F8" w14:textId="77777777">
        <w:tc>
          <w:tcPr>
            <w:tcW w:w="2348" w:type="dxa"/>
            <w:shd w:val="clear" w:color="auto" w:fill="E6E6E6"/>
          </w:tcPr>
          <w:p w14:paraId="3618EC55"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t>Choice of data or measurement methods and procedures</w:t>
            </w:r>
          </w:p>
        </w:tc>
        <w:tc>
          <w:tcPr>
            <w:tcW w:w="7224" w:type="dxa"/>
            <w:gridSpan w:val="4"/>
            <w:tcBorders>
              <w:top w:val="single" w:sz="4" w:space="0" w:color="000000" w:themeColor="text1"/>
            </w:tcBorders>
          </w:tcPr>
          <w:p w14:paraId="752F3E09" w14:textId="4CF18A81" w:rsidR="00B70A5D" w:rsidRPr="008550EF" w:rsidRDefault="00B70A5D">
            <w:pPr>
              <w:pStyle w:val="NormalWeb"/>
              <w:shd w:val="clear" w:color="auto" w:fill="FFFFFF" w:themeFill="background1"/>
              <w:spacing w:before="0" w:beforeAutospacing="0" w:after="0" w:afterAutospacing="0"/>
              <w:rPr>
                <w:rFonts w:ascii="Arial" w:eastAsia="Arial" w:hAnsi="Arial" w:cs="Arial"/>
                <w:color w:val="000000" w:themeColor="text1"/>
                <w:sz w:val="20"/>
                <w:szCs w:val="20"/>
              </w:rPr>
            </w:pPr>
            <w:r w:rsidRPr="18C4CD90">
              <w:rPr>
                <w:rFonts w:ascii="Arial" w:eastAsia="Arial" w:hAnsi="Arial" w:cs="Arial"/>
                <w:color w:val="000000" w:themeColor="text1"/>
                <w:sz w:val="20"/>
                <w:szCs w:val="20"/>
              </w:rPr>
              <w:t xml:space="preserve">Global default value </w:t>
            </w:r>
            <w:r w:rsidRPr="00071090">
              <w:rPr>
                <w:rFonts w:ascii="Arial" w:eastAsia="Arial" w:hAnsi="Arial" w:cs="Arial"/>
                <w:color w:val="000000" w:themeColor="text1"/>
                <w:sz w:val="20"/>
                <w:szCs w:val="20"/>
              </w:rPr>
              <w:t xml:space="preserve">from </w:t>
            </w:r>
            <w:hyperlink w:anchor="S1022" w:history="1">
              <w:r w:rsidRPr="00071090">
                <w:rPr>
                  <w:rStyle w:val="Hyperlink"/>
                  <w:rFonts w:ascii="Arial" w:eastAsia="Arial" w:hAnsi="Arial" w:cs="Arial"/>
                  <w:i/>
                  <w:sz w:val="20"/>
                  <w:szCs w:val="20"/>
                </w:rPr>
                <w:t xml:space="preserve">Section </w:t>
              </w:r>
              <w:r w:rsidR="00BA2B18" w:rsidRPr="00071090">
                <w:rPr>
                  <w:rStyle w:val="Hyperlink"/>
                  <w:rFonts w:ascii="Arial" w:eastAsia="Arial" w:hAnsi="Arial" w:cs="Arial"/>
                  <w:i/>
                  <w:sz w:val="20"/>
                  <w:szCs w:val="20"/>
                </w:rPr>
                <w:t>10.2.2</w:t>
              </w:r>
              <w:r w:rsidRPr="00071090">
                <w:rPr>
                  <w:rStyle w:val="Hyperlink"/>
                  <w:rFonts w:ascii="Arial" w:eastAsia="Arial" w:hAnsi="Arial" w:cs="Arial"/>
                  <w:i/>
                  <w:sz w:val="20"/>
                  <w:szCs w:val="20"/>
                </w:rPr>
                <w:t>.</w:t>
              </w:r>
            </w:hyperlink>
            <w:r w:rsidRPr="00071090">
              <w:rPr>
                <w:rFonts w:ascii="Arial" w:eastAsia="Arial" w:hAnsi="Arial" w:cs="Arial"/>
                <w:i/>
                <w:color w:val="000000"/>
                <w:sz w:val="20"/>
                <w:szCs w:val="20"/>
                <w:shd w:val="clear" w:color="auto" w:fill="FFFFFF"/>
              </w:rPr>
              <w:t xml:space="preserve"> </w:t>
            </w:r>
            <w:r w:rsidRPr="00071090">
              <w:rPr>
                <w:rFonts w:ascii="Arial" w:eastAsia="Arial" w:hAnsi="Arial" w:cs="Arial"/>
                <w:color w:val="000000" w:themeColor="text1"/>
                <w:sz w:val="20"/>
                <w:szCs w:val="20"/>
              </w:rPr>
              <w:t>or results</w:t>
            </w:r>
            <w:r w:rsidRPr="18C4CD90">
              <w:rPr>
                <w:rFonts w:ascii="Arial" w:eastAsia="Arial" w:hAnsi="Arial" w:cs="Arial"/>
                <w:color w:val="000000" w:themeColor="text1"/>
                <w:sz w:val="20"/>
                <w:szCs w:val="20"/>
              </w:rPr>
              <w:t xml:space="preserve"> from baseline KPT</w:t>
            </w:r>
            <w:r w:rsidRPr="008550EF">
              <w:rPr>
                <w:rFonts w:ascii="Arial" w:eastAsia="Arial" w:hAnsi="Arial" w:cs="Arial"/>
                <w:color w:val="000000" w:themeColor="text1"/>
                <w:sz w:val="20"/>
                <w:szCs w:val="20"/>
              </w:rPr>
              <w:t>.</w:t>
            </w:r>
          </w:p>
          <w:p w14:paraId="306BD236" w14:textId="77777777" w:rsidR="00B70A5D" w:rsidRPr="008550EF" w:rsidRDefault="00B70A5D">
            <w:pPr>
              <w:pStyle w:val="NormalWeb"/>
              <w:shd w:val="clear" w:color="auto" w:fill="FFFFFF" w:themeFill="background1"/>
              <w:spacing w:before="0" w:beforeAutospacing="0" w:after="0" w:afterAutospacing="0"/>
            </w:pPr>
          </w:p>
          <w:p w14:paraId="336C2DAC"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Frequency of monitoring: Beginning of the crediting period</w:t>
            </w:r>
          </w:p>
        </w:tc>
      </w:tr>
      <w:tr w:rsidR="00355A65" w14:paraId="16EAF05B" w14:textId="77777777">
        <w:tc>
          <w:tcPr>
            <w:tcW w:w="2348" w:type="dxa"/>
            <w:shd w:val="clear" w:color="auto" w:fill="E6E6E6"/>
          </w:tcPr>
          <w:p w14:paraId="439DA561" w14:textId="0D47304B" w:rsidR="00355A65" w:rsidRDefault="00355A65" w:rsidP="00355A65">
            <w:pPr>
              <w:pBdr>
                <w:top w:val="nil"/>
                <w:left w:val="nil"/>
                <w:bottom w:val="nil"/>
                <w:right w:val="nil"/>
                <w:between w:val="nil"/>
              </w:pBdr>
              <w:tabs>
                <w:tab w:val="left" w:pos="510"/>
              </w:tabs>
              <w:spacing w:before="60" w:after="60"/>
              <w:ind w:right="57"/>
              <w:jc w:val="left"/>
              <w:rPr>
                <w:rFonts w:eastAsia="Arial" w:cs="Arial"/>
                <w:color w:val="000000"/>
                <w:sz w:val="20"/>
              </w:rPr>
            </w:pPr>
            <w:r w:rsidRPr="00355A65">
              <w:rPr>
                <w:rFonts w:eastAsia="Arial" w:cs="Arial"/>
                <w:color w:val="000000"/>
                <w:sz w:val="20"/>
              </w:rPr>
              <w:t>Treatment of uncertainty</w:t>
            </w:r>
          </w:p>
        </w:tc>
        <w:tc>
          <w:tcPr>
            <w:tcW w:w="7224" w:type="dxa"/>
            <w:gridSpan w:val="4"/>
          </w:tcPr>
          <w:p w14:paraId="0F724304" w14:textId="6D4DEFFD" w:rsidR="00683AA3" w:rsidRDefault="00683AA3" w:rsidP="00683AA3">
            <w:pPr>
              <w:tabs>
                <w:tab w:val="left" w:pos="510"/>
              </w:tabs>
              <w:spacing w:before="60" w:after="60"/>
              <w:ind w:right="57"/>
              <w:rPr>
                <w:rFonts w:eastAsia="Arial" w:cs="Arial"/>
                <w:color w:val="000000" w:themeColor="text1"/>
                <w:sz w:val="20"/>
              </w:rPr>
            </w:pPr>
            <w:r>
              <w:rPr>
                <w:rFonts w:eastAsia="Arial" w:cs="Arial"/>
                <w:color w:val="000000" w:themeColor="text1"/>
                <w:sz w:val="20"/>
              </w:rPr>
              <w:t>When Global Default values are used, u</w:t>
            </w:r>
            <w:r w:rsidRPr="007B4DC7">
              <w:rPr>
                <w:rFonts w:eastAsia="Arial" w:cs="Arial"/>
                <w:color w:val="000000" w:themeColor="text1"/>
                <w:sz w:val="20"/>
              </w:rPr>
              <w:t xml:space="preserve">ncertainty is addressed </w:t>
            </w:r>
            <w:proofErr w:type="gramStart"/>
            <w:r w:rsidRPr="007B4DC7">
              <w:rPr>
                <w:rFonts w:eastAsia="Arial" w:cs="Arial"/>
                <w:color w:val="000000" w:themeColor="text1"/>
                <w:sz w:val="20"/>
              </w:rPr>
              <w:t>through the use of</w:t>
            </w:r>
            <w:proofErr w:type="gramEnd"/>
            <w:r w:rsidRPr="007B4DC7">
              <w:rPr>
                <w:rFonts w:eastAsia="Arial" w:cs="Arial"/>
                <w:color w:val="000000" w:themeColor="text1"/>
                <w:sz w:val="20"/>
              </w:rPr>
              <w:t xml:space="preserve"> conservative default values.</w:t>
            </w:r>
          </w:p>
          <w:p w14:paraId="205E94FE" w14:textId="77777777" w:rsidR="00683AA3" w:rsidRDefault="00683AA3" w:rsidP="00683AA3">
            <w:pPr>
              <w:tabs>
                <w:tab w:val="left" w:pos="510"/>
              </w:tabs>
              <w:spacing w:before="60" w:after="60"/>
              <w:ind w:right="57"/>
              <w:rPr>
                <w:rFonts w:eastAsia="Arial" w:cs="Arial"/>
                <w:color w:val="000000" w:themeColor="text1"/>
                <w:sz w:val="20"/>
              </w:rPr>
            </w:pPr>
          </w:p>
          <w:p w14:paraId="7DA4BD31" w14:textId="77777777" w:rsidR="00683AA3" w:rsidRDefault="00683AA3" w:rsidP="00683AA3">
            <w:pPr>
              <w:pBdr>
                <w:top w:val="nil"/>
                <w:left w:val="nil"/>
                <w:bottom w:val="nil"/>
                <w:right w:val="nil"/>
                <w:between w:val="nil"/>
              </w:pBdr>
              <w:tabs>
                <w:tab w:val="left" w:pos="510"/>
              </w:tabs>
              <w:spacing w:before="60" w:after="60"/>
              <w:ind w:right="57"/>
              <w:rPr>
                <w:rFonts w:eastAsia="Arial" w:cs="Arial"/>
                <w:color w:val="000000"/>
                <w:sz w:val="20"/>
              </w:rPr>
            </w:pPr>
            <w:r w:rsidRPr="009711A0">
              <w:rPr>
                <w:rFonts w:eastAsia="Arial" w:cs="Arial"/>
                <w:color w:val="000000"/>
                <w:sz w:val="20"/>
                <w:lang w:val="en-US"/>
              </w:rPr>
              <w:t xml:space="preserve">Projects that choose the KPT approach to determine fuel consumption in the baseline scenario must collect data from a representative sample of households and follow the most recent version of the KPT protocol available at this link: </w:t>
            </w:r>
            <w:hyperlink r:id="rId55" w:history="1">
              <w:r w:rsidRPr="009711A0">
                <w:rPr>
                  <w:rStyle w:val="Hyperlink"/>
                  <w:rFonts w:eastAsia="Arial" w:cs="Arial"/>
                  <w:sz w:val="20"/>
                  <w:lang w:val="en-US"/>
                </w:rPr>
                <w:t>https://cleancooking.org/protocols/</w:t>
              </w:r>
            </w:hyperlink>
            <w:r>
              <w:rPr>
                <w:rFonts w:eastAsia="Arial" w:cs="Arial"/>
                <w:color w:val="000000"/>
                <w:sz w:val="20"/>
              </w:rPr>
              <w:t xml:space="preserve"> </w:t>
            </w:r>
          </w:p>
          <w:p w14:paraId="33FAEF2C" w14:textId="77777777" w:rsidR="00683AA3" w:rsidRDefault="00683AA3" w:rsidP="00683AA3">
            <w:pPr>
              <w:pBdr>
                <w:top w:val="nil"/>
                <w:left w:val="nil"/>
                <w:bottom w:val="nil"/>
                <w:right w:val="nil"/>
                <w:between w:val="nil"/>
              </w:pBdr>
              <w:tabs>
                <w:tab w:val="left" w:pos="510"/>
              </w:tabs>
              <w:spacing w:before="60" w:after="60"/>
              <w:ind w:right="57"/>
              <w:rPr>
                <w:rFonts w:eastAsia="Arial" w:cs="Arial"/>
                <w:color w:val="000000"/>
                <w:sz w:val="20"/>
              </w:rPr>
            </w:pPr>
          </w:p>
          <w:p w14:paraId="4B40CCB4" w14:textId="74EE9AC4" w:rsidR="00683AA3" w:rsidRPr="00731FE4" w:rsidRDefault="00683AA3" w:rsidP="00683AA3">
            <w:pPr>
              <w:tabs>
                <w:tab w:val="left" w:pos="510"/>
              </w:tabs>
              <w:spacing w:before="60" w:after="60"/>
              <w:ind w:right="57"/>
              <w:rPr>
                <w:rFonts w:eastAsia="Arial" w:cs="Arial"/>
                <w:color w:val="000000" w:themeColor="text1"/>
                <w:sz w:val="20"/>
              </w:rPr>
            </w:pPr>
            <w:r w:rsidRPr="7D956FC6">
              <w:rPr>
                <w:rFonts w:eastAsia="Arial" w:cs="Arial"/>
                <w:color w:val="000000" w:themeColor="text1"/>
                <w:sz w:val="20"/>
                <w:lang w:val="en-US"/>
              </w:rPr>
              <w:t xml:space="preserve">The </w:t>
            </w:r>
            <w:r w:rsidR="1A4A56E4" w:rsidRPr="7D956FC6">
              <w:rPr>
                <w:rFonts w:eastAsia="Arial" w:cs="Arial"/>
                <w:color w:val="000000" w:themeColor="text1"/>
                <w:sz w:val="20"/>
                <w:lang w:val="en-US"/>
              </w:rPr>
              <w:t>monitoring</w:t>
            </w:r>
            <w:r w:rsidRPr="7D956FC6">
              <w:rPr>
                <w:rFonts w:eastAsia="Arial" w:cs="Arial"/>
                <w:color w:val="000000" w:themeColor="text1"/>
                <w:sz w:val="20"/>
                <w:lang w:val="en-US"/>
              </w:rPr>
              <w:t xml:space="preserve"> must meet the minimum confidence and precision of 95/10 for annual fuel energy consumption per person to use the mean values. The 95/10 rule is applied to the sum of energy consumption across fuels. If the target precision is not met, the project proponent shall take the conservative bound of the confidence interval as the parameter value, proportionately applied across </w:t>
            </w:r>
            <w:proofErr w:type="gramStart"/>
            <w:r w:rsidRPr="7D956FC6">
              <w:rPr>
                <w:rFonts w:eastAsia="Arial" w:cs="Arial"/>
                <w:color w:val="000000" w:themeColor="text1"/>
                <w:sz w:val="20"/>
                <w:lang w:val="en-US"/>
              </w:rPr>
              <w:t>all of</w:t>
            </w:r>
            <w:proofErr w:type="gramEnd"/>
            <w:r w:rsidRPr="7D956FC6">
              <w:rPr>
                <w:rFonts w:eastAsia="Arial" w:cs="Arial"/>
                <w:color w:val="000000" w:themeColor="text1"/>
                <w:sz w:val="20"/>
                <w:lang w:val="en-US"/>
              </w:rPr>
              <w:t xml:space="preserve"> the fuels used. The conservative bound is that which produces a lower CO</w:t>
            </w:r>
            <w:r w:rsidRPr="00E340E3">
              <w:rPr>
                <w:rFonts w:eastAsia="Arial" w:cs="Arial"/>
                <w:color w:val="000000" w:themeColor="text1"/>
                <w:sz w:val="20"/>
                <w:vertAlign w:val="subscript"/>
                <w:lang w:val="en-US"/>
              </w:rPr>
              <w:t>2</w:t>
            </w:r>
            <w:r w:rsidRPr="7D956FC6">
              <w:rPr>
                <w:rFonts w:eastAsia="Arial" w:cs="Arial"/>
                <w:color w:val="000000" w:themeColor="text1"/>
                <w:sz w:val="20"/>
                <w:lang w:val="en-US"/>
              </w:rPr>
              <w:t>e emissions reduction estimate.</w:t>
            </w:r>
          </w:p>
          <w:p w14:paraId="11DE4432" w14:textId="62A9546D" w:rsidR="00355A65" w:rsidRPr="00355A65" w:rsidRDefault="00355A65" w:rsidP="00355A65">
            <w:pPr>
              <w:pStyle w:val="ParaTickBox"/>
              <w:tabs>
                <w:tab w:val="clear" w:pos="510"/>
              </w:tabs>
              <w:ind w:left="0" w:right="57" w:firstLine="0"/>
              <w:jc w:val="both"/>
              <w:rPr>
                <w:i/>
                <w:iCs/>
                <w:color w:val="4F81BD" w:themeColor="accent1"/>
                <w:szCs w:val="20"/>
              </w:rPr>
            </w:pPr>
          </w:p>
        </w:tc>
      </w:tr>
      <w:tr w:rsidR="00B70A5D" w14:paraId="4CBA2772" w14:textId="77777777">
        <w:tc>
          <w:tcPr>
            <w:tcW w:w="2348" w:type="dxa"/>
            <w:shd w:val="clear" w:color="auto" w:fill="E6E6E6"/>
          </w:tcPr>
          <w:p w14:paraId="006380DC"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093EE3E9" w14:textId="75BD0C95"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bl>
    <w:p w14:paraId="1C88164E" w14:textId="77777777" w:rsidR="00B70A5D" w:rsidRDefault="00B70A5D" w:rsidP="00B70A5D">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2408"/>
        <w:gridCol w:w="1204"/>
        <w:gridCol w:w="1204"/>
        <w:gridCol w:w="2408"/>
      </w:tblGrid>
      <w:tr w:rsidR="00B70A5D" w14:paraId="3F6065B4" w14:textId="77777777">
        <w:tc>
          <w:tcPr>
            <w:tcW w:w="2348" w:type="dxa"/>
            <w:shd w:val="clear" w:color="auto" w:fill="E6E6E6"/>
          </w:tcPr>
          <w:p w14:paraId="2BCC6017" w14:textId="77777777" w:rsidR="00B70A5D" w:rsidRDefault="00B70A5D">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5A8F1D35" w14:textId="77777777" w:rsidR="00B70A5D" w:rsidRPr="00863FD2" w:rsidRDefault="00000000">
            <w:pPr>
              <w:pBdr>
                <w:top w:val="nil"/>
                <w:left w:val="nil"/>
                <w:bottom w:val="nil"/>
                <w:right w:val="nil"/>
                <w:between w:val="nil"/>
              </w:pBdr>
              <w:tabs>
                <w:tab w:val="left" w:pos="510"/>
              </w:tabs>
              <w:spacing w:before="60" w:after="60"/>
              <w:ind w:right="57"/>
              <w:rPr>
                <w:rFonts w:eastAsia="Arial" w:cs="Arial"/>
                <w:b/>
                <w:color w:val="000000"/>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TDL</m:t>
                    </m:r>
                  </m:e>
                  <m:sub>
                    <m:r>
                      <w:rPr>
                        <w:rFonts w:ascii="Cambria Math" w:eastAsia="Cambria Math" w:hAnsi="Cambria Math" w:cs="Cambria Math"/>
                      </w:rPr>
                      <m:t>y</m:t>
                    </m:r>
                  </m:sub>
                </m:sSub>
              </m:oMath>
            </m:oMathPara>
          </w:p>
        </w:tc>
      </w:tr>
      <w:tr w:rsidR="00B70A5D" w14:paraId="4B973FB8" w14:textId="77777777">
        <w:tc>
          <w:tcPr>
            <w:tcW w:w="2348" w:type="dxa"/>
            <w:shd w:val="clear" w:color="auto" w:fill="E6E6E6"/>
          </w:tcPr>
          <w:p w14:paraId="702A6FFF"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27178006"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Average technical T&amp;D losses for providing electricity in year </w:t>
            </w:r>
            <w:r w:rsidRPr="00EB23DF">
              <w:rPr>
                <w:rFonts w:eastAsia="Arial" w:cs="Arial"/>
                <w:i/>
                <w:color w:val="000000" w:themeColor="text1"/>
                <w:sz w:val="20"/>
              </w:rPr>
              <w:t>y</w:t>
            </w:r>
          </w:p>
        </w:tc>
      </w:tr>
      <w:tr w:rsidR="00B70A5D" w14:paraId="6D1322E2" w14:textId="77777777">
        <w:tc>
          <w:tcPr>
            <w:tcW w:w="2348" w:type="dxa"/>
            <w:shd w:val="clear" w:color="auto" w:fill="E6E6E6"/>
          </w:tcPr>
          <w:p w14:paraId="04745202"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7D7ADA3C"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Percentage</w:t>
            </w:r>
          </w:p>
        </w:tc>
      </w:tr>
      <w:tr w:rsidR="00B70A5D" w14:paraId="43E537FD" w14:textId="77777777">
        <w:tc>
          <w:tcPr>
            <w:tcW w:w="2348" w:type="dxa"/>
            <w:shd w:val="clear" w:color="auto" w:fill="E6E6E6"/>
          </w:tcPr>
          <w:p w14:paraId="122E384F"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1232DA16" w14:textId="4D7B34D8"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hyperlink w:anchor="e9" w:history="1">
              <w:r w:rsidRPr="003A1A70">
                <w:rPr>
                  <w:rStyle w:val="Hyperlink"/>
                  <w:rFonts w:eastAsia="Arial" w:cs="Arial"/>
                  <w:sz w:val="20"/>
                </w:rPr>
                <w:t>Eq. 9</w:t>
              </w:r>
            </w:hyperlink>
            <w:r w:rsidRPr="00584530">
              <w:rPr>
                <w:rFonts w:eastAsia="Arial" w:cs="Arial"/>
                <w:color w:val="000000" w:themeColor="text1"/>
                <w:sz w:val="20"/>
              </w:rPr>
              <w:t xml:space="preserve"> and </w:t>
            </w:r>
            <w:hyperlink w:anchor="e22" w:history="1">
              <w:r w:rsidRPr="003A1A70">
                <w:rPr>
                  <w:rStyle w:val="Hyperlink"/>
                  <w:rFonts w:eastAsia="Arial" w:cs="Arial"/>
                  <w:sz w:val="20"/>
                </w:rPr>
                <w:t>22</w:t>
              </w:r>
            </w:hyperlink>
          </w:p>
        </w:tc>
      </w:tr>
      <w:tr w:rsidR="00B70A5D" w14:paraId="3B2F9DF6" w14:textId="77777777">
        <w:tc>
          <w:tcPr>
            <w:tcW w:w="2348" w:type="dxa"/>
            <w:vMerge w:val="restart"/>
            <w:shd w:val="clear" w:color="auto" w:fill="E6E6E6"/>
          </w:tcPr>
          <w:p w14:paraId="4BA1AF04"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tcBorders>
              <w:bottom w:val="nil"/>
              <w:right w:val="nil"/>
            </w:tcBorders>
          </w:tcPr>
          <w:p w14:paraId="14C3F895"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Baseline emissions / removals</w:t>
            </w:r>
          </w:p>
        </w:tc>
        <w:tc>
          <w:tcPr>
            <w:tcW w:w="2408" w:type="dxa"/>
            <w:gridSpan w:val="2"/>
            <w:tcBorders>
              <w:left w:val="nil"/>
              <w:bottom w:val="nil"/>
              <w:right w:val="nil"/>
            </w:tcBorders>
          </w:tcPr>
          <w:p w14:paraId="3D243496"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Project emissions / removals</w:t>
            </w:r>
          </w:p>
        </w:tc>
        <w:tc>
          <w:tcPr>
            <w:tcW w:w="2408" w:type="dxa"/>
            <w:tcBorders>
              <w:left w:val="nil"/>
              <w:bottom w:val="nil"/>
            </w:tcBorders>
          </w:tcPr>
          <w:p w14:paraId="31022AC5"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B70A5D" w14:paraId="0536394F" w14:textId="77777777">
        <w:tc>
          <w:tcPr>
            <w:tcW w:w="2348" w:type="dxa"/>
            <w:vMerge/>
          </w:tcPr>
          <w:p w14:paraId="2CCBAA67"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1C550890"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43EBC44C" w14:textId="77777777">
        <w:tc>
          <w:tcPr>
            <w:tcW w:w="2348" w:type="dxa"/>
            <w:shd w:val="clear" w:color="auto" w:fill="E6E6E6"/>
          </w:tcPr>
          <w:p w14:paraId="0C4139A2"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Value(s) applied</w:t>
            </w:r>
          </w:p>
        </w:tc>
        <w:tc>
          <w:tcPr>
            <w:tcW w:w="7224" w:type="dxa"/>
            <w:gridSpan w:val="4"/>
            <w:tcBorders>
              <w:bottom w:val="single" w:sz="4" w:space="0" w:color="000000" w:themeColor="text1"/>
            </w:tcBorders>
          </w:tcPr>
          <w:p w14:paraId="3D4CBC97" w14:textId="77777777" w:rsidR="00B70A5D" w:rsidRPr="00F05D8C" w:rsidRDefault="00B70A5D">
            <w:pPr>
              <w:pBdr>
                <w:top w:val="nil"/>
                <w:left w:val="nil"/>
                <w:bottom w:val="nil"/>
                <w:right w:val="nil"/>
                <w:between w:val="nil"/>
              </w:pBdr>
              <w:tabs>
                <w:tab w:val="left" w:pos="510"/>
                <w:tab w:val="left" w:pos="315"/>
              </w:tabs>
              <w:spacing w:before="60" w:after="60"/>
              <w:ind w:right="57"/>
              <w:rPr>
                <w:rFonts w:eastAsia="Arial" w:cs="Arial"/>
                <w:color w:val="000000"/>
                <w:sz w:val="20"/>
              </w:rPr>
            </w:pPr>
            <w:r w:rsidRPr="18C4CD90">
              <w:rPr>
                <w:rFonts w:eastAsia="Arial" w:cs="Arial"/>
                <w:color w:val="000000" w:themeColor="text1"/>
                <w:sz w:val="20"/>
              </w:rPr>
              <w:t>------</w:t>
            </w:r>
          </w:p>
        </w:tc>
      </w:tr>
      <w:tr w:rsidR="00B70A5D" w14:paraId="7BE83835" w14:textId="77777777">
        <w:tc>
          <w:tcPr>
            <w:tcW w:w="2348" w:type="dxa"/>
            <w:vMerge w:val="restart"/>
            <w:shd w:val="clear" w:color="auto" w:fill="E6E6E6"/>
          </w:tcPr>
          <w:p w14:paraId="46D67079" w14:textId="77777777" w:rsidR="00B70A5D" w:rsidRDefault="00B70A5D">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Source of data</w:t>
            </w:r>
          </w:p>
        </w:tc>
        <w:tc>
          <w:tcPr>
            <w:tcW w:w="3612" w:type="dxa"/>
            <w:gridSpan w:val="2"/>
            <w:tcBorders>
              <w:bottom w:val="nil"/>
              <w:right w:val="nil"/>
            </w:tcBorders>
            <w:vAlign w:val="center"/>
          </w:tcPr>
          <w:p w14:paraId="2BA5BC22" w14:textId="77777777" w:rsidR="00B70A5D" w:rsidRPr="00F05D8C" w:rsidRDefault="00B70A5D">
            <w:pPr>
              <w:pBdr>
                <w:top w:val="nil"/>
                <w:left w:val="nil"/>
                <w:bottom w:val="nil"/>
                <w:right w:val="nil"/>
                <w:between w:val="nil"/>
              </w:pBdr>
              <w:tabs>
                <w:tab w:val="left" w:pos="510"/>
              </w:tabs>
              <w:spacing w:before="60" w:after="60"/>
              <w:ind w:left="510" w:hanging="510"/>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Measured</w:t>
            </w:r>
          </w:p>
        </w:tc>
        <w:tc>
          <w:tcPr>
            <w:tcW w:w="3612" w:type="dxa"/>
            <w:gridSpan w:val="2"/>
            <w:tcBorders>
              <w:left w:val="nil"/>
              <w:bottom w:val="nil"/>
            </w:tcBorders>
            <w:vAlign w:val="center"/>
          </w:tcPr>
          <w:p w14:paraId="102F2697" w14:textId="77777777" w:rsidR="00B70A5D" w:rsidRPr="00F12546" w:rsidRDefault="00B70A5D">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Other sources</w:t>
            </w:r>
          </w:p>
        </w:tc>
      </w:tr>
      <w:tr w:rsidR="00B70A5D" w14:paraId="27A88A36" w14:textId="77777777">
        <w:tc>
          <w:tcPr>
            <w:tcW w:w="2348" w:type="dxa"/>
            <w:vMerge/>
          </w:tcPr>
          <w:p w14:paraId="16C142CA" w14:textId="77777777" w:rsidR="00B70A5D" w:rsidRDefault="00B70A5D">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tcBorders>
          </w:tcPr>
          <w:p w14:paraId="0F2C0AD7"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p>
        </w:tc>
      </w:tr>
      <w:tr w:rsidR="00B70A5D" w14:paraId="14336018" w14:textId="77777777">
        <w:tc>
          <w:tcPr>
            <w:tcW w:w="2348" w:type="dxa"/>
            <w:shd w:val="clear" w:color="auto" w:fill="E6E6E6"/>
          </w:tcPr>
          <w:p w14:paraId="07CB04A0" w14:textId="77777777" w:rsidR="00B70A5D" w:rsidRDefault="00B70A5D" w:rsidP="00355A65">
            <w:pPr>
              <w:pBdr>
                <w:top w:val="nil"/>
                <w:left w:val="nil"/>
                <w:bottom w:val="nil"/>
                <w:right w:val="nil"/>
                <w:between w:val="nil"/>
              </w:pBdr>
              <w:tabs>
                <w:tab w:val="left" w:pos="510"/>
              </w:tabs>
              <w:spacing w:before="60" w:after="60"/>
              <w:ind w:right="57"/>
              <w:jc w:val="left"/>
              <w:rPr>
                <w:rFonts w:eastAsia="Arial" w:cs="Arial"/>
                <w:color w:val="000000"/>
                <w:sz w:val="20"/>
              </w:rPr>
            </w:pPr>
            <w:r>
              <w:rPr>
                <w:rFonts w:eastAsia="Arial" w:cs="Arial"/>
                <w:color w:val="000000"/>
                <w:sz w:val="20"/>
              </w:rPr>
              <w:t>Choice of data or measurement methods and procedures</w:t>
            </w:r>
          </w:p>
        </w:tc>
        <w:tc>
          <w:tcPr>
            <w:tcW w:w="7224" w:type="dxa"/>
            <w:gridSpan w:val="4"/>
            <w:tcBorders>
              <w:top w:val="single" w:sz="4" w:space="0" w:color="000000" w:themeColor="text1"/>
            </w:tcBorders>
          </w:tcPr>
          <w:p w14:paraId="127D1AC9"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 xml:space="preserve">T&amp;D loss values should come from the following sources: </w:t>
            </w:r>
          </w:p>
          <w:p w14:paraId="64794E62" w14:textId="77777777" w:rsidR="00B70A5D" w:rsidRPr="00F05D8C" w:rsidRDefault="00B70A5D" w:rsidP="00620061">
            <w:pPr>
              <w:pStyle w:val="ListParagraph"/>
              <w:numPr>
                <w:ilvl w:val="0"/>
                <w:numId w:val="24"/>
              </w:numPr>
              <w:pBdr>
                <w:top w:val="nil"/>
                <w:left w:val="nil"/>
                <w:bottom w:val="nil"/>
                <w:right w:val="nil"/>
                <w:between w:val="nil"/>
              </w:pBdr>
              <w:tabs>
                <w:tab w:val="left" w:pos="510"/>
              </w:tabs>
              <w:spacing w:before="60" w:after="60" w:line="276" w:lineRule="auto"/>
              <w:ind w:right="57"/>
              <w:contextualSpacing w:val="0"/>
              <w:jc w:val="left"/>
              <w:rPr>
                <w:rFonts w:eastAsia="Arial" w:cs="Arial"/>
                <w:color w:val="000000" w:themeColor="text1"/>
                <w:sz w:val="20"/>
              </w:rPr>
            </w:pPr>
            <w:r w:rsidRPr="18C4CD90">
              <w:rPr>
                <w:rFonts w:eastAsia="Arial" w:cs="Arial"/>
                <w:color w:val="000000" w:themeColor="text1"/>
                <w:sz w:val="20"/>
              </w:rPr>
              <w:t xml:space="preserve">If available, the percentage published by the national grid’s operator should be used. </w:t>
            </w:r>
          </w:p>
          <w:p w14:paraId="1CC0FCBD" w14:textId="77777777" w:rsidR="00B70A5D" w:rsidRPr="00F05D8C" w:rsidRDefault="00B70A5D" w:rsidP="00620061">
            <w:pPr>
              <w:pStyle w:val="ListParagraph"/>
              <w:numPr>
                <w:ilvl w:val="0"/>
                <w:numId w:val="24"/>
              </w:numPr>
              <w:pBdr>
                <w:top w:val="nil"/>
                <w:left w:val="nil"/>
                <w:bottom w:val="nil"/>
                <w:right w:val="nil"/>
                <w:between w:val="nil"/>
              </w:pBdr>
              <w:tabs>
                <w:tab w:val="left" w:pos="510"/>
              </w:tabs>
              <w:spacing w:before="60" w:after="60" w:line="276" w:lineRule="auto"/>
              <w:ind w:right="57"/>
              <w:contextualSpacing w:val="0"/>
              <w:jc w:val="left"/>
              <w:rPr>
                <w:rFonts w:eastAsia="Arial" w:cs="Arial"/>
                <w:color w:val="000000" w:themeColor="text1"/>
                <w:sz w:val="20"/>
              </w:rPr>
            </w:pPr>
            <w:r w:rsidRPr="18C4CD90">
              <w:rPr>
                <w:rFonts w:eastAsia="Arial" w:cs="Arial"/>
                <w:color w:val="000000" w:themeColor="text1"/>
                <w:sz w:val="20"/>
              </w:rPr>
              <w:t xml:space="preserve">If the value from the national grid’s operator is not available, then national T&amp;D loss percentages from international, reputable sources such as the World Bank or the International Energy Agency should be used. </w:t>
            </w:r>
          </w:p>
          <w:p w14:paraId="32ACB128" w14:textId="77777777" w:rsidR="00B70A5D" w:rsidRPr="00F05D8C" w:rsidRDefault="00B70A5D" w:rsidP="00620061">
            <w:pPr>
              <w:pStyle w:val="ListParagraph"/>
              <w:numPr>
                <w:ilvl w:val="0"/>
                <w:numId w:val="24"/>
              </w:numPr>
              <w:pBdr>
                <w:top w:val="nil"/>
                <w:left w:val="nil"/>
                <w:bottom w:val="nil"/>
                <w:right w:val="nil"/>
                <w:between w:val="nil"/>
              </w:pBdr>
              <w:tabs>
                <w:tab w:val="left" w:pos="510"/>
              </w:tabs>
              <w:spacing w:before="60" w:after="60" w:line="276" w:lineRule="auto"/>
              <w:ind w:right="57"/>
              <w:contextualSpacing w:val="0"/>
              <w:jc w:val="left"/>
              <w:rPr>
                <w:rFonts w:eastAsia="Arial" w:cs="Arial"/>
                <w:color w:val="000000"/>
                <w:sz w:val="20"/>
              </w:rPr>
            </w:pPr>
            <w:r w:rsidRPr="18C4CD90">
              <w:rPr>
                <w:rFonts w:eastAsia="Arial" w:cs="Arial"/>
                <w:color w:val="000000" w:themeColor="text1"/>
                <w:sz w:val="20"/>
              </w:rPr>
              <w:t>If none of the options above are available, a 20% conservative default for T&amp;D losses should be applied.</w:t>
            </w:r>
          </w:p>
          <w:p w14:paraId="261524D9" w14:textId="77777777" w:rsidR="00B70A5D" w:rsidRPr="00F05D8C" w:rsidRDefault="00B70A5D">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Frequency of monitoring: Determined once ex-ante</w:t>
            </w:r>
          </w:p>
        </w:tc>
      </w:tr>
      <w:tr w:rsidR="00CD162C" w14:paraId="6BD951DF" w14:textId="77777777">
        <w:tc>
          <w:tcPr>
            <w:tcW w:w="2348" w:type="dxa"/>
            <w:shd w:val="clear" w:color="auto" w:fill="E6E6E6"/>
          </w:tcPr>
          <w:p w14:paraId="7FD072BE" w14:textId="05665C89" w:rsidR="00CD162C" w:rsidRPr="002344F4" w:rsidRDefault="00CD162C" w:rsidP="002344F4">
            <w:pPr>
              <w:pBdr>
                <w:top w:val="nil"/>
                <w:left w:val="nil"/>
                <w:bottom w:val="nil"/>
                <w:right w:val="nil"/>
                <w:between w:val="nil"/>
              </w:pBdr>
              <w:tabs>
                <w:tab w:val="left" w:pos="510"/>
              </w:tabs>
              <w:spacing w:before="60" w:after="60"/>
              <w:ind w:right="57"/>
              <w:jc w:val="left"/>
              <w:rPr>
                <w:rFonts w:eastAsia="Arial" w:cs="Arial"/>
                <w:color w:val="000000"/>
                <w:sz w:val="20"/>
              </w:rPr>
            </w:pPr>
            <w:r w:rsidRPr="002344F4">
              <w:rPr>
                <w:sz w:val="20"/>
              </w:rPr>
              <w:t>Treatment of uncertainty</w:t>
            </w:r>
          </w:p>
        </w:tc>
        <w:tc>
          <w:tcPr>
            <w:tcW w:w="7224" w:type="dxa"/>
            <w:gridSpan w:val="4"/>
            <w:tcBorders>
              <w:top w:val="single" w:sz="4" w:space="0" w:color="000000" w:themeColor="text1"/>
            </w:tcBorders>
          </w:tcPr>
          <w:p w14:paraId="7ACED549" w14:textId="3FE3FB93" w:rsidR="00CD162C" w:rsidRPr="00F06BDF" w:rsidRDefault="00855768" w:rsidP="00347552">
            <w:pPr>
              <w:pStyle w:val="ParaTickBox"/>
              <w:tabs>
                <w:tab w:val="clear" w:pos="510"/>
              </w:tabs>
              <w:ind w:left="0" w:right="57" w:firstLine="0"/>
              <w:jc w:val="both"/>
              <w:rPr>
                <w:szCs w:val="20"/>
              </w:rPr>
            </w:pPr>
            <w:r w:rsidRPr="00F06BDF">
              <w:rPr>
                <w:rFonts w:hint="eastAsia"/>
                <w:color w:val="000000" w:themeColor="text1"/>
              </w:rPr>
              <w:t xml:space="preserve">Uncertainty is addressed by using the most reliable data available: published values from the national grid operator where possible. Such official data may carry reporting uncertainties but are considered the most </w:t>
            </w:r>
            <w:r w:rsidR="6D857194" w:rsidRPr="7D956FC6">
              <w:rPr>
                <w:color w:val="000000" w:themeColor="text1"/>
              </w:rPr>
              <w:t>accurate available</w:t>
            </w:r>
            <w:r w:rsidR="651FB978" w:rsidRPr="008569FE">
              <w:rPr>
                <w:rFonts w:hint="eastAsia"/>
                <w:color w:val="000000" w:themeColor="text1"/>
              </w:rPr>
              <w:t>.</w:t>
            </w:r>
            <w:r w:rsidRPr="008569FE">
              <w:rPr>
                <w:rFonts w:hint="eastAsia"/>
                <w:color w:val="000000" w:themeColor="text1"/>
              </w:rPr>
              <w:t xml:space="preserve"> If unavailable, estimates from reputable international sources (e.g.</w:t>
            </w:r>
            <w:r w:rsidR="007B0534">
              <w:rPr>
                <w:color w:val="000000" w:themeColor="text1"/>
              </w:rPr>
              <w:t>,</w:t>
            </w:r>
            <w:r w:rsidRPr="00F06BDF">
              <w:rPr>
                <w:rFonts w:hint="eastAsia"/>
                <w:color w:val="000000" w:themeColor="text1"/>
              </w:rPr>
              <w:t xml:space="preserve"> World Bank, IEA) are applied. In the absence of both, a conservative default of 20% is used </w:t>
            </w:r>
          </w:p>
        </w:tc>
      </w:tr>
      <w:tr w:rsidR="00CD162C" w14:paraId="4E9B26AC" w14:textId="77777777">
        <w:tc>
          <w:tcPr>
            <w:tcW w:w="2348" w:type="dxa"/>
            <w:shd w:val="clear" w:color="auto" w:fill="E6E6E6"/>
          </w:tcPr>
          <w:p w14:paraId="11FA223B" w14:textId="77777777" w:rsidR="00CD162C" w:rsidRDefault="00CD162C" w:rsidP="00CD162C">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Additional comments</w:t>
            </w:r>
          </w:p>
        </w:tc>
        <w:tc>
          <w:tcPr>
            <w:tcW w:w="7224" w:type="dxa"/>
            <w:gridSpan w:val="4"/>
          </w:tcPr>
          <w:p w14:paraId="43FFFD09" w14:textId="77777777" w:rsidR="00CD162C" w:rsidRPr="00F05D8C" w:rsidRDefault="00CD162C" w:rsidP="00CD162C">
            <w:pPr>
              <w:pBdr>
                <w:top w:val="nil"/>
                <w:left w:val="nil"/>
                <w:bottom w:val="nil"/>
                <w:right w:val="nil"/>
                <w:between w:val="nil"/>
              </w:pBdr>
              <w:tabs>
                <w:tab w:val="left" w:pos="510"/>
              </w:tabs>
              <w:spacing w:before="60" w:after="60"/>
              <w:ind w:right="57"/>
              <w:rPr>
                <w:rFonts w:eastAsia="Arial" w:cs="Arial"/>
                <w:color w:val="000000"/>
                <w:sz w:val="20"/>
              </w:rPr>
            </w:pPr>
          </w:p>
        </w:tc>
      </w:tr>
    </w:tbl>
    <w:p w14:paraId="2CABFB7D" w14:textId="77777777" w:rsidR="00BD1E0B" w:rsidRPr="00693C63" w:rsidRDefault="00BD1E0B" w:rsidP="00D049C9">
      <w:pPr>
        <w:pStyle w:val="SDMPara"/>
        <w:numPr>
          <w:ilvl w:val="0"/>
          <w:numId w:val="0"/>
        </w:numPr>
        <w:rPr>
          <w:i/>
          <w:iCs/>
          <w:color w:val="4F81BD" w:themeColor="accent1"/>
        </w:rPr>
      </w:pPr>
    </w:p>
    <w:p w14:paraId="558C3245" w14:textId="7E691845" w:rsidR="00CB6580" w:rsidRDefault="00CB6580" w:rsidP="00620061">
      <w:pPr>
        <w:pStyle w:val="SDMHead1"/>
        <w:numPr>
          <w:ilvl w:val="0"/>
          <w:numId w:val="18"/>
        </w:numPr>
      </w:pPr>
      <w:bookmarkStart w:id="87" w:name="S15"/>
      <w:r>
        <w:t>Data and parameters monitored</w:t>
      </w:r>
    </w:p>
    <w:bookmarkEnd w:id="87"/>
    <w:p w14:paraId="27596D71" w14:textId="77777777" w:rsidR="005B411E" w:rsidRDefault="005B411E" w:rsidP="005B411E">
      <w:pPr>
        <w:spacing w:before="60" w:after="60"/>
        <w:ind w:right="159"/>
        <w:rPr>
          <w:i/>
          <w:sz w:val="20"/>
        </w:rPr>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0AA6943E" w14:textId="77777777">
        <w:tc>
          <w:tcPr>
            <w:tcW w:w="2348" w:type="dxa"/>
            <w:shd w:val="clear" w:color="auto" w:fill="E6E6E6"/>
          </w:tcPr>
          <w:p w14:paraId="2CC84B0A"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1AF380F2" w14:textId="77777777" w:rsidR="005B411E" w:rsidRPr="00E43FA3"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Days</m:t>
                    </m:r>
                  </m:e>
                  <m:sub>
                    <m:r>
                      <w:rPr>
                        <w:rFonts w:ascii="Cambria Math" w:eastAsia="Cambria Math" w:hAnsi="Cambria Math" w:cs="Cambria Math"/>
                      </w:rPr>
                      <m:t>y,h</m:t>
                    </m:r>
                  </m:sub>
                </m:sSub>
              </m:oMath>
            </m:oMathPara>
          </w:p>
        </w:tc>
      </w:tr>
      <w:tr w:rsidR="005B411E" w14:paraId="25E44E9F" w14:textId="77777777">
        <w:tc>
          <w:tcPr>
            <w:tcW w:w="2348" w:type="dxa"/>
            <w:shd w:val="clear" w:color="auto" w:fill="E6E6E6"/>
          </w:tcPr>
          <w:p w14:paraId="3391B736"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782E5E4B" w14:textId="77777777" w:rsidR="005B411E" w:rsidRDefault="005B411E">
            <w:pPr>
              <w:spacing w:before="60" w:after="60"/>
              <w:ind w:right="57"/>
              <w:rPr>
                <w:rFonts w:eastAsia="Arial" w:cs="Arial"/>
                <w:sz w:val="20"/>
              </w:rPr>
            </w:pPr>
            <w:r w:rsidRPr="00E43FA3">
              <w:rPr>
                <w:rFonts w:eastAsia="Arial" w:cs="Arial"/>
                <w:sz w:val="20"/>
              </w:rPr>
              <w:t xml:space="preserve">Number of maximum possible project-technology days during the year </w:t>
            </w:r>
            <w:r w:rsidRPr="00EB23DF">
              <w:rPr>
                <w:rFonts w:eastAsia="Arial" w:cs="Arial"/>
                <w:i/>
                <w:sz w:val="20"/>
              </w:rPr>
              <w:t>y</w:t>
            </w:r>
            <w:r w:rsidRPr="00E43FA3">
              <w:rPr>
                <w:rFonts w:eastAsia="Arial" w:cs="Arial"/>
                <w:sz w:val="20"/>
              </w:rPr>
              <w:t xml:space="preserve"> in household </w:t>
            </w:r>
            <w:r w:rsidRPr="00EB23DF">
              <w:rPr>
                <w:rFonts w:eastAsia="Arial" w:cs="Arial"/>
                <w:i/>
                <w:sz w:val="20"/>
              </w:rPr>
              <w:t>h</w:t>
            </w:r>
          </w:p>
        </w:tc>
      </w:tr>
      <w:tr w:rsidR="005B411E" w14:paraId="3685565E" w14:textId="77777777">
        <w:tc>
          <w:tcPr>
            <w:tcW w:w="2348" w:type="dxa"/>
            <w:shd w:val="clear" w:color="auto" w:fill="E6E6E6"/>
          </w:tcPr>
          <w:p w14:paraId="42A8E87A"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64EB6B6E" w14:textId="77777777" w:rsidR="005B411E" w:rsidRDefault="005B411E">
            <w:pPr>
              <w:spacing w:before="60" w:after="60"/>
              <w:ind w:right="57"/>
              <w:rPr>
                <w:rFonts w:eastAsia="Arial" w:cs="Arial"/>
                <w:sz w:val="20"/>
              </w:rPr>
            </w:pPr>
            <w:r w:rsidRPr="00E43FA3">
              <w:rPr>
                <w:rFonts w:eastAsia="Arial" w:cs="Arial"/>
                <w:sz w:val="20"/>
              </w:rPr>
              <w:t>Number</w:t>
            </w:r>
          </w:p>
        </w:tc>
      </w:tr>
      <w:tr w:rsidR="005B411E" w14:paraId="5E8AC671" w14:textId="77777777">
        <w:tc>
          <w:tcPr>
            <w:tcW w:w="2348" w:type="dxa"/>
            <w:shd w:val="clear" w:color="auto" w:fill="E6E6E6"/>
          </w:tcPr>
          <w:p w14:paraId="344F3435"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5D92A9D9" w14:textId="016B46B4" w:rsidR="005B411E" w:rsidRDefault="005B411E">
            <w:pPr>
              <w:spacing w:before="60" w:after="60"/>
              <w:ind w:right="57"/>
              <w:rPr>
                <w:rFonts w:eastAsia="Arial" w:cs="Arial"/>
                <w:sz w:val="20"/>
              </w:rPr>
            </w:pPr>
            <w:hyperlink w:anchor="e19" w:history="1">
              <w:r w:rsidRPr="003A1A70">
                <w:rPr>
                  <w:rStyle w:val="Hyperlink"/>
                  <w:rFonts w:eastAsia="Arial" w:cs="Arial"/>
                  <w:sz w:val="20"/>
                </w:rPr>
                <w:t>Eq. 19</w:t>
              </w:r>
            </w:hyperlink>
          </w:p>
        </w:tc>
      </w:tr>
      <w:tr w:rsidR="005B411E" w14:paraId="6D3516C6" w14:textId="77777777">
        <w:tc>
          <w:tcPr>
            <w:tcW w:w="2348" w:type="dxa"/>
            <w:vMerge w:val="restart"/>
            <w:shd w:val="clear" w:color="auto" w:fill="E6E6E6"/>
          </w:tcPr>
          <w:p w14:paraId="0CEBCA60"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4CBF78E0"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84604D">
              <w:rPr>
                <w:rFonts w:cs="Arial"/>
                <w:sz w:val="20"/>
              </w:rPr>
              <w:t xml:space="preserve"> Baseline emissions / removals</w:t>
            </w:r>
          </w:p>
        </w:tc>
        <w:tc>
          <w:tcPr>
            <w:tcW w:w="2406" w:type="dxa"/>
            <w:tcBorders>
              <w:left w:val="nil"/>
              <w:bottom w:val="nil"/>
              <w:right w:val="nil"/>
            </w:tcBorders>
          </w:tcPr>
          <w:p w14:paraId="688D0576"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84604D">
              <w:rPr>
                <w:rFonts w:cs="Arial"/>
                <w:sz w:val="20"/>
              </w:rPr>
              <w:t xml:space="preserve"> Project emissions / removals</w:t>
            </w:r>
          </w:p>
        </w:tc>
        <w:tc>
          <w:tcPr>
            <w:tcW w:w="2410" w:type="dxa"/>
            <w:tcBorders>
              <w:left w:val="nil"/>
              <w:bottom w:val="nil"/>
            </w:tcBorders>
          </w:tcPr>
          <w:p w14:paraId="051762C7"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84604D">
              <w:rPr>
                <w:rFonts w:cs="Arial"/>
                <w:sz w:val="20"/>
              </w:rPr>
              <w:t xml:space="preserve"> Leakage emissions</w:t>
            </w:r>
          </w:p>
        </w:tc>
      </w:tr>
      <w:tr w:rsidR="005B411E" w14:paraId="58A7E9DB" w14:textId="77777777">
        <w:tc>
          <w:tcPr>
            <w:tcW w:w="2348" w:type="dxa"/>
            <w:vMerge/>
          </w:tcPr>
          <w:p w14:paraId="28B7A9C2"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28F84CD2" w14:textId="77777777" w:rsidR="005B411E" w:rsidRDefault="005B411E">
            <w:pPr>
              <w:spacing w:before="60" w:after="60"/>
              <w:ind w:right="57"/>
              <w:rPr>
                <w:rFonts w:eastAsia="Arial" w:cs="Arial"/>
                <w:i/>
                <w:sz w:val="20"/>
              </w:rPr>
            </w:pPr>
          </w:p>
        </w:tc>
      </w:tr>
      <w:tr w:rsidR="00C81161" w14:paraId="4850277E" w14:textId="77777777">
        <w:tc>
          <w:tcPr>
            <w:tcW w:w="2348" w:type="dxa"/>
            <w:shd w:val="clear" w:color="auto" w:fill="E6E6E6"/>
          </w:tcPr>
          <w:p w14:paraId="7D1DFF50" w14:textId="4607DFA5"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tcPr>
          <w:p w14:paraId="02D88AC4" w14:textId="38D479B7" w:rsidR="00C81161" w:rsidRPr="00F07226" w:rsidRDefault="00816E64">
            <w:pPr>
              <w:rPr>
                <w:rFonts w:eastAsia="Arial" w:cs="Arial"/>
                <w:sz w:val="20"/>
              </w:rPr>
            </w:pPr>
            <w:r>
              <w:rPr>
                <w:rFonts w:eastAsia="Arial" w:cs="Arial"/>
                <w:sz w:val="20"/>
              </w:rPr>
              <w:t>Frequency of monitoring: Annually</w:t>
            </w:r>
          </w:p>
        </w:tc>
      </w:tr>
      <w:tr w:rsidR="005B411E" w14:paraId="58B3CEB0" w14:textId="77777777">
        <w:tc>
          <w:tcPr>
            <w:tcW w:w="2348" w:type="dxa"/>
            <w:shd w:val="clear" w:color="auto" w:fill="E6E6E6"/>
          </w:tcPr>
          <w:p w14:paraId="3CC36108"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tcPr>
          <w:p w14:paraId="2E6E4E05" w14:textId="77777777" w:rsidR="005B411E" w:rsidRPr="00F07226" w:rsidRDefault="005B411E">
            <w:pPr>
              <w:rPr>
                <w:rFonts w:eastAsia="Montserrat" w:cs="Arial"/>
                <w:sz w:val="20"/>
              </w:rPr>
            </w:pPr>
            <w:r w:rsidRPr="00F07226">
              <w:rPr>
                <w:rFonts w:eastAsia="Montserrat" w:cs="Arial"/>
                <w:sz w:val="20"/>
              </w:rPr>
              <w:t>For each project household this is determined using the date the project-technology was obtained by the household, and the dates of the monitoring period.</w:t>
            </w:r>
          </w:p>
        </w:tc>
      </w:tr>
      <w:tr w:rsidR="005B411E" w14:paraId="613A50AA" w14:textId="77777777">
        <w:trPr>
          <w:trHeight w:val="107"/>
        </w:trPr>
        <w:tc>
          <w:tcPr>
            <w:tcW w:w="2348" w:type="dxa"/>
            <w:shd w:val="clear" w:color="auto" w:fill="E6E6E6"/>
          </w:tcPr>
          <w:p w14:paraId="050D0A9C"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605CBFE3"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60B67805" w14:textId="77777777">
        <w:trPr>
          <w:trHeight w:val="107"/>
        </w:trPr>
        <w:tc>
          <w:tcPr>
            <w:tcW w:w="2348" w:type="dxa"/>
            <w:vMerge w:val="restart"/>
            <w:shd w:val="clear" w:color="auto" w:fill="E6E6E6"/>
          </w:tcPr>
          <w:p w14:paraId="15356480"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3C5D34B4"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5EBBABB0" w14:textId="77777777" w:rsidR="005B411E" w:rsidRDefault="005B411E">
            <w:pPr>
              <w:spacing w:before="60" w:after="60"/>
              <w:ind w:right="57"/>
              <w:rPr>
                <w:rFonts w:eastAsia="Arial" w:cs="Arial"/>
                <w:sz w:val="20"/>
              </w:rPr>
            </w:pPr>
            <w:r>
              <w:rPr>
                <w:rFonts w:eastAsia="Arial" w:cs="Arial"/>
                <w:sz w:val="20"/>
              </w:rPr>
              <w:t>N/A</w:t>
            </w:r>
          </w:p>
        </w:tc>
      </w:tr>
      <w:tr w:rsidR="005B411E" w14:paraId="6349AB08" w14:textId="77777777">
        <w:trPr>
          <w:trHeight w:val="104"/>
        </w:trPr>
        <w:tc>
          <w:tcPr>
            <w:tcW w:w="2348" w:type="dxa"/>
            <w:vMerge/>
          </w:tcPr>
          <w:p w14:paraId="53274609"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24B6A887"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0E6C140B" w14:textId="77777777" w:rsidR="005B411E" w:rsidRDefault="005B411E">
            <w:pPr>
              <w:spacing w:before="60" w:after="60"/>
              <w:ind w:right="57"/>
              <w:rPr>
                <w:rFonts w:eastAsia="Arial" w:cs="Arial"/>
                <w:sz w:val="20"/>
              </w:rPr>
            </w:pPr>
            <w:r>
              <w:rPr>
                <w:rFonts w:eastAsia="Arial" w:cs="Arial"/>
                <w:sz w:val="20"/>
              </w:rPr>
              <w:t>Exact number of dates</w:t>
            </w:r>
          </w:p>
        </w:tc>
      </w:tr>
      <w:tr w:rsidR="005B411E" w14:paraId="4121D359" w14:textId="77777777">
        <w:trPr>
          <w:trHeight w:val="104"/>
        </w:trPr>
        <w:tc>
          <w:tcPr>
            <w:tcW w:w="2348" w:type="dxa"/>
            <w:vMerge/>
          </w:tcPr>
          <w:p w14:paraId="1C334539"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75F36416"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15538BAB" w14:textId="77777777" w:rsidR="005B411E" w:rsidRPr="00584530" w:rsidRDefault="005B411E">
            <w:pPr>
              <w:tabs>
                <w:tab w:val="left" w:pos="567"/>
              </w:tabs>
              <w:spacing w:before="20" w:after="20"/>
              <w:ind w:right="161"/>
              <w:rPr>
                <w:rFonts w:eastAsia="Calibri" w:cs="Arial"/>
                <w:i/>
                <w:szCs w:val="22"/>
              </w:rPr>
            </w:pPr>
            <w:r w:rsidRPr="00584530">
              <w:rPr>
                <w:rFonts w:cs="Arial"/>
                <w:sz w:val="20"/>
              </w:rPr>
              <w:t>N/A</w:t>
            </w:r>
          </w:p>
        </w:tc>
      </w:tr>
      <w:tr w:rsidR="005B411E" w14:paraId="2295364D" w14:textId="77777777">
        <w:trPr>
          <w:trHeight w:val="104"/>
        </w:trPr>
        <w:tc>
          <w:tcPr>
            <w:tcW w:w="2348" w:type="dxa"/>
            <w:vMerge/>
          </w:tcPr>
          <w:p w14:paraId="49B5C7F6"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5DC4FEE8"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6974029D" w14:textId="77777777" w:rsidR="005B411E" w:rsidRDefault="005B411E">
            <w:pPr>
              <w:spacing w:before="60" w:after="60"/>
              <w:ind w:right="57"/>
              <w:rPr>
                <w:rFonts w:eastAsia="Arial" w:cs="Arial"/>
                <w:sz w:val="20"/>
              </w:rPr>
            </w:pPr>
            <w:r>
              <w:rPr>
                <w:rFonts w:eastAsia="Arial" w:cs="Arial"/>
                <w:sz w:val="20"/>
              </w:rPr>
              <w:t>Project household</w:t>
            </w:r>
          </w:p>
        </w:tc>
      </w:tr>
      <w:tr w:rsidR="005B411E" w14:paraId="204360A7" w14:textId="77777777">
        <w:tc>
          <w:tcPr>
            <w:tcW w:w="2348" w:type="dxa"/>
            <w:shd w:val="clear" w:color="auto" w:fill="E6E6E6"/>
          </w:tcPr>
          <w:p w14:paraId="1FD348A1"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0795FE24" w14:textId="77777777" w:rsidR="005B411E" w:rsidRDefault="005B411E">
            <w:pPr>
              <w:tabs>
                <w:tab w:val="left" w:pos="567"/>
              </w:tabs>
              <w:spacing w:before="20" w:after="20"/>
              <w:ind w:right="159"/>
              <w:rPr>
                <w:rFonts w:ascii="Calibri" w:eastAsia="Calibri" w:hAnsi="Calibri" w:cs="Calibri"/>
                <w:i/>
                <w:szCs w:val="22"/>
              </w:rPr>
            </w:pPr>
            <w:r>
              <w:rPr>
                <w:rFonts w:eastAsia="Arial" w:cs="Arial"/>
                <w:sz w:val="20"/>
              </w:rPr>
              <w:t>-</w:t>
            </w:r>
          </w:p>
        </w:tc>
      </w:tr>
      <w:tr w:rsidR="00712587" w14:paraId="0632F7C6" w14:textId="77777777">
        <w:tc>
          <w:tcPr>
            <w:tcW w:w="2348" w:type="dxa"/>
            <w:shd w:val="clear" w:color="auto" w:fill="E6E6E6"/>
          </w:tcPr>
          <w:p w14:paraId="7634BD28" w14:textId="37538EA8"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6CC5BD4D" w14:textId="6AFEA6AF" w:rsidR="00712587" w:rsidRPr="00F06BDF" w:rsidRDefault="00786D2E" w:rsidP="10D04856">
            <w:pPr>
              <w:spacing w:before="60" w:after="60"/>
              <w:ind w:right="57"/>
              <w:rPr>
                <w:rFonts w:eastAsia="Arial" w:cs="Arial"/>
                <w:color w:val="000000" w:themeColor="text1"/>
                <w:sz w:val="20"/>
              </w:rPr>
            </w:pPr>
            <w:r w:rsidRPr="00F06BDF">
              <w:rPr>
                <w:rFonts w:cs="Arial"/>
                <w:color w:val="000000" w:themeColor="text1"/>
                <w:sz w:val="20"/>
              </w:rPr>
              <w:t>N/A</w:t>
            </w:r>
          </w:p>
          <w:p w14:paraId="6825E447" w14:textId="7915D3A1" w:rsidR="00712587" w:rsidRPr="00F06BDF" w:rsidRDefault="00712587" w:rsidP="10D04856">
            <w:pPr>
              <w:spacing w:before="60" w:after="60"/>
              <w:ind w:right="57"/>
              <w:rPr>
                <w:rFonts w:cs="Arial"/>
                <w:color w:val="000000" w:themeColor="text1"/>
                <w:sz w:val="20"/>
              </w:rPr>
            </w:pPr>
          </w:p>
          <w:p w14:paraId="6049B1B3" w14:textId="0604D836" w:rsidR="00712587" w:rsidRPr="00F06BDF" w:rsidRDefault="4B4061AD" w:rsidP="00712587">
            <w:pPr>
              <w:spacing w:before="60" w:after="60"/>
              <w:ind w:right="57"/>
              <w:rPr>
                <w:rFonts w:eastAsia="Arial" w:cs="Arial"/>
                <w:color w:val="0078D4"/>
                <w:sz w:val="20"/>
              </w:rPr>
            </w:pPr>
            <w:r w:rsidRPr="00F06BDF">
              <w:rPr>
                <w:rFonts w:eastAsia="Arial" w:cs="Arial"/>
                <w:color w:val="000000" w:themeColor="text1"/>
                <w:sz w:val="20"/>
              </w:rPr>
              <w:t>T</w:t>
            </w:r>
            <w:r w:rsidR="4F75B34B" w:rsidRPr="00F06BDF">
              <w:rPr>
                <w:rFonts w:eastAsia="Arial" w:cs="Arial"/>
                <w:color w:val="000000" w:themeColor="text1"/>
                <w:sz w:val="20"/>
              </w:rPr>
              <w:t>his value is assumed to have negligible uncertainty as it is based on</w:t>
            </w:r>
            <w:r w:rsidR="1B7654BF" w:rsidRPr="00F06BDF">
              <w:rPr>
                <w:rFonts w:eastAsia="Arial" w:cs="Arial"/>
                <w:color w:val="000000" w:themeColor="text1"/>
                <w:sz w:val="20"/>
              </w:rPr>
              <w:t xml:space="preserve"> </w:t>
            </w:r>
            <w:r w:rsidR="4F75B34B" w:rsidRPr="00F06BDF">
              <w:rPr>
                <w:rFonts w:eastAsia="Arial" w:cs="Arial"/>
                <w:color w:val="000000" w:themeColor="text1"/>
                <w:sz w:val="20"/>
              </w:rPr>
              <w:t xml:space="preserve">sales </w:t>
            </w:r>
            <w:r w:rsidR="1BC0B79C" w:rsidRPr="00F06BDF">
              <w:rPr>
                <w:rFonts w:eastAsia="Arial" w:cs="Arial"/>
                <w:color w:val="000000" w:themeColor="text1"/>
                <w:sz w:val="20"/>
              </w:rPr>
              <w:t xml:space="preserve">or distribution </w:t>
            </w:r>
            <w:r w:rsidR="4F75B34B" w:rsidRPr="00F06BDF">
              <w:rPr>
                <w:rFonts w:eastAsia="Arial" w:cs="Arial"/>
                <w:color w:val="000000" w:themeColor="text1"/>
                <w:sz w:val="20"/>
              </w:rPr>
              <w:t>records</w:t>
            </w:r>
            <w:r w:rsidR="227362E1" w:rsidRPr="00F06BDF">
              <w:rPr>
                <w:rFonts w:eastAsia="Arial" w:cs="Arial"/>
                <w:color w:val="000000" w:themeColor="text1"/>
                <w:sz w:val="20"/>
              </w:rPr>
              <w:t>, which establish the date on which</w:t>
            </w:r>
            <w:r w:rsidR="4F75B34B" w:rsidRPr="00F06BDF">
              <w:rPr>
                <w:rFonts w:eastAsia="Arial" w:cs="Arial"/>
                <w:color w:val="000000" w:themeColor="text1"/>
                <w:sz w:val="20"/>
              </w:rPr>
              <w:t xml:space="preserve"> </w:t>
            </w:r>
            <w:r w:rsidR="619ECF95" w:rsidRPr="00F06BDF">
              <w:rPr>
                <w:rFonts w:eastAsia="Arial" w:cs="Arial"/>
                <w:color w:val="000000" w:themeColor="text1"/>
                <w:sz w:val="20"/>
              </w:rPr>
              <w:t>each</w:t>
            </w:r>
            <w:r w:rsidR="4F75B34B" w:rsidRPr="00F06BDF">
              <w:rPr>
                <w:rFonts w:eastAsia="Arial" w:cs="Arial"/>
                <w:color w:val="000000" w:themeColor="text1"/>
                <w:sz w:val="20"/>
              </w:rPr>
              <w:t xml:space="preserve"> project device</w:t>
            </w:r>
            <w:r w:rsidR="740B5D9A" w:rsidRPr="00F06BDF">
              <w:rPr>
                <w:rFonts w:eastAsia="Arial" w:cs="Arial"/>
                <w:color w:val="000000" w:themeColor="text1"/>
                <w:sz w:val="20"/>
              </w:rPr>
              <w:t xml:space="preserve"> entered the household.</w:t>
            </w:r>
            <w:r w:rsidR="28C368F4" w:rsidRPr="00F06BDF">
              <w:rPr>
                <w:rFonts w:eastAsia="Arial" w:cs="Arial"/>
                <w:color w:val="000000" w:themeColor="text1"/>
                <w:sz w:val="20"/>
              </w:rPr>
              <w:t xml:space="preserve"> </w:t>
            </w:r>
            <w:r w:rsidR="6E890BD2" w:rsidRPr="00F06BDF">
              <w:rPr>
                <w:rFonts w:eastAsia="Arial" w:cs="Arial"/>
                <w:color w:val="000000" w:themeColor="text1"/>
                <w:sz w:val="20"/>
              </w:rPr>
              <w:t>It</w:t>
            </w:r>
            <w:r w:rsidR="28C368F4" w:rsidRPr="00F06BDF">
              <w:rPr>
                <w:rFonts w:eastAsia="Arial" w:cs="Arial"/>
                <w:color w:val="000000" w:themeColor="text1"/>
                <w:sz w:val="20"/>
              </w:rPr>
              <w:t xml:space="preserve"> is therefore not an estimate, but a precise</w:t>
            </w:r>
            <w:r w:rsidR="64751B68" w:rsidRPr="00F06BDF">
              <w:rPr>
                <w:rFonts w:eastAsia="Arial" w:cs="Arial"/>
                <w:color w:val="000000" w:themeColor="text1"/>
                <w:sz w:val="20"/>
              </w:rPr>
              <w:t xml:space="preserve"> historical</w:t>
            </w:r>
            <w:r w:rsidR="28C368F4" w:rsidRPr="00F06BDF">
              <w:rPr>
                <w:rFonts w:eastAsia="Arial" w:cs="Arial"/>
                <w:color w:val="000000" w:themeColor="text1"/>
                <w:sz w:val="20"/>
              </w:rPr>
              <w:t xml:space="preserve"> value.</w:t>
            </w:r>
          </w:p>
        </w:tc>
      </w:tr>
      <w:tr w:rsidR="005B411E" w14:paraId="0CBFCA0E" w14:textId="77777777">
        <w:tc>
          <w:tcPr>
            <w:tcW w:w="2348" w:type="dxa"/>
            <w:shd w:val="clear" w:color="auto" w:fill="E6E6E6"/>
          </w:tcPr>
          <w:p w14:paraId="53DFBBA3"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492E354E" w14:textId="77777777" w:rsidR="005B411E" w:rsidRDefault="005B411E">
            <w:pPr>
              <w:spacing w:before="60" w:after="60"/>
              <w:ind w:right="57"/>
              <w:rPr>
                <w:rFonts w:eastAsia="Arial" w:cs="Arial"/>
                <w:sz w:val="20"/>
              </w:rPr>
            </w:pPr>
            <w:r>
              <w:rPr>
                <w:rFonts w:eastAsia="Arial" w:cs="Arial"/>
                <w:sz w:val="20"/>
              </w:rPr>
              <w:t>-</w:t>
            </w:r>
          </w:p>
        </w:tc>
      </w:tr>
    </w:tbl>
    <w:p w14:paraId="34B730F6" w14:textId="77777777" w:rsidR="005B411E" w:rsidRDefault="00000000" w:rsidP="005B411E">
      <w:pPr>
        <w:spacing w:before="60" w:after="60"/>
        <w:ind w:left="40" w:right="159"/>
      </w:pPr>
      <w:sdt>
        <w:sdtPr>
          <w:tag w:val="goog_rdk_584"/>
          <w:id w:val="-1837065167"/>
          <w:showingPlcHdr/>
        </w:sdtPr>
        <w:sdtContent>
          <w:r w:rsidR="005B411E">
            <w:t xml:space="preserve">     </w:t>
          </w:r>
        </w:sdtContent>
      </w:sdt>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045BAAFB" w14:textId="77777777">
        <w:tc>
          <w:tcPr>
            <w:tcW w:w="2348" w:type="dxa"/>
            <w:shd w:val="clear" w:color="auto" w:fill="E6E6E6"/>
          </w:tcPr>
          <w:p w14:paraId="72DE17D8"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4D45A870" w14:textId="77777777" w:rsidR="005B411E" w:rsidRPr="00E43FA3"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EC</m:t>
                    </m:r>
                  </m:e>
                  <m:sub>
                    <m:r>
                      <w:rPr>
                        <w:rFonts w:ascii="Cambria Math" w:eastAsia="Cambria Math" w:hAnsi="Cambria Math" w:cs="Cambria Math"/>
                      </w:rPr>
                      <m:t>base,KPT,i</m:t>
                    </m:r>
                  </m:sub>
                </m:sSub>
              </m:oMath>
            </m:oMathPara>
          </w:p>
        </w:tc>
      </w:tr>
      <w:tr w:rsidR="005B411E" w14:paraId="7E3FE973" w14:textId="77777777">
        <w:tc>
          <w:tcPr>
            <w:tcW w:w="2348" w:type="dxa"/>
            <w:shd w:val="clear" w:color="auto" w:fill="E6E6E6"/>
          </w:tcPr>
          <w:p w14:paraId="4BBB0DF0"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62129736" w14:textId="77777777" w:rsidR="005B411E" w:rsidRDefault="005B411E">
            <w:pPr>
              <w:spacing w:before="60" w:after="60"/>
              <w:ind w:right="57"/>
              <w:rPr>
                <w:rFonts w:eastAsia="Arial" w:cs="Arial"/>
                <w:sz w:val="20"/>
              </w:rPr>
            </w:pPr>
            <w:r w:rsidRPr="18C4CD90">
              <w:rPr>
                <w:rFonts w:eastAsia="Arial" w:cs="Arial"/>
                <w:color w:val="000000" w:themeColor="text1"/>
                <w:sz w:val="20"/>
              </w:rPr>
              <w:t>Energy consumption of baseline fuel</w:t>
            </w:r>
            <w:r w:rsidRPr="00EB23DF">
              <w:rPr>
                <w:rFonts w:eastAsia="Arial" w:cs="Arial"/>
                <w:i/>
                <w:color w:val="000000" w:themeColor="text1"/>
                <w:sz w:val="20"/>
              </w:rPr>
              <w:t xml:space="preserve"> </w:t>
            </w:r>
            <w:proofErr w:type="spellStart"/>
            <w:r w:rsidRPr="00EB23DF">
              <w:rPr>
                <w:rFonts w:eastAsia="Arial" w:cs="Arial"/>
                <w:i/>
                <w:color w:val="000000" w:themeColor="text1"/>
                <w:sz w:val="20"/>
              </w:rPr>
              <w:t>i</w:t>
            </w:r>
            <w:proofErr w:type="spellEnd"/>
            <w:r w:rsidRPr="18C4CD90">
              <w:rPr>
                <w:rFonts w:eastAsia="Arial" w:cs="Arial"/>
                <w:color w:val="000000" w:themeColor="text1"/>
                <w:sz w:val="20"/>
              </w:rPr>
              <w:t xml:space="preserve"> for CTEC projects based on baseline KPT</w:t>
            </w:r>
          </w:p>
        </w:tc>
      </w:tr>
      <w:tr w:rsidR="005B411E" w14:paraId="21F6C04E" w14:textId="77777777">
        <w:tc>
          <w:tcPr>
            <w:tcW w:w="2348" w:type="dxa"/>
            <w:shd w:val="clear" w:color="auto" w:fill="E6E6E6"/>
          </w:tcPr>
          <w:p w14:paraId="74EBE420"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189B8980" w14:textId="77777777" w:rsidR="005B411E" w:rsidRDefault="005B411E">
            <w:pPr>
              <w:spacing w:before="60" w:after="60"/>
              <w:ind w:right="57"/>
              <w:rPr>
                <w:rFonts w:eastAsia="Arial" w:cs="Arial"/>
                <w:sz w:val="20"/>
              </w:rPr>
            </w:pPr>
            <w:r w:rsidRPr="18C4CD90">
              <w:rPr>
                <w:rFonts w:eastAsia="Arial" w:cs="Arial"/>
                <w:color w:val="000000" w:themeColor="text1"/>
                <w:sz w:val="20"/>
              </w:rPr>
              <w:t>TJ/(person*year)</w:t>
            </w:r>
          </w:p>
        </w:tc>
      </w:tr>
      <w:tr w:rsidR="005B411E" w14:paraId="6541B304" w14:textId="77777777">
        <w:tc>
          <w:tcPr>
            <w:tcW w:w="2348" w:type="dxa"/>
            <w:shd w:val="clear" w:color="auto" w:fill="E6E6E6"/>
          </w:tcPr>
          <w:p w14:paraId="123C2AC8"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29420835" w14:textId="7DAAADA4" w:rsidR="005B411E" w:rsidRDefault="005B411E">
            <w:pPr>
              <w:spacing w:before="60" w:after="60"/>
              <w:ind w:right="57"/>
              <w:rPr>
                <w:rFonts w:eastAsia="Arial" w:cs="Arial"/>
                <w:sz w:val="20"/>
              </w:rPr>
            </w:pPr>
            <w:r>
              <w:rPr>
                <w:rFonts w:eastAsia="Arial" w:cs="Arial"/>
                <w:color w:val="000000" w:themeColor="text1"/>
                <w:sz w:val="20"/>
              </w:rPr>
              <w:t xml:space="preserve">Eq. </w:t>
            </w:r>
            <w:hyperlink w:anchor="e13" w:history="1">
              <w:r w:rsidRPr="003A1A70">
                <w:rPr>
                  <w:rStyle w:val="Hyperlink"/>
                  <w:rFonts w:eastAsia="Arial" w:cs="Arial"/>
                  <w:sz w:val="20"/>
                </w:rPr>
                <w:t>13</w:t>
              </w:r>
            </w:hyperlink>
            <w:r w:rsidRPr="00584530">
              <w:rPr>
                <w:rFonts w:eastAsia="Arial" w:cs="Arial"/>
                <w:color w:val="000000" w:themeColor="text1"/>
                <w:sz w:val="20"/>
              </w:rPr>
              <w:t xml:space="preserve"> and </w:t>
            </w:r>
            <w:hyperlink w:anchor="e29" w:history="1">
              <w:r w:rsidRPr="003A1A70">
                <w:rPr>
                  <w:rStyle w:val="Hyperlink"/>
                  <w:rFonts w:eastAsia="Arial" w:cs="Arial"/>
                  <w:sz w:val="20"/>
                </w:rPr>
                <w:t>29</w:t>
              </w:r>
            </w:hyperlink>
          </w:p>
        </w:tc>
      </w:tr>
      <w:tr w:rsidR="005B411E" w14:paraId="649E2DB4" w14:textId="77777777">
        <w:tc>
          <w:tcPr>
            <w:tcW w:w="2348" w:type="dxa"/>
            <w:vMerge w:val="restart"/>
            <w:shd w:val="clear" w:color="auto" w:fill="E6E6E6"/>
          </w:tcPr>
          <w:p w14:paraId="247D9186"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004478D5"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84604D">
              <w:rPr>
                <w:rFonts w:cs="Arial"/>
                <w:sz w:val="20"/>
              </w:rPr>
              <w:t xml:space="preserve"> Baseline emissions / removals</w:t>
            </w:r>
          </w:p>
        </w:tc>
        <w:tc>
          <w:tcPr>
            <w:tcW w:w="2406" w:type="dxa"/>
            <w:tcBorders>
              <w:left w:val="nil"/>
              <w:bottom w:val="nil"/>
              <w:right w:val="nil"/>
            </w:tcBorders>
          </w:tcPr>
          <w:p w14:paraId="5DDC2ADD"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84604D">
              <w:rPr>
                <w:rFonts w:cs="Arial"/>
                <w:sz w:val="20"/>
              </w:rPr>
              <w:t xml:space="preserve"> Project emissions / removals</w:t>
            </w:r>
          </w:p>
        </w:tc>
        <w:tc>
          <w:tcPr>
            <w:tcW w:w="2410" w:type="dxa"/>
            <w:tcBorders>
              <w:left w:val="nil"/>
              <w:bottom w:val="nil"/>
            </w:tcBorders>
          </w:tcPr>
          <w:p w14:paraId="626555EC"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84604D">
              <w:rPr>
                <w:rFonts w:cs="Arial"/>
                <w:sz w:val="20"/>
              </w:rPr>
              <w:t xml:space="preserve"> Leakage emissions</w:t>
            </w:r>
          </w:p>
        </w:tc>
      </w:tr>
      <w:tr w:rsidR="005B411E" w14:paraId="17AFE7A7" w14:textId="77777777">
        <w:tc>
          <w:tcPr>
            <w:tcW w:w="2348" w:type="dxa"/>
            <w:vMerge/>
          </w:tcPr>
          <w:p w14:paraId="234C2C9B"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3C580476" w14:textId="77777777" w:rsidR="005B411E" w:rsidRPr="008550EF" w:rsidRDefault="005B411E">
            <w:pPr>
              <w:spacing w:before="60" w:after="60"/>
              <w:ind w:right="57"/>
              <w:rPr>
                <w:rFonts w:eastAsia="Arial" w:cs="Arial"/>
                <w:iCs/>
                <w:sz w:val="20"/>
              </w:rPr>
            </w:pPr>
            <w:r w:rsidRPr="18C4CD90">
              <w:rPr>
                <w:rFonts w:eastAsia="Arial" w:cs="Arial"/>
                <w:color w:val="000000" w:themeColor="text1"/>
                <w:sz w:val="20"/>
              </w:rPr>
              <w:t>Calculation of baseline emissions for CTEC projects that use tracked energy consumption and KPTs</w:t>
            </w:r>
          </w:p>
        </w:tc>
      </w:tr>
      <w:tr w:rsidR="00C81161" w14:paraId="08232312" w14:textId="77777777">
        <w:tc>
          <w:tcPr>
            <w:tcW w:w="2348" w:type="dxa"/>
            <w:shd w:val="clear" w:color="auto" w:fill="E6E6E6"/>
          </w:tcPr>
          <w:p w14:paraId="6FBF0DD1" w14:textId="47051DFD"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tcPr>
          <w:p w14:paraId="0F81F866" w14:textId="4FCB004F" w:rsidR="00C81161" w:rsidRPr="18C4CD90" w:rsidRDefault="00816E64">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 xml:space="preserve">Frequency of monitoring: </w:t>
            </w:r>
            <w:r>
              <w:rPr>
                <w:rFonts w:eastAsia="Arial" w:cs="Arial"/>
                <w:color w:val="000000" w:themeColor="text1"/>
                <w:sz w:val="20"/>
              </w:rPr>
              <w:t>Ex-ante, o</w:t>
            </w:r>
            <w:r w:rsidRPr="18C4CD90">
              <w:rPr>
                <w:rFonts w:eastAsia="Arial" w:cs="Arial"/>
                <w:color w:val="000000" w:themeColor="text1"/>
                <w:sz w:val="20"/>
              </w:rPr>
              <w:t>nce per crediting period</w:t>
            </w:r>
          </w:p>
        </w:tc>
      </w:tr>
      <w:tr w:rsidR="005B411E" w14:paraId="70758A28" w14:textId="77777777">
        <w:tc>
          <w:tcPr>
            <w:tcW w:w="2348" w:type="dxa"/>
            <w:shd w:val="clear" w:color="auto" w:fill="E6E6E6"/>
          </w:tcPr>
          <w:p w14:paraId="5256C1C4"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tcPr>
          <w:p w14:paraId="65545CB5" w14:textId="77777777" w:rsidR="005B411E" w:rsidRPr="006267EB" w:rsidRDefault="005B411E">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CTEC projects that use tracked energy consumption and KPTs to determine fuel consumption in the baseline scenario must collect data from a representative sample of households and following the most recent version of the KPT protocol available at this link: </w:t>
            </w:r>
            <w:hyperlink r:id="rId56" w:history="1">
              <w:r w:rsidRPr="18C4CD90">
                <w:rPr>
                  <w:rStyle w:val="Hyperlink"/>
                  <w:rFonts w:eastAsia="Arial" w:cs="Arial"/>
                  <w:sz w:val="20"/>
                </w:rPr>
                <w:t>https://cleancooking.org/protocols/</w:t>
              </w:r>
            </w:hyperlink>
          </w:p>
        </w:tc>
      </w:tr>
      <w:tr w:rsidR="005B411E" w14:paraId="659D9A42" w14:textId="77777777">
        <w:trPr>
          <w:trHeight w:val="107"/>
        </w:trPr>
        <w:tc>
          <w:tcPr>
            <w:tcW w:w="2348" w:type="dxa"/>
            <w:shd w:val="clear" w:color="auto" w:fill="E6E6E6"/>
          </w:tcPr>
          <w:p w14:paraId="68420AC7" w14:textId="77777777" w:rsidR="005B411E" w:rsidRDefault="005B411E">
            <w:pPr>
              <w:spacing w:before="60" w:after="60"/>
              <w:ind w:right="57"/>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48A46403"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1899932A" w14:textId="77777777">
        <w:trPr>
          <w:trHeight w:val="107"/>
        </w:trPr>
        <w:tc>
          <w:tcPr>
            <w:tcW w:w="2348" w:type="dxa"/>
            <w:vMerge w:val="restart"/>
            <w:shd w:val="clear" w:color="auto" w:fill="E6E6E6"/>
          </w:tcPr>
          <w:p w14:paraId="6A33C7A4"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5F7ECD78"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1E9D6E34" w14:textId="77777777" w:rsidR="005B411E" w:rsidRDefault="005B411E">
            <w:pPr>
              <w:spacing w:before="60" w:after="60"/>
              <w:ind w:right="57"/>
              <w:rPr>
                <w:rFonts w:eastAsia="Arial" w:cs="Arial"/>
                <w:sz w:val="20"/>
              </w:rPr>
            </w:pPr>
            <w:r>
              <w:rPr>
                <w:rFonts w:eastAsia="Arial" w:cs="Arial"/>
                <w:sz w:val="20"/>
              </w:rPr>
              <w:t>KPT</w:t>
            </w:r>
          </w:p>
        </w:tc>
      </w:tr>
      <w:tr w:rsidR="005B411E" w14:paraId="2267E619" w14:textId="77777777">
        <w:trPr>
          <w:trHeight w:val="104"/>
        </w:trPr>
        <w:tc>
          <w:tcPr>
            <w:tcW w:w="2348" w:type="dxa"/>
            <w:vMerge/>
          </w:tcPr>
          <w:p w14:paraId="56AF76AB"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246851BE"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5114B4C6" w14:textId="128F3102" w:rsidR="005B411E" w:rsidRDefault="005B411E">
            <w:pPr>
              <w:spacing w:before="60" w:after="60"/>
              <w:ind w:right="57"/>
              <w:rPr>
                <w:rFonts w:eastAsia="Arial" w:cs="Arial"/>
                <w:sz w:val="20"/>
              </w:rPr>
            </w:pPr>
            <w:r>
              <w:rPr>
                <w:rFonts w:eastAsia="Arial" w:cs="Arial"/>
                <w:sz w:val="20"/>
              </w:rPr>
              <w:t xml:space="preserve">See </w:t>
            </w:r>
            <w:r w:rsidR="007C0A4F">
              <w:rPr>
                <w:rFonts w:eastAsia="Arial" w:cs="Arial"/>
                <w:sz w:val="20"/>
              </w:rPr>
              <w:t>Treatment of uncertainty</w:t>
            </w:r>
          </w:p>
        </w:tc>
      </w:tr>
      <w:tr w:rsidR="005B411E" w14:paraId="548F3273" w14:textId="77777777">
        <w:trPr>
          <w:trHeight w:val="104"/>
        </w:trPr>
        <w:tc>
          <w:tcPr>
            <w:tcW w:w="2348" w:type="dxa"/>
            <w:vMerge/>
          </w:tcPr>
          <w:p w14:paraId="06F32294"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388244E8"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789A5A82" w14:textId="1A57D0E0" w:rsidR="005B411E" w:rsidRDefault="00B2005C">
            <w:pPr>
              <w:tabs>
                <w:tab w:val="left" w:pos="567"/>
              </w:tabs>
              <w:spacing w:before="20" w:after="20"/>
              <w:ind w:right="161"/>
              <w:rPr>
                <w:rFonts w:ascii="Calibri" w:eastAsia="Calibri" w:hAnsi="Calibri" w:cs="Calibri"/>
                <w:i/>
                <w:szCs w:val="22"/>
              </w:rPr>
            </w:pPr>
            <w:r>
              <w:rPr>
                <w:rFonts w:ascii="Calibri" w:eastAsia="Calibri" w:hAnsi="Calibri" w:cs="Calibri"/>
                <w:i/>
                <w:szCs w:val="22"/>
              </w:rPr>
              <w:t>See QA/QC procedures</w:t>
            </w:r>
          </w:p>
        </w:tc>
      </w:tr>
      <w:tr w:rsidR="005B411E" w14:paraId="3BF0A5A2" w14:textId="77777777">
        <w:trPr>
          <w:trHeight w:val="104"/>
        </w:trPr>
        <w:tc>
          <w:tcPr>
            <w:tcW w:w="2348" w:type="dxa"/>
            <w:vMerge/>
          </w:tcPr>
          <w:p w14:paraId="148F3E1F"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564EE4A8"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2BA6E01E"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18F43B65" w14:textId="77777777">
        <w:tc>
          <w:tcPr>
            <w:tcW w:w="2348" w:type="dxa"/>
            <w:shd w:val="clear" w:color="auto" w:fill="E6E6E6"/>
          </w:tcPr>
          <w:p w14:paraId="7E18A4E7"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127B22D7" w14:textId="301D19E5" w:rsidR="005B411E" w:rsidRPr="00F06BDF" w:rsidRDefault="00A12076">
            <w:pPr>
              <w:tabs>
                <w:tab w:val="left" w:pos="567"/>
              </w:tabs>
              <w:spacing w:before="20" w:after="20"/>
              <w:ind w:right="159"/>
              <w:rPr>
                <w:rFonts w:eastAsia="Calibri" w:cs="Arial"/>
                <w:i/>
                <w:sz w:val="20"/>
              </w:rPr>
            </w:pPr>
            <w:r w:rsidRPr="00F06BDF">
              <w:rPr>
                <w:rFonts w:cs="Arial"/>
                <w:color w:val="000000"/>
                <w:sz w:val="20"/>
              </w:rPr>
              <w:t>Weekly scale calibration (</w:t>
            </w:r>
            <w:r w:rsidRPr="00F06BDF">
              <w:rPr>
                <w:rFonts w:cs="Arial" w:hint="eastAsia"/>
                <w:color w:val="000000"/>
                <w:sz w:val="20"/>
              </w:rPr>
              <w:t>±</w:t>
            </w:r>
            <w:r w:rsidRPr="00F06BDF">
              <w:rPr>
                <w:rFonts w:cs="Arial"/>
                <w:color w:val="000000"/>
                <w:sz w:val="20"/>
              </w:rPr>
              <w:t>1%), documented outlier handling, and inclusion only of households with ≥3 valid days of data collected within two weeks.</w:t>
            </w:r>
          </w:p>
        </w:tc>
      </w:tr>
      <w:tr w:rsidR="00712587" w14:paraId="4007680A" w14:textId="77777777">
        <w:tc>
          <w:tcPr>
            <w:tcW w:w="2348" w:type="dxa"/>
            <w:shd w:val="clear" w:color="auto" w:fill="E6E6E6"/>
          </w:tcPr>
          <w:p w14:paraId="4602C755" w14:textId="1DD7A900"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73A5F07A" w14:textId="2218F62B" w:rsidR="00712587" w:rsidRPr="00BF24D4" w:rsidRDefault="009A22C6" w:rsidP="00BF24D4">
            <w:pPr>
              <w:tabs>
                <w:tab w:val="left" w:pos="567"/>
              </w:tabs>
              <w:spacing w:before="20" w:after="20"/>
              <w:ind w:right="159"/>
              <w:rPr>
                <w:rFonts w:cs="Arial"/>
                <w:i/>
                <w:iCs/>
                <w:color w:val="4F81BD" w:themeColor="accent1"/>
                <w:sz w:val="20"/>
              </w:rPr>
            </w:pPr>
            <w:r w:rsidRPr="18C4CD90">
              <w:rPr>
                <w:rFonts w:eastAsia="Arial" w:cs="Arial"/>
                <w:color w:val="000000" w:themeColor="text1"/>
                <w:sz w:val="20"/>
              </w:rPr>
              <w:t xml:space="preserve">The study must meet the minimum confidence and precision of 95/10 for the target parameter of average annual energy consumption per person. The 95/10 rule is applied to the sum of energy consumption across fuels (see </w:t>
            </w:r>
            <w:r w:rsidRPr="18C4CD90">
              <w:rPr>
                <w:rFonts w:eastAsia="Arial" w:cs="Arial"/>
                <w:color w:val="000000" w:themeColor="text1"/>
                <w:sz w:val="20"/>
              </w:rPr>
              <w:lastRenderedPageBreak/>
              <w:t xml:space="preserve">parameter ∑ </w:t>
            </w:r>
            <m:oMath>
              <m:sSub>
                <m:sSubPr>
                  <m:ctrlPr>
                    <w:rPr>
                      <w:rFonts w:ascii="Cambria Math" w:eastAsia="Cambria Math" w:hAnsi="Cambria Math" w:cs="Cambria Math"/>
                    </w:rPr>
                  </m:ctrlPr>
                </m:sSubPr>
                <m:e>
                  <m:r>
                    <w:rPr>
                      <w:rFonts w:ascii="Cambria Math" w:eastAsia="Cambria Math" w:hAnsi="Cambria Math" w:cs="Cambria Math"/>
                    </w:rPr>
                    <m:t>tEC</m:t>
                  </m:r>
                </m:e>
                <m:sub>
                  <m:r>
                    <w:rPr>
                      <w:rFonts w:ascii="Cambria Math" w:eastAsia="Cambria Math" w:hAnsi="Cambria Math" w:cs="Cambria Math"/>
                    </w:rPr>
                    <m:t>base,KPT,i</m:t>
                  </m:r>
                </m:sub>
              </m:sSub>
            </m:oMath>
            <w:r>
              <w:rPr>
                <w:rFonts w:eastAsia="Arial" w:cs="Arial"/>
              </w:rPr>
              <w:t xml:space="preserve"> </w:t>
            </w:r>
            <w:r w:rsidRPr="009E42A3">
              <w:rPr>
                <w:rFonts w:eastAsia="Arial" w:cs="Arial"/>
                <w:color w:val="000000" w:themeColor="text1"/>
                <w:sz w:val="20"/>
              </w:rPr>
              <w:t xml:space="preserve">in </w:t>
            </w:r>
            <w:hyperlink w:anchor="A10" w:history="1">
              <w:r w:rsidRPr="009E42A3">
                <w:rPr>
                  <w:rStyle w:val="Hyperlink"/>
                  <w:rFonts w:eastAsia="Arial" w:cs="Arial"/>
                  <w:sz w:val="20"/>
                </w:rPr>
                <w:t>Appendix 10</w:t>
              </w:r>
            </w:hyperlink>
            <w:r w:rsidRPr="009E42A3">
              <w:rPr>
                <w:rFonts w:eastAsia="Arial" w:cs="Arial"/>
                <w:color w:val="000000" w:themeColor="text1"/>
                <w:sz w:val="20"/>
              </w:rPr>
              <w:t>, which</w:t>
            </w:r>
            <w:r w:rsidRPr="18C4CD90">
              <w:rPr>
                <w:rFonts w:eastAsia="Arial" w:cs="Arial"/>
                <w:color w:val="000000" w:themeColor="text1"/>
                <w:sz w:val="20"/>
              </w:rPr>
              <w:t xml:space="preserve"> subsumes this parameter). If the target precision is not met, the project proponent shall take the conservative bound of the confidence interval as the parameter value, proportionately applied across all the fuels used. The conservative bound is that which produces a lower CO</w:t>
            </w:r>
            <w:r w:rsidRPr="00E340E3">
              <w:rPr>
                <w:rFonts w:eastAsia="Arial" w:cs="Arial"/>
                <w:color w:val="000000" w:themeColor="text1"/>
                <w:sz w:val="20"/>
                <w:vertAlign w:val="subscript"/>
              </w:rPr>
              <w:t>2</w:t>
            </w:r>
            <w:r w:rsidRPr="18C4CD90">
              <w:rPr>
                <w:rFonts w:eastAsia="Arial" w:cs="Arial"/>
                <w:color w:val="000000" w:themeColor="text1"/>
                <w:sz w:val="20"/>
              </w:rPr>
              <w:t>e emissions reduction estimate.</w:t>
            </w:r>
          </w:p>
        </w:tc>
      </w:tr>
      <w:tr w:rsidR="005B411E" w14:paraId="3E936402" w14:textId="77777777">
        <w:tc>
          <w:tcPr>
            <w:tcW w:w="2348" w:type="dxa"/>
            <w:shd w:val="clear" w:color="auto" w:fill="E6E6E6"/>
          </w:tcPr>
          <w:p w14:paraId="6C974863" w14:textId="77777777" w:rsidR="005B411E" w:rsidRDefault="005B411E">
            <w:pPr>
              <w:spacing w:before="60" w:after="60"/>
              <w:ind w:right="57"/>
              <w:rPr>
                <w:rFonts w:eastAsia="Arial" w:cs="Arial"/>
                <w:sz w:val="20"/>
              </w:rPr>
            </w:pPr>
            <w:r>
              <w:rPr>
                <w:rFonts w:eastAsia="Arial" w:cs="Arial"/>
                <w:sz w:val="20"/>
              </w:rPr>
              <w:lastRenderedPageBreak/>
              <w:t>Additional comment</w:t>
            </w:r>
          </w:p>
        </w:tc>
        <w:tc>
          <w:tcPr>
            <w:tcW w:w="7224" w:type="dxa"/>
            <w:gridSpan w:val="4"/>
          </w:tcPr>
          <w:p w14:paraId="02C0EEBC" w14:textId="77777777" w:rsidR="005B411E" w:rsidRDefault="005B411E">
            <w:pPr>
              <w:spacing w:before="60" w:after="60"/>
              <w:ind w:right="57"/>
              <w:rPr>
                <w:rFonts w:eastAsia="Arial" w:cs="Arial"/>
                <w:sz w:val="20"/>
              </w:rPr>
            </w:pPr>
            <w:r>
              <w:rPr>
                <w:rFonts w:eastAsia="Arial" w:cs="Arial"/>
                <w:sz w:val="20"/>
              </w:rPr>
              <w:t>-</w:t>
            </w:r>
          </w:p>
        </w:tc>
      </w:tr>
    </w:tbl>
    <w:p w14:paraId="37708608" w14:textId="77777777" w:rsidR="005B411E" w:rsidRDefault="005B411E" w:rsidP="005B411E"/>
    <w:p w14:paraId="72D2C190"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41C07BA7" w14:textId="77777777">
        <w:tc>
          <w:tcPr>
            <w:tcW w:w="2348" w:type="dxa"/>
            <w:shd w:val="clear" w:color="auto" w:fill="E6E6E6"/>
          </w:tcPr>
          <w:p w14:paraId="1A58974B"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53B0D3F7" w14:textId="77777777" w:rsidR="005B411E" w:rsidRPr="00185609" w:rsidRDefault="00000000">
            <w:pPr>
              <w:spacing w:before="60" w:after="60"/>
              <w:ind w:right="57"/>
              <w:rPr>
                <w:rFonts w:eastAsia="Arial" w:cs="Arial"/>
                <w:b/>
                <w:sz w:val="21"/>
                <w:szCs w:val="21"/>
              </w:rPr>
            </w:pPr>
            <m:oMath>
              <m:sSub>
                <m:sSubPr>
                  <m:ctrlPr>
                    <w:rPr>
                      <w:rFonts w:ascii="Cambria Math" w:eastAsia="Cambria Math" w:hAnsi="Cambria Math" w:cs="Arial"/>
                      <w:sz w:val="21"/>
                      <w:szCs w:val="21"/>
                    </w:rPr>
                  </m:ctrlPr>
                </m:sSubPr>
                <m:e>
                  <m:r>
                    <w:rPr>
                      <w:rFonts w:ascii="Cambria Math" w:eastAsia="Cambria Math" w:hAnsi="Cambria Math" w:cs="Arial"/>
                      <w:sz w:val="21"/>
                      <w:szCs w:val="21"/>
                    </w:rPr>
                    <m:t>EC</m:t>
                  </m:r>
                </m:e>
                <m:sub>
                  <m:r>
                    <w:rPr>
                      <w:rFonts w:ascii="Cambria Math" w:eastAsia="Cambria Math" w:hAnsi="Cambria Math" w:cs="Arial"/>
                      <w:sz w:val="21"/>
                      <w:szCs w:val="21"/>
                    </w:rPr>
                    <m:t>proj,grid,KPT,y</m:t>
                  </m:r>
                </m:sub>
              </m:sSub>
            </m:oMath>
            <w:r w:rsidR="005B411E" w:rsidRPr="00185609">
              <w:rPr>
                <w:rFonts w:eastAsia="Montserrat" w:cs="Arial"/>
                <w:sz w:val="21"/>
                <w:szCs w:val="21"/>
              </w:rPr>
              <w:t xml:space="preserve"> and </w:t>
            </w:r>
            <m:oMath>
              <m:sSub>
                <m:sSubPr>
                  <m:ctrlPr>
                    <w:rPr>
                      <w:rFonts w:ascii="Cambria Math" w:eastAsia="Cambria Math" w:hAnsi="Cambria Math" w:cs="Arial"/>
                      <w:sz w:val="21"/>
                      <w:szCs w:val="21"/>
                    </w:rPr>
                  </m:ctrlPr>
                </m:sSubPr>
                <m:e>
                  <m:r>
                    <w:rPr>
                      <w:rFonts w:ascii="Cambria Math" w:eastAsia="Cambria Math" w:hAnsi="Cambria Math" w:cs="Arial"/>
                      <w:sz w:val="21"/>
                      <w:szCs w:val="21"/>
                    </w:rPr>
                    <m:t>EC</m:t>
                  </m:r>
                </m:e>
                <m:sub>
                  <m:r>
                    <w:rPr>
                      <w:rFonts w:ascii="Cambria Math" w:eastAsia="Cambria Math" w:hAnsi="Cambria Math" w:cs="Arial"/>
                      <w:sz w:val="21"/>
                      <w:szCs w:val="21"/>
                    </w:rPr>
                    <m:t>proj,offgrid,KPT,y</m:t>
                  </m:r>
                </m:sub>
              </m:sSub>
            </m:oMath>
            <w:r w:rsidR="005B411E" w:rsidRPr="00185609">
              <w:rPr>
                <w:rFonts w:eastAsia="Cambria Math" w:cs="Arial"/>
                <w:sz w:val="21"/>
                <w:szCs w:val="21"/>
                <w:vertAlign w:val="subscript"/>
              </w:rPr>
              <w:t xml:space="preserve">  </w:t>
            </w:r>
          </w:p>
        </w:tc>
      </w:tr>
      <w:tr w:rsidR="005B411E" w14:paraId="1A5E9A53" w14:textId="77777777">
        <w:tc>
          <w:tcPr>
            <w:tcW w:w="2348" w:type="dxa"/>
            <w:shd w:val="clear" w:color="auto" w:fill="E6E6E6"/>
          </w:tcPr>
          <w:p w14:paraId="1054961B"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180F3485" w14:textId="77777777" w:rsidR="005B411E" w:rsidRPr="00185609" w:rsidRDefault="005B411E">
            <w:pPr>
              <w:rPr>
                <w:rFonts w:cs="Arial"/>
                <w:color w:val="000000"/>
                <w:szCs w:val="22"/>
              </w:rPr>
            </w:pPr>
            <w:r w:rsidRPr="00185609">
              <w:rPr>
                <w:rFonts w:cs="Arial"/>
                <w:color w:val="000000"/>
                <w:sz w:val="20"/>
              </w:rPr>
              <w:t xml:space="preserve">Electricity consumption in project KPT in year </w:t>
            </w:r>
            <w:r w:rsidRPr="008D0AF8">
              <w:rPr>
                <w:rFonts w:cs="Arial"/>
                <w:i/>
                <w:color w:val="000000"/>
                <w:sz w:val="20"/>
              </w:rPr>
              <w:t>y</w:t>
            </w:r>
          </w:p>
        </w:tc>
      </w:tr>
      <w:tr w:rsidR="005B411E" w14:paraId="048B4820" w14:textId="77777777">
        <w:tc>
          <w:tcPr>
            <w:tcW w:w="2348" w:type="dxa"/>
            <w:shd w:val="clear" w:color="auto" w:fill="E6E6E6"/>
          </w:tcPr>
          <w:p w14:paraId="3A532AFC"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23A4CE4E" w14:textId="77777777" w:rsidR="005B411E" w:rsidRPr="00185609" w:rsidRDefault="005B411E">
            <w:pPr>
              <w:rPr>
                <w:rFonts w:cs="Arial"/>
                <w:color w:val="000000"/>
                <w:sz w:val="20"/>
              </w:rPr>
            </w:pPr>
            <w:r>
              <w:rPr>
                <w:rFonts w:cs="Arial"/>
                <w:color w:val="000000"/>
                <w:sz w:val="20"/>
              </w:rPr>
              <w:t>kWh/(person*year)</w:t>
            </w:r>
          </w:p>
        </w:tc>
      </w:tr>
      <w:tr w:rsidR="005B411E" w14:paraId="0E6FB365" w14:textId="77777777">
        <w:tc>
          <w:tcPr>
            <w:tcW w:w="2348" w:type="dxa"/>
            <w:shd w:val="clear" w:color="auto" w:fill="E6E6E6"/>
          </w:tcPr>
          <w:p w14:paraId="6E5AB988"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298C824E" w14:textId="20CB8DD1" w:rsidR="005B411E" w:rsidRDefault="005B411E">
            <w:pPr>
              <w:spacing w:before="60" w:after="60"/>
              <w:ind w:right="57"/>
              <w:rPr>
                <w:rFonts w:eastAsia="Arial" w:cs="Arial"/>
                <w:sz w:val="20"/>
              </w:rPr>
            </w:pPr>
            <w:r>
              <w:rPr>
                <w:rFonts w:eastAsia="Arial" w:cs="Arial"/>
                <w:sz w:val="20"/>
              </w:rPr>
              <w:t xml:space="preserve">Eq. </w:t>
            </w:r>
            <w:hyperlink w:anchor="e23" w:history="1">
              <w:r w:rsidRPr="003A1A70">
                <w:rPr>
                  <w:rStyle w:val="Hyperlink"/>
                  <w:rFonts w:eastAsia="Arial" w:cs="Arial"/>
                  <w:sz w:val="20"/>
                </w:rPr>
                <w:t>23</w:t>
              </w:r>
            </w:hyperlink>
            <w:r>
              <w:rPr>
                <w:rFonts w:eastAsia="Arial" w:cs="Arial"/>
                <w:sz w:val="20"/>
              </w:rPr>
              <w:t xml:space="preserve"> and</w:t>
            </w:r>
            <w:r w:rsidRPr="00584530">
              <w:rPr>
                <w:rFonts w:eastAsia="Arial" w:cs="Arial"/>
                <w:sz w:val="20"/>
              </w:rPr>
              <w:t xml:space="preserve"> </w:t>
            </w:r>
            <w:hyperlink w:anchor="e24" w:history="1">
              <w:r w:rsidRPr="003A1A70">
                <w:rPr>
                  <w:rStyle w:val="Hyperlink"/>
                  <w:rFonts w:eastAsia="Arial" w:cs="Arial"/>
                  <w:sz w:val="20"/>
                </w:rPr>
                <w:t>24</w:t>
              </w:r>
            </w:hyperlink>
          </w:p>
        </w:tc>
      </w:tr>
      <w:tr w:rsidR="005B411E" w14:paraId="274A5D63" w14:textId="77777777">
        <w:tc>
          <w:tcPr>
            <w:tcW w:w="2348" w:type="dxa"/>
            <w:vMerge w:val="restart"/>
            <w:shd w:val="clear" w:color="auto" w:fill="E6E6E6"/>
          </w:tcPr>
          <w:p w14:paraId="6E41E0FC"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706125B2"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84604D">
              <w:rPr>
                <w:rFonts w:cs="Arial"/>
                <w:sz w:val="20"/>
              </w:rPr>
              <w:t xml:space="preserve"> Baseline emissions / removals</w:t>
            </w:r>
          </w:p>
        </w:tc>
        <w:tc>
          <w:tcPr>
            <w:tcW w:w="2406" w:type="dxa"/>
            <w:tcBorders>
              <w:left w:val="nil"/>
              <w:bottom w:val="nil"/>
              <w:right w:val="nil"/>
            </w:tcBorders>
          </w:tcPr>
          <w:p w14:paraId="59F00B22"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7EB30EA0">
              <w:rPr>
                <w:rFonts w:eastAsia="Arial" w:cs="Arial"/>
                <w:color w:val="000000" w:themeColor="text1"/>
                <w:sz w:val="20"/>
              </w:rPr>
              <w:t xml:space="preserve"> </w:t>
            </w:r>
            <w:r w:rsidRPr="0084604D">
              <w:rPr>
                <w:rFonts w:cs="Arial"/>
                <w:sz w:val="20"/>
              </w:rPr>
              <w:t>Project emissions / removals</w:t>
            </w:r>
          </w:p>
        </w:tc>
        <w:tc>
          <w:tcPr>
            <w:tcW w:w="2410" w:type="dxa"/>
            <w:tcBorders>
              <w:left w:val="nil"/>
              <w:bottom w:val="nil"/>
            </w:tcBorders>
          </w:tcPr>
          <w:p w14:paraId="68E7FFB9"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84604D">
              <w:rPr>
                <w:rFonts w:cs="Arial"/>
                <w:sz w:val="20"/>
              </w:rPr>
              <w:t xml:space="preserve"> Leakage emissions</w:t>
            </w:r>
          </w:p>
        </w:tc>
      </w:tr>
      <w:tr w:rsidR="005B411E" w14:paraId="743E246F" w14:textId="77777777">
        <w:trPr>
          <w:trHeight w:val="73"/>
        </w:trPr>
        <w:tc>
          <w:tcPr>
            <w:tcW w:w="2348" w:type="dxa"/>
            <w:vMerge/>
          </w:tcPr>
          <w:p w14:paraId="6AED5822"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2E5B00E5" w14:textId="77777777" w:rsidR="005B411E" w:rsidRDefault="005B411E">
            <w:pPr>
              <w:spacing w:before="60" w:after="60"/>
              <w:ind w:right="57"/>
              <w:rPr>
                <w:rFonts w:eastAsia="Arial" w:cs="Arial"/>
                <w:i/>
                <w:sz w:val="20"/>
              </w:rPr>
            </w:pPr>
          </w:p>
        </w:tc>
      </w:tr>
      <w:tr w:rsidR="00C81161" w14:paraId="6AEC08CB" w14:textId="77777777">
        <w:tc>
          <w:tcPr>
            <w:tcW w:w="2348" w:type="dxa"/>
            <w:shd w:val="clear" w:color="auto" w:fill="E6E6E6"/>
          </w:tcPr>
          <w:p w14:paraId="70E9FD6B" w14:textId="7C1A4F13"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vAlign w:val="center"/>
          </w:tcPr>
          <w:p w14:paraId="5BABDA8C" w14:textId="12679138" w:rsidR="00C81161" w:rsidRPr="00185609" w:rsidRDefault="00816E64">
            <w:pPr>
              <w:spacing w:before="60" w:after="60"/>
              <w:ind w:right="57"/>
              <w:rPr>
                <w:rFonts w:eastAsia="Arial" w:cs="Arial"/>
                <w:sz w:val="20"/>
              </w:rPr>
            </w:pPr>
            <w:r>
              <w:rPr>
                <w:rFonts w:eastAsia="Arial" w:cs="Arial"/>
                <w:sz w:val="20"/>
              </w:rPr>
              <w:t xml:space="preserve">Frequency of monitoring: </w:t>
            </w:r>
            <w:r>
              <w:rPr>
                <w:rFonts w:cs="Arial"/>
                <w:color w:val="000000"/>
                <w:sz w:val="20"/>
              </w:rPr>
              <w:t>Every two years during project</w:t>
            </w:r>
          </w:p>
        </w:tc>
      </w:tr>
      <w:tr w:rsidR="005B411E" w14:paraId="626480A7" w14:textId="77777777">
        <w:tc>
          <w:tcPr>
            <w:tcW w:w="2348" w:type="dxa"/>
            <w:shd w:val="clear" w:color="auto" w:fill="E6E6E6"/>
          </w:tcPr>
          <w:p w14:paraId="0F08AEF6"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vAlign w:val="center"/>
          </w:tcPr>
          <w:p w14:paraId="5B2CD7ED" w14:textId="77777777" w:rsidR="005B411E" w:rsidRDefault="005B411E">
            <w:pPr>
              <w:spacing w:before="60" w:after="60"/>
              <w:ind w:right="57"/>
              <w:rPr>
                <w:rFonts w:eastAsia="Arial" w:cs="Arial"/>
                <w:sz w:val="20"/>
              </w:rPr>
            </w:pPr>
            <w:r w:rsidRPr="00185609">
              <w:rPr>
                <w:rFonts w:eastAsia="Arial" w:cs="Arial"/>
                <w:sz w:val="20"/>
              </w:rPr>
              <w:t>A representative sample with built-in or external data loggers, where they conform with industry standards and are calibrated according to manufacturer recommendations and/or relevant national requirements as applicable, shall be used during KPTs.</w:t>
            </w:r>
          </w:p>
        </w:tc>
      </w:tr>
      <w:tr w:rsidR="005B411E" w14:paraId="02235D2D" w14:textId="77777777">
        <w:trPr>
          <w:trHeight w:val="107"/>
        </w:trPr>
        <w:tc>
          <w:tcPr>
            <w:tcW w:w="2348" w:type="dxa"/>
            <w:shd w:val="clear" w:color="auto" w:fill="E6E6E6"/>
          </w:tcPr>
          <w:p w14:paraId="44A8738A"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0D654C0E"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0C413479" w14:textId="77777777">
        <w:trPr>
          <w:trHeight w:val="107"/>
        </w:trPr>
        <w:tc>
          <w:tcPr>
            <w:tcW w:w="2348" w:type="dxa"/>
            <w:vMerge w:val="restart"/>
            <w:shd w:val="clear" w:color="auto" w:fill="E6E6E6"/>
          </w:tcPr>
          <w:p w14:paraId="21BA41A5"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01751690"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03EF3E99" w14:textId="77777777" w:rsidR="005B411E" w:rsidRDefault="005B411E">
            <w:pPr>
              <w:spacing w:before="60" w:after="60"/>
              <w:ind w:right="57"/>
              <w:rPr>
                <w:rFonts w:eastAsia="Arial" w:cs="Arial"/>
                <w:sz w:val="20"/>
              </w:rPr>
            </w:pPr>
            <w:r>
              <w:rPr>
                <w:rFonts w:eastAsia="Arial" w:cs="Arial"/>
                <w:sz w:val="20"/>
              </w:rPr>
              <w:t>B</w:t>
            </w:r>
            <w:r w:rsidRPr="00185609">
              <w:rPr>
                <w:rFonts w:eastAsia="Arial" w:cs="Arial"/>
                <w:sz w:val="20"/>
              </w:rPr>
              <w:t>uilt-in or external data loggers</w:t>
            </w:r>
          </w:p>
        </w:tc>
      </w:tr>
      <w:tr w:rsidR="005B411E" w14:paraId="250542B2" w14:textId="77777777">
        <w:trPr>
          <w:trHeight w:val="104"/>
        </w:trPr>
        <w:tc>
          <w:tcPr>
            <w:tcW w:w="2348" w:type="dxa"/>
            <w:vMerge/>
          </w:tcPr>
          <w:p w14:paraId="3C86D078"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1AF8633E"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460410CC" w14:textId="77777777" w:rsidR="005B411E" w:rsidRDefault="005B411E">
            <w:pPr>
              <w:spacing w:before="60" w:after="60"/>
              <w:ind w:right="57"/>
              <w:rPr>
                <w:rFonts w:eastAsia="Arial" w:cs="Arial"/>
                <w:sz w:val="20"/>
              </w:rPr>
            </w:pPr>
            <w:r>
              <w:rPr>
                <w:rFonts w:eastAsia="Arial" w:cs="Arial"/>
                <w:sz w:val="20"/>
              </w:rPr>
              <w:t>-</w:t>
            </w:r>
          </w:p>
        </w:tc>
      </w:tr>
      <w:tr w:rsidR="005B411E" w14:paraId="0924BC4D" w14:textId="77777777">
        <w:trPr>
          <w:trHeight w:val="104"/>
        </w:trPr>
        <w:tc>
          <w:tcPr>
            <w:tcW w:w="2348" w:type="dxa"/>
            <w:vMerge/>
          </w:tcPr>
          <w:p w14:paraId="55DC5F4F"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02413FD5"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1C3A7199" w14:textId="77777777" w:rsidR="005B411E" w:rsidRDefault="005B411E">
            <w:pPr>
              <w:tabs>
                <w:tab w:val="left" w:pos="567"/>
              </w:tabs>
              <w:spacing w:before="20" w:after="20"/>
              <w:ind w:right="161"/>
              <w:rPr>
                <w:rFonts w:ascii="Calibri" w:eastAsia="Calibri" w:hAnsi="Calibri" w:cs="Calibri"/>
                <w:i/>
                <w:szCs w:val="22"/>
              </w:rPr>
            </w:pPr>
            <w:r>
              <w:rPr>
                <w:rFonts w:eastAsia="Arial" w:cs="Arial"/>
                <w:sz w:val="20"/>
              </w:rPr>
              <w:t>C</w:t>
            </w:r>
            <w:r w:rsidRPr="00185609">
              <w:rPr>
                <w:rFonts w:eastAsia="Arial" w:cs="Arial"/>
                <w:sz w:val="20"/>
              </w:rPr>
              <w:t>alibrated according to manufacturer recommendations and/or relevant national requirements as applicable</w:t>
            </w:r>
          </w:p>
        </w:tc>
      </w:tr>
      <w:tr w:rsidR="005B411E" w14:paraId="6A92784D" w14:textId="77777777">
        <w:trPr>
          <w:trHeight w:val="104"/>
        </w:trPr>
        <w:tc>
          <w:tcPr>
            <w:tcW w:w="2348" w:type="dxa"/>
            <w:vMerge/>
          </w:tcPr>
          <w:p w14:paraId="6158858D"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1C08592D"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0751DCDB" w14:textId="77777777" w:rsidR="005B411E" w:rsidRDefault="005B411E">
            <w:pPr>
              <w:spacing w:before="60" w:after="60"/>
              <w:ind w:right="57"/>
              <w:rPr>
                <w:rFonts w:eastAsia="Arial" w:cs="Arial"/>
                <w:sz w:val="20"/>
              </w:rPr>
            </w:pPr>
            <w:r>
              <w:rPr>
                <w:rFonts w:eastAsia="Arial" w:cs="Arial"/>
                <w:sz w:val="20"/>
              </w:rPr>
              <w:t>During KPTs in project households</w:t>
            </w:r>
          </w:p>
        </w:tc>
      </w:tr>
      <w:tr w:rsidR="005B411E" w14:paraId="06C79B00" w14:textId="77777777">
        <w:tc>
          <w:tcPr>
            <w:tcW w:w="2348" w:type="dxa"/>
            <w:shd w:val="clear" w:color="auto" w:fill="E6E6E6"/>
          </w:tcPr>
          <w:p w14:paraId="0DEED0EB"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1DD17022" w14:textId="00FF2D96" w:rsidR="005B411E" w:rsidRPr="008569FE" w:rsidRDefault="000767E3">
            <w:pPr>
              <w:tabs>
                <w:tab w:val="left" w:pos="567"/>
              </w:tabs>
              <w:spacing w:before="20" w:after="20"/>
              <w:ind w:right="159"/>
              <w:rPr>
                <w:rFonts w:eastAsia="Calibri" w:cs="Arial"/>
                <w:i/>
                <w:sz w:val="20"/>
              </w:rPr>
            </w:pPr>
            <w:r>
              <w:rPr>
                <w:rFonts w:cs="Arial"/>
                <w:color w:val="000000"/>
                <w:sz w:val="20"/>
              </w:rPr>
              <w:t>See Calibration requirements</w:t>
            </w:r>
            <w:r w:rsidRPr="000767E3" w:rsidDel="00F36B88">
              <w:rPr>
                <w:rFonts w:eastAsia="Arial" w:cs="Arial"/>
                <w:sz w:val="20"/>
              </w:rPr>
              <w:t xml:space="preserve"> </w:t>
            </w:r>
          </w:p>
        </w:tc>
      </w:tr>
      <w:tr w:rsidR="00712587" w14:paraId="3D291CCB" w14:textId="77777777">
        <w:tc>
          <w:tcPr>
            <w:tcW w:w="2348" w:type="dxa"/>
            <w:shd w:val="clear" w:color="auto" w:fill="E6E6E6"/>
          </w:tcPr>
          <w:p w14:paraId="239EC3A7" w14:textId="4E1D6BE6"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1CC498DD" w14:textId="690C6912" w:rsidR="00712587" w:rsidRPr="00BF24D4" w:rsidRDefault="00F36B88" w:rsidP="00BF24D4">
            <w:pPr>
              <w:tabs>
                <w:tab w:val="left" w:pos="567"/>
              </w:tabs>
              <w:spacing w:before="20" w:after="20"/>
              <w:ind w:right="159"/>
              <w:rPr>
                <w:rFonts w:cs="Arial"/>
                <w:i/>
                <w:iCs/>
                <w:color w:val="4F81BD" w:themeColor="accent1"/>
                <w:sz w:val="20"/>
              </w:rPr>
            </w:pPr>
            <w:r w:rsidRPr="00185609">
              <w:rPr>
                <w:rFonts w:eastAsia="Arial" w:cs="Arial"/>
                <w:sz w:val="20"/>
              </w:rPr>
              <w:t xml:space="preserve">The </w:t>
            </w:r>
            <w:r w:rsidR="17FB9C31" w:rsidRPr="7D956FC6">
              <w:rPr>
                <w:rFonts w:eastAsia="Arial" w:cs="Arial"/>
                <w:sz w:val="20"/>
              </w:rPr>
              <w:t>monitoring</w:t>
            </w:r>
            <w:r w:rsidRPr="00185609">
              <w:rPr>
                <w:rFonts w:eastAsia="Arial" w:cs="Arial"/>
                <w:sz w:val="20"/>
              </w:rPr>
              <w:t xml:space="preserve"> must meet the minimum confidence and precision of 95/10 for the target parameter of average annual energy consumption per person. The 95/10 rule is applied to the sum of energy consumption across fuels</w:t>
            </w:r>
            <w:r>
              <w:rPr>
                <w:rFonts w:eastAsia="Arial" w:cs="Arial"/>
                <w:sz w:val="20"/>
              </w:rPr>
              <w:t>.</w:t>
            </w:r>
            <w:r w:rsidRPr="00185609">
              <w:rPr>
                <w:rFonts w:eastAsia="Arial" w:cs="Arial"/>
                <w:sz w:val="20"/>
              </w:rPr>
              <w:t xml:space="preserve"> If the target precision is not met, the project proponent shall take the conservative bound</w:t>
            </w:r>
            <w:r>
              <w:rPr>
                <w:rFonts w:eastAsia="Arial" w:cs="Arial"/>
                <w:sz w:val="20"/>
              </w:rPr>
              <w:t>s</w:t>
            </w:r>
            <w:r w:rsidRPr="00185609">
              <w:rPr>
                <w:rFonts w:eastAsia="Arial" w:cs="Arial"/>
                <w:sz w:val="20"/>
              </w:rPr>
              <w:t xml:space="preserve"> of the confidence interval</w:t>
            </w:r>
            <w:r>
              <w:rPr>
                <w:rFonts w:eastAsia="Arial" w:cs="Arial"/>
                <w:sz w:val="20"/>
              </w:rPr>
              <w:t>s</w:t>
            </w:r>
            <w:r w:rsidRPr="00185609">
              <w:rPr>
                <w:rFonts w:eastAsia="Arial" w:cs="Arial"/>
                <w:sz w:val="20"/>
              </w:rPr>
              <w:t xml:space="preserve"> as the parameter value, proportionately applied across all the fuels used. The conservative bound</w:t>
            </w:r>
            <w:r>
              <w:rPr>
                <w:rFonts w:eastAsia="Arial" w:cs="Arial"/>
                <w:sz w:val="20"/>
              </w:rPr>
              <w:t>s</w:t>
            </w:r>
            <w:r w:rsidRPr="00185609">
              <w:rPr>
                <w:rFonts w:eastAsia="Arial" w:cs="Arial"/>
                <w:sz w:val="20"/>
              </w:rPr>
              <w:t xml:space="preserve"> </w:t>
            </w:r>
            <w:r>
              <w:rPr>
                <w:rFonts w:eastAsia="Arial" w:cs="Arial"/>
                <w:sz w:val="20"/>
              </w:rPr>
              <w:t>are</w:t>
            </w:r>
            <w:r w:rsidRPr="00185609">
              <w:rPr>
                <w:rFonts w:eastAsia="Arial" w:cs="Arial"/>
                <w:sz w:val="20"/>
              </w:rPr>
              <w:t xml:space="preserve"> th</w:t>
            </w:r>
            <w:r>
              <w:rPr>
                <w:rFonts w:eastAsia="Arial" w:cs="Arial"/>
                <w:sz w:val="20"/>
              </w:rPr>
              <w:t>ose</w:t>
            </w:r>
            <w:r w:rsidRPr="00185609">
              <w:rPr>
                <w:rFonts w:eastAsia="Arial" w:cs="Arial"/>
                <w:sz w:val="20"/>
              </w:rPr>
              <w:t xml:space="preserve"> </w:t>
            </w:r>
            <w:r>
              <w:rPr>
                <w:rFonts w:eastAsia="Arial" w:cs="Arial"/>
                <w:sz w:val="20"/>
              </w:rPr>
              <w:t>that</w:t>
            </w:r>
            <w:r w:rsidRPr="00185609">
              <w:rPr>
                <w:rFonts w:eastAsia="Arial" w:cs="Arial"/>
                <w:sz w:val="20"/>
              </w:rPr>
              <w:t xml:space="preserve"> produce a lower CO</w:t>
            </w:r>
            <w:r w:rsidRPr="00E340E3">
              <w:rPr>
                <w:rFonts w:eastAsia="Arial" w:cs="Arial"/>
                <w:sz w:val="20"/>
                <w:vertAlign w:val="subscript"/>
              </w:rPr>
              <w:t>2</w:t>
            </w:r>
            <w:r w:rsidRPr="00185609">
              <w:rPr>
                <w:rFonts w:eastAsia="Arial" w:cs="Arial"/>
                <w:sz w:val="20"/>
              </w:rPr>
              <w:t>e emissions reduction estimate.</w:t>
            </w:r>
          </w:p>
        </w:tc>
      </w:tr>
      <w:tr w:rsidR="005B411E" w14:paraId="2C8E9B18" w14:textId="77777777">
        <w:tc>
          <w:tcPr>
            <w:tcW w:w="2348" w:type="dxa"/>
            <w:shd w:val="clear" w:color="auto" w:fill="E6E6E6"/>
          </w:tcPr>
          <w:p w14:paraId="32920FE4"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28785CD8" w14:textId="77777777" w:rsidR="005B411E" w:rsidRDefault="005B411E">
            <w:pPr>
              <w:spacing w:before="60" w:after="60"/>
              <w:ind w:right="57"/>
              <w:rPr>
                <w:rFonts w:eastAsia="Arial" w:cs="Arial"/>
                <w:sz w:val="20"/>
              </w:rPr>
            </w:pPr>
            <w:r>
              <w:rPr>
                <w:rFonts w:eastAsia="Arial" w:cs="Arial"/>
                <w:sz w:val="20"/>
              </w:rPr>
              <w:t>-</w:t>
            </w:r>
          </w:p>
        </w:tc>
      </w:tr>
    </w:tbl>
    <w:p w14:paraId="75E0AC46"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4F02818C" w14:textId="77777777">
        <w:tc>
          <w:tcPr>
            <w:tcW w:w="2348" w:type="dxa"/>
            <w:shd w:val="clear" w:color="auto" w:fill="E6E6E6"/>
          </w:tcPr>
          <w:p w14:paraId="473E0159"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30C6A05B" w14:textId="77777777" w:rsidR="005B411E" w:rsidRPr="005D12CD"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FC</m:t>
                    </m:r>
                  </m:e>
                  <m:sub>
                    <m:r>
                      <w:rPr>
                        <w:rFonts w:ascii="Cambria Math" w:eastAsia="Cambria Math" w:hAnsi="Cambria Math" w:cs="Cambria Math"/>
                      </w:rPr>
                      <m:t xml:space="preserve">x </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FC</m:t>
                    </m:r>
                  </m:e>
                  <m:sub>
                    <m:r>
                      <w:rPr>
                        <w:rFonts w:ascii="Cambria Math" w:eastAsia="Cambria Math" w:hAnsi="Cambria Math" w:cs="Cambria Math"/>
                      </w:rPr>
                      <m:t>i,h,y</m:t>
                    </m:r>
                  </m:sub>
                </m:sSub>
                <m:r>
                  <w:rPr>
                    <w:rFonts w:ascii="Cambria Math" w:eastAsia="Cambria Math" w:hAnsi="Cambria Math" w:cs="Cambria Math"/>
                  </w:rPr>
                  <m:t xml:space="preserve"> or </m:t>
                </m:r>
                <m:sSub>
                  <m:sSubPr>
                    <m:ctrlPr>
                      <w:rPr>
                        <w:rFonts w:ascii="Cambria Math" w:eastAsia="Cambria Math" w:hAnsi="Cambria Math" w:cs="Cambria Math"/>
                      </w:rPr>
                    </m:ctrlPr>
                  </m:sSubPr>
                  <m:e>
                    <m:r>
                      <w:rPr>
                        <w:rFonts w:ascii="Cambria Math" w:eastAsia="Cambria Math" w:hAnsi="Cambria Math" w:cs="Cambria Math"/>
                      </w:rPr>
                      <m:t>FC</m:t>
                    </m:r>
                  </m:e>
                  <m:sub>
                    <m:r>
                      <w:rPr>
                        <w:rFonts w:ascii="Cambria Math" w:eastAsia="Cambria Math" w:hAnsi="Cambria Math" w:cs="Cambria Math"/>
                      </w:rPr>
                      <m:t>j,h,y</m:t>
                    </m:r>
                  </m:sub>
                </m:sSub>
                <m:r>
                  <w:rPr>
                    <w:rFonts w:ascii="Cambria Math" w:eastAsia="Cambria Math" w:hAnsi="Cambria Math" w:cs="Cambria Math"/>
                  </w:rPr>
                  <m:t>)</m:t>
                </m:r>
              </m:oMath>
            </m:oMathPara>
          </w:p>
        </w:tc>
      </w:tr>
      <w:tr w:rsidR="005B411E" w14:paraId="5191A215" w14:textId="77777777">
        <w:tc>
          <w:tcPr>
            <w:tcW w:w="2348" w:type="dxa"/>
            <w:shd w:val="clear" w:color="auto" w:fill="E6E6E6"/>
          </w:tcPr>
          <w:p w14:paraId="2E30C46F"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1FEC915F" w14:textId="77777777" w:rsidR="005B411E" w:rsidRPr="005D12CD" w:rsidRDefault="005B411E">
            <w:pPr>
              <w:rPr>
                <w:rFonts w:cs="Arial"/>
                <w:color w:val="000000"/>
                <w:sz w:val="20"/>
              </w:rPr>
            </w:pPr>
            <w:r w:rsidRPr="3A137725">
              <w:rPr>
                <w:rFonts w:cs="Arial"/>
                <w:color w:val="000000" w:themeColor="text1"/>
                <w:sz w:val="20"/>
              </w:rPr>
              <w:t xml:space="preserve">Fuel consumption for the respective fuel and scenario </w:t>
            </w:r>
            <w:r w:rsidRPr="00E05059">
              <w:rPr>
                <w:rFonts w:cs="Arial"/>
                <w:i/>
                <w:iCs/>
                <w:color w:val="000000" w:themeColor="text1"/>
                <w:sz w:val="20"/>
              </w:rPr>
              <w:t>x</w:t>
            </w:r>
            <w:r w:rsidRPr="3A137725">
              <w:rPr>
                <w:rFonts w:cs="Arial"/>
                <w:color w:val="000000" w:themeColor="text1"/>
                <w:sz w:val="20"/>
              </w:rPr>
              <w:t xml:space="preserve"> (also Fuel consumption for fuel</w:t>
            </w:r>
            <w:r w:rsidRPr="00B576A5">
              <w:rPr>
                <w:rFonts w:cs="Arial"/>
                <w:i/>
                <w:color w:val="000000" w:themeColor="text1"/>
                <w:sz w:val="20"/>
              </w:rPr>
              <w:t xml:space="preserve"> j</w:t>
            </w:r>
            <w:r>
              <w:rPr>
                <w:rFonts w:cs="Arial"/>
                <w:i/>
                <w:color w:val="000000" w:themeColor="text1"/>
                <w:sz w:val="20"/>
              </w:rPr>
              <w:t xml:space="preserve"> or </w:t>
            </w:r>
            <w:proofErr w:type="spellStart"/>
            <w:r>
              <w:rPr>
                <w:rFonts w:cs="Arial"/>
                <w:i/>
                <w:color w:val="000000" w:themeColor="text1"/>
                <w:sz w:val="20"/>
              </w:rPr>
              <w:t>i</w:t>
            </w:r>
            <w:proofErr w:type="spellEnd"/>
            <w:r w:rsidRPr="3A137725">
              <w:rPr>
                <w:rFonts w:cs="Arial"/>
                <w:color w:val="000000" w:themeColor="text1"/>
                <w:sz w:val="20"/>
              </w:rPr>
              <w:t xml:space="preserve"> in household </w:t>
            </w:r>
            <w:r w:rsidRPr="00B576A5">
              <w:rPr>
                <w:rFonts w:cs="Arial"/>
                <w:i/>
                <w:color w:val="000000" w:themeColor="text1"/>
                <w:sz w:val="20"/>
              </w:rPr>
              <w:t>h</w:t>
            </w:r>
            <w:r w:rsidRPr="3A137725">
              <w:rPr>
                <w:rFonts w:cs="Arial"/>
                <w:color w:val="000000" w:themeColor="text1"/>
                <w:sz w:val="20"/>
              </w:rPr>
              <w:t xml:space="preserve"> in year </w:t>
            </w:r>
            <w:r w:rsidRPr="00B576A5">
              <w:rPr>
                <w:rFonts w:cs="Arial"/>
                <w:i/>
                <w:color w:val="000000" w:themeColor="text1"/>
                <w:sz w:val="20"/>
              </w:rPr>
              <w:t>y</w:t>
            </w:r>
            <w:r w:rsidRPr="3A137725">
              <w:rPr>
                <w:rFonts w:cs="Arial"/>
                <w:color w:val="000000" w:themeColor="text1"/>
                <w:sz w:val="20"/>
              </w:rPr>
              <w:t>)</w:t>
            </w:r>
          </w:p>
        </w:tc>
      </w:tr>
      <w:tr w:rsidR="005B411E" w14:paraId="51774254" w14:textId="77777777">
        <w:tc>
          <w:tcPr>
            <w:tcW w:w="2348" w:type="dxa"/>
            <w:shd w:val="clear" w:color="auto" w:fill="E6E6E6"/>
          </w:tcPr>
          <w:p w14:paraId="5B03DEC9" w14:textId="77777777" w:rsidR="005B411E" w:rsidRDefault="005B411E">
            <w:pPr>
              <w:spacing w:before="60" w:after="60"/>
              <w:ind w:right="57"/>
              <w:rPr>
                <w:rFonts w:eastAsia="Arial" w:cs="Arial"/>
                <w:sz w:val="20"/>
              </w:rPr>
            </w:pPr>
            <w:r>
              <w:rPr>
                <w:rFonts w:eastAsia="Arial" w:cs="Arial"/>
                <w:sz w:val="20"/>
              </w:rPr>
              <w:lastRenderedPageBreak/>
              <w:t>Data unit</w:t>
            </w:r>
          </w:p>
        </w:tc>
        <w:tc>
          <w:tcPr>
            <w:tcW w:w="7224" w:type="dxa"/>
            <w:gridSpan w:val="4"/>
          </w:tcPr>
          <w:p w14:paraId="3E86B915" w14:textId="77777777" w:rsidR="005B411E" w:rsidRPr="005D12CD" w:rsidRDefault="005B411E">
            <w:pPr>
              <w:rPr>
                <w:rFonts w:cs="Arial"/>
                <w:color w:val="000000"/>
                <w:sz w:val="20"/>
              </w:rPr>
            </w:pPr>
            <w:r>
              <w:rPr>
                <w:rFonts w:cs="Arial"/>
                <w:color w:val="000000"/>
                <w:sz w:val="20"/>
              </w:rPr>
              <w:t>Tonnes</w:t>
            </w:r>
          </w:p>
        </w:tc>
      </w:tr>
      <w:tr w:rsidR="005B411E" w14:paraId="4F8CF774" w14:textId="77777777">
        <w:tc>
          <w:tcPr>
            <w:tcW w:w="2348" w:type="dxa"/>
            <w:shd w:val="clear" w:color="auto" w:fill="E6E6E6"/>
          </w:tcPr>
          <w:p w14:paraId="67387957"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7C93DCDD" w14:textId="297E3C49" w:rsidR="005B411E" w:rsidRDefault="005B411E">
            <w:pPr>
              <w:spacing w:before="60" w:after="60"/>
              <w:ind w:right="57"/>
              <w:rPr>
                <w:rFonts w:eastAsia="Arial" w:cs="Arial"/>
                <w:sz w:val="20"/>
              </w:rPr>
            </w:pPr>
            <w:hyperlink w:anchor="e1" w:history="1">
              <w:r w:rsidRPr="003A1A70">
                <w:rPr>
                  <w:rStyle w:val="Hyperlink"/>
                  <w:rFonts w:eastAsia="Arial" w:cs="Arial"/>
                  <w:sz w:val="20"/>
                </w:rPr>
                <w:t>Eq. 1</w:t>
              </w:r>
            </w:hyperlink>
          </w:p>
        </w:tc>
      </w:tr>
      <w:tr w:rsidR="005B411E" w14:paraId="25C2EBDD" w14:textId="77777777">
        <w:tc>
          <w:tcPr>
            <w:tcW w:w="2348" w:type="dxa"/>
            <w:vMerge w:val="restart"/>
            <w:shd w:val="clear" w:color="auto" w:fill="E6E6E6"/>
          </w:tcPr>
          <w:p w14:paraId="6DFE1001"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46B8E1A9"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B576A5">
              <w:rPr>
                <w:rFonts w:cs="Arial"/>
                <w:sz w:val="20"/>
              </w:rPr>
              <w:t xml:space="preserve"> Baseline emissions / removals</w:t>
            </w:r>
          </w:p>
        </w:tc>
        <w:tc>
          <w:tcPr>
            <w:tcW w:w="2406" w:type="dxa"/>
            <w:tcBorders>
              <w:left w:val="nil"/>
              <w:bottom w:val="nil"/>
              <w:right w:val="nil"/>
            </w:tcBorders>
          </w:tcPr>
          <w:p w14:paraId="3DB5EE6E"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B576A5" w:rsidDel="008908F1">
              <w:rPr>
                <w:rFonts w:cs="Arial"/>
                <w:sz w:val="20"/>
                <w:shd w:val="clear" w:color="auto" w:fill="E6E6E6"/>
              </w:rPr>
              <w:t xml:space="preserve"> </w:t>
            </w:r>
            <w:r w:rsidRPr="00B576A5">
              <w:rPr>
                <w:rFonts w:cs="Arial"/>
                <w:sz w:val="20"/>
              </w:rPr>
              <w:t>Project emissions / removals</w:t>
            </w:r>
          </w:p>
        </w:tc>
        <w:tc>
          <w:tcPr>
            <w:tcW w:w="2410" w:type="dxa"/>
            <w:tcBorders>
              <w:left w:val="nil"/>
              <w:bottom w:val="nil"/>
            </w:tcBorders>
          </w:tcPr>
          <w:p w14:paraId="0788CA3B"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B576A5">
              <w:rPr>
                <w:rFonts w:cs="Arial"/>
                <w:sz w:val="20"/>
              </w:rPr>
              <w:t xml:space="preserve"> Leakage emissions</w:t>
            </w:r>
          </w:p>
        </w:tc>
      </w:tr>
      <w:tr w:rsidR="005B411E" w14:paraId="5DF08150" w14:textId="77777777">
        <w:tc>
          <w:tcPr>
            <w:tcW w:w="2348" w:type="dxa"/>
            <w:vMerge/>
          </w:tcPr>
          <w:p w14:paraId="41DF3A21"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2BC5CA59" w14:textId="77777777" w:rsidR="005B411E" w:rsidRDefault="005B411E">
            <w:pPr>
              <w:spacing w:before="60" w:after="60"/>
              <w:ind w:right="57"/>
              <w:rPr>
                <w:rFonts w:eastAsia="Arial" w:cs="Arial"/>
                <w:i/>
                <w:sz w:val="20"/>
              </w:rPr>
            </w:pPr>
          </w:p>
        </w:tc>
      </w:tr>
      <w:tr w:rsidR="00C81161" w14:paraId="48F516FE" w14:textId="77777777">
        <w:tc>
          <w:tcPr>
            <w:tcW w:w="2348" w:type="dxa"/>
            <w:shd w:val="clear" w:color="auto" w:fill="E6E6E6"/>
          </w:tcPr>
          <w:p w14:paraId="244F2607" w14:textId="7D7FDCCB"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vAlign w:val="center"/>
          </w:tcPr>
          <w:p w14:paraId="0B72AA1F" w14:textId="330072D4" w:rsidR="00C81161" w:rsidRDefault="00816E64">
            <w:pPr>
              <w:spacing w:before="60" w:after="60"/>
              <w:ind w:right="57"/>
              <w:rPr>
                <w:rFonts w:eastAsia="Arial" w:cs="Arial"/>
                <w:sz w:val="20"/>
              </w:rPr>
            </w:pPr>
            <w:r>
              <w:rPr>
                <w:rFonts w:eastAsia="Arial" w:cs="Arial"/>
                <w:sz w:val="20"/>
              </w:rPr>
              <w:t>Frequency of monitoring: at baseline and every two years for project KPTs</w:t>
            </w:r>
          </w:p>
        </w:tc>
      </w:tr>
      <w:tr w:rsidR="005B411E" w14:paraId="4243F8D6" w14:textId="77777777">
        <w:tc>
          <w:tcPr>
            <w:tcW w:w="2348" w:type="dxa"/>
            <w:shd w:val="clear" w:color="auto" w:fill="E6E6E6"/>
          </w:tcPr>
          <w:p w14:paraId="6E9DB0C1"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vAlign w:val="center"/>
          </w:tcPr>
          <w:p w14:paraId="3292BC06" w14:textId="77777777" w:rsidR="005B411E" w:rsidRDefault="005B411E">
            <w:pPr>
              <w:spacing w:before="60" w:after="60"/>
              <w:ind w:right="57"/>
              <w:rPr>
                <w:rFonts w:eastAsia="Arial" w:cs="Arial"/>
                <w:sz w:val="20"/>
              </w:rPr>
            </w:pPr>
            <w:r>
              <w:rPr>
                <w:rFonts w:eastAsia="Arial" w:cs="Arial"/>
                <w:sz w:val="20"/>
              </w:rPr>
              <w:t xml:space="preserve">KPT </w:t>
            </w:r>
          </w:p>
        </w:tc>
      </w:tr>
      <w:tr w:rsidR="005B411E" w14:paraId="22B42BCB" w14:textId="77777777">
        <w:trPr>
          <w:trHeight w:val="107"/>
        </w:trPr>
        <w:tc>
          <w:tcPr>
            <w:tcW w:w="2348" w:type="dxa"/>
            <w:shd w:val="clear" w:color="auto" w:fill="E6E6E6"/>
          </w:tcPr>
          <w:p w14:paraId="44AE0E99"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6472C9CA"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0913883F" w14:textId="77777777">
        <w:trPr>
          <w:trHeight w:val="107"/>
        </w:trPr>
        <w:tc>
          <w:tcPr>
            <w:tcW w:w="2348" w:type="dxa"/>
            <w:vMerge w:val="restart"/>
            <w:shd w:val="clear" w:color="auto" w:fill="E6E6E6"/>
          </w:tcPr>
          <w:p w14:paraId="7500C350"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3951D996"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14151D58" w14:textId="77777777" w:rsidR="005B411E" w:rsidRPr="005D12CD" w:rsidRDefault="005B411E">
            <w:pPr>
              <w:spacing w:before="60" w:after="60"/>
              <w:ind w:right="57"/>
              <w:rPr>
                <w:rFonts w:eastAsia="Arial" w:cs="Arial"/>
                <w:sz w:val="20"/>
              </w:rPr>
            </w:pPr>
            <w:r>
              <w:rPr>
                <w:rFonts w:eastAsia="Arial" w:cs="Arial"/>
                <w:sz w:val="20"/>
              </w:rPr>
              <w:t>Weighing scale</w:t>
            </w:r>
          </w:p>
        </w:tc>
      </w:tr>
      <w:tr w:rsidR="005B411E" w14:paraId="6C29D3AA" w14:textId="77777777">
        <w:trPr>
          <w:trHeight w:val="104"/>
        </w:trPr>
        <w:tc>
          <w:tcPr>
            <w:tcW w:w="2348" w:type="dxa"/>
            <w:vMerge/>
          </w:tcPr>
          <w:p w14:paraId="4D5E931B"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403E51D1"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31D5A50E" w14:textId="77777777" w:rsidR="005B411E" w:rsidRDefault="005B411E">
            <w:pPr>
              <w:rPr>
                <w:rFonts w:eastAsia="Arial" w:cs="Arial"/>
                <w:sz w:val="20"/>
              </w:rPr>
            </w:pPr>
            <w:r w:rsidRPr="00584530">
              <w:rPr>
                <w:rFonts w:eastAsia="Arial" w:cs="Arial"/>
                <w:color w:val="000000" w:themeColor="text1"/>
                <w:sz w:val="20"/>
              </w:rPr>
              <w:t xml:space="preserve">Scales </w:t>
            </w:r>
            <w:r>
              <w:rPr>
                <w:rFonts w:eastAsia="Arial" w:cs="Arial"/>
                <w:color w:val="000000" w:themeColor="text1"/>
                <w:sz w:val="20"/>
              </w:rPr>
              <w:t xml:space="preserve">must </w:t>
            </w:r>
            <w:r w:rsidRPr="00584530">
              <w:rPr>
                <w:rFonts w:eastAsia="Arial" w:cs="Arial"/>
                <w:color w:val="000000" w:themeColor="text1"/>
                <w:sz w:val="20"/>
              </w:rPr>
              <w:t>have the capacity to weigh the respective solid fuels encountered during KPT. They will have a minimum resolution of 10</w:t>
            </w:r>
            <w:r>
              <w:rPr>
                <w:rFonts w:eastAsia="Arial" w:cs="Arial"/>
                <w:color w:val="000000" w:themeColor="text1"/>
                <w:sz w:val="20"/>
              </w:rPr>
              <w:t xml:space="preserve"> </w:t>
            </w:r>
            <w:r w:rsidRPr="00584530">
              <w:rPr>
                <w:rFonts w:eastAsia="Arial" w:cs="Arial"/>
                <w:color w:val="000000" w:themeColor="text1"/>
                <w:sz w:val="20"/>
              </w:rPr>
              <w:t xml:space="preserve">g or 2% of the expected difference between daily </w:t>
            </w:r>
            <w:proofErr w:type="spellStart"/>
            <w:r w:rsidRPr="00584530">
              <w:rPr>
                <w:rFonts w:eastAsia="Arial" w:cs="Arial"/>
                <w:color w:val="000000" w:themeColor="text1"/>
                <w:sz w:val="20"/>
              </w:rPr>
              <w:t>weighings</w:t>
            </w:r>
            <w:proofErr w:type="spellEnd"/>
            <w:r w:rsidRPr="00584530">
              <w:rPr>
                <w:rFonts w:eastAsia="Arial" w:cs="Arial"/>
                <w:color w:val="000000" w:themeColor="text1"/>
                <w:sz w:val="20"/>
              </w:rPr>
              <w:t xml:space="preserve"> for the primary fuel type. </w:t>
            </w:r>
            <w:r w:rsidRPr="00584530">
              <w:rPr>
                <w:sz w:val="20"/>
              </w:rPr>
              <w:br/>
            </w:r>
            <w:r w:rsidRPr="00584530">
              <w:rPr>
                <w:rFonts w:eastAsia="Arial" w:cs="Arial"/>
                <w:color w:val="000000" w:themeColor="text1"/>
                <w:sz w:val="20"/>
              </w:rPr>
              <w:t xml:space="preserve">  </w:t>
            </w:r>
            <w:r w:rsidRPr="00584530">
              <w:rPr>
                <w:sz w:val="20"/>
              </w:rPr>
              <w:br/>
            </w:r>
            <w:r w:rsidRPr="00584530">
              <w:rPr>
                <w:rFonts w:eastAsia="Arial" w:cs="Arial"/>
                <w:color w:val="000000" w:themeColor="text1"/>
                <w:sz w:val="20"/>
              </w:rPr>
              <w:t xml:space="preserve">Scales </w:t>
            </w:r>
            <w:r>
              <w:rPr>
                <w:rFonts w:eastAsia="Arial" w:cs="Arial"/>
                <w:color w:val="000000" w:themeColor="text1"/>
                <w:sz w:val="20"/>
              </w:rPr>
              <w:t xml:space="preserve">must </w:t>
            </w:r>
            <w:r w:rsidRPr="00584530">
              <w:rPr>
                <w:rFonts w:eastAsia="Arial" w:cs="Arial"/>
                <w:color w:val="000000" w:themeColor="text1"/>
                <w:sz w:val="20"/>
              </w:rPr>
              <w:t xml:space="preserve">remain stable at a zero reading after </w:t>
            </w:r>
            <w:proofErr w:type="spellStart"/>
            <w:r w:rsidRPr="00584530">
              <w:rPr>
                <w:rFonts w:eastAsia="Arial" w:cs="Arial"/>
                <w:color w:val="000000" w:themeColor="text1"/>
                <w:sz w:val="20"/>
              </w:rPr>
              <w:t>taring</w:t>
            </w:r>
            <w:proofErr w:type="spellEnd"/>
            <w:r w:rsidRPr="00584530">
              <w:rPr>
                <w:rFonts w:eastAsia="Arial" w:cs="Arial"/>
                <w:color w:val="000000" w:themeColor="text1"/>
                <w:sz w:val="20"/>
              </w:rPr>
              <w:t xml:space="preserve">. </w:t>
            </w:r>
          </w:p>
        </w:tc>
      </w:tr>
      <w:tr w:rsidR="005B411E" w14:paraId="454B9901" w14:textId="77777777">
        <w:trPr>
          <w:trHeight w:val="104"/>
        </w:trPr>
        <w:tc>
          <w:tcPr>
            <w:tcW w:w="2348" w:type="dxa"/>
            <w:vMerge/>
          </w:tcPr>
          <w:p w14:paraId="1BAA08D6"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6521B8C1"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59B9BB19" w14:textId="53887F9A" w:rsidR="005B411E" w:rsidRPr="00584530" w:rsidRDefault="005B411E">
            <w:pPr>
              <w:tabs>
                <w:tab w:val="left" w:pos="567"/>
              </w:tabs>
              <w:spacing w:before="20" w:after="20"/>
              <w:ind w:right="161"/>
              <w:rPr>
                <w:rFonts w:eastAsia="Calibri" w:cs="Arial"/>
                <w:i/>
                <w:sz w:val="20"/>
              </w:rPr>
            </w:pPr>
            <w:r w:rsidRPr="00584530">
              <w:rPr>
                <w:rFonts w:eastAsia="Arial" w:cs="Arial"/>
                <w:color w:val="000000" w:themeColor="text1"/>
                <w:sz w:val="20"/>
              </w:rPr>
              <w:t xml:space="preserve">Scales </w:t>
            </w:r>
            <w:r>
              <w:rPr>
                <w:rFonts w:eastAsia="Arial" w:cs="Arial"/>
                <w:color w:val="000000" w:themeColor="text1"/>
                <w:sz w:val="20"/>
              </w:rPr>
              <w:t xml:space="preserve">must be </w:t>
            </w:r>
            <w:r w:rsidRPr="00584530">
              <w:rPr>
                <w:rFonts w:eastAsia="Arial" w:cs="Arial"/>
                <w:color w:val="000000" w:themeColor="text1"/>
                <w:sz w:val="20"/>
              </w:rPr>
              <w:t xml:space="preserve">checked during every day of use </w:t>
            </w:r>
            <w:r>
              <w:rPr>
                <w:rFonts w:eastAsia="Arial" w:cs="Arial"/>
                <w:color w:val="000000" w:themeColor="text1"/>
                <w:sz w:val="20"/>
              </w:rPr>
              <w:t xml:space="preserve">to confirm </w:t>
            </w:r>
            <w:r w:rsidRPr="00584530">
              <w:rPr>
                <w:rFonts w:eastAsia="Arial" w:cs="Arial"/>
                <w:color w:val="000000" w:themeColor="text1"/>
                <w:sz w:val="20"/>
              </w:rPr>
              <w:t>that they are within 1% of a certified calibration weight.</w:t>
            </w:r>
            <w:r w:rsidR="00E84291">
              <w:rPr>
                <w:rFonts w:eastAsia="Arial" w:cs="Arial"/>
                <w:color w:val="000000" w:themeColor="text1"/>
                <w:sz w:val="20"/>
              </w:rPr>
              <w:t xml:space="preserve"> </w:t>
            </w:r>
            <w:r w:rsidRPr="00584530">
              <w:rPr>
                <w:rFonts w:eastAsia="Arial" w:cs="Arial"/>
                <w:color w:val="000000" w:themeColor="text1"/>
                <w:sz w:val="20"/>
              </w:rPr>
              <w:t xml:space="preserve">The calibration weight </w:t>
            </w:r>
            <w:r>
              <w:rPr>
                <w:rFonts w:eastAsia="Arial" w:cs="Arial"/>
                <w:color w:val="000000" w:themeColor="text1"/>
                <w:sz w:val="20"/>
              </w:rPr>
              <w:t xml:space="preserve">must </w:t>
            </w:r>
            <w:r w:rsidRPr="00584530">
              <w:rPr>
                <w:rFonts w:eastAsia="Arial" w:cs="Arial"/>
                <w:color w:val="000000" w:themeColor="text1"/>
                <w:sz w:val="20"/>
              </w:rPr>
              <w:t>be within +/- 50% of typical weights for the primary fuel type. For example, if bundles of wood are typically 10</w:t>
            </w:r>
            <w:r>
              <w:rPr>
                <w:rFonts w:eastAsia="Arial" w:cs="Arial"/>
                <w:color w:val="000000" w:themeColor="text1"/>
                <w:sz w:val="20"/>
              </w:rPr>
              <w:t xml:space="preserve"> </w:t>
            </w:r>
            <w:r w:rsidRPr="00584530">
              <w:rPr>
                <w:rFonts w:eastAsia="Arial" w:cs="Arial"/>
                <w:color w:val="000000" w:themeColor="text1"/>
                <w:sz w:val="20"/>
              </w:rPr>
              <w:t xml:space="preserve">kg, then the calibration weight </w:t>
            </w:r>
            <w:r>
              <w:rPr>
                <w:rFonts w:eastAsia="Arial" w:cs="Arial"/>
                <w:color w:val="000000" w:themeColor="text1"/>
                <w:sz w:val="20"/>
              </w:rPr>
              <w:t xml:space="preserve">must </w:t>
            </w:r>
            <w:r w:rsidRPr="00584530">
              <w:rPr>
                <w:rFonts w:eastAsia="Arial" w:cs="Arial"/>
                <w:color w:val="000000" w:themeColor="text1"/>
                <w:sz w:val="20"/>
              </w:rPr>
              <w:t xml:space="preserve">be between 5 and 15 kg. If a scale indicates it is out of compliance, measurements from that scale </w:t>
            </w:r>
            <w:r>
              <w:rPr>
                <w:rFonts w:eastAsia="Arial" w:cs="Arial"/>
                <w:color w:val="000000" w:themeColor="text1"/>
                <w:sz w:val="20"/>
              </w:rPr>
              <w:t>must be</w:t>
            </w:r>
            <w:r w:rsidRPr="00584530">
              <w:rPr>
                <w:rFonts w:eastAsia="Arial" w:cs="Arial"/>
                <w:color w:val="000000" w:themeColor="text1"/>
                <w:sz w:val="20"/>
              </w:rPr>
              <w:t xml:space="preserve"> discarded until the previous, valid check.  </w:t>
            </w:r>
          </w:p>
        </w:tc>
      </w:tr>
      <w:tr w:rsidR="005B411E" w14:paraId="116E18E4" w14:textId="77777777">
        <w:trPr>
          <w:trHeight w:val="104"/>
        </w:trPr>
        <w:tc>
          <w:tcPr>
            <w:tcW w:w="2348" w:type="dxa"/>
            <w:vMerge/>
          </w:tcPr>
          <w:p w14:paraId="00399CED"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3D45D03E"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3A52B171" w14:textId="77777777" w:rsidR="005B411E" w:rsidRDefault="005B411E">
            <w:pPr>
              <w:spacing w:before="60" w:after="60"/>
              <w:ind w:right="57"/>
              <w:rPr>
                <w:rFonts w:eastAsia="Arial" w:cs="Arial"/>
                <w:sz w:val="20"/>
              </w:rPr>
            </w:pPr>
            <w:r>
              <w:rPr>
                <w:rFonts w:eastAsia="Arial" w:cs="Arial"/>
                <w:sz w:val="20"/>
              </w:rPr>
              <w:t>Baseline and project households</w:t>
            </w:r>
          </w:p>
        </w:tc>
      </w:tr>
      <w:tr w:rsidR="005B411E" w14:paraId="1C115190" w14:textId="77777777">
        <w:tc>
          <w:tcPr>
            <w:tcW w:w="2348" w:type="dxa"/>
            <w:shd w:val="clear" w:color="auto" w:fill="E6E6E6"/>
          </w:tcPr>
          <w:p w14:paraId="3DA49099"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6D4C1D6A" w14:textId="3C422B97" w:rsidR="005B411E" w:rsidRPr="00584530" w:rsidRDefault="005B411E">
            <w:pPr>
              <w:tabs>
                <w:tab w:val="left" w:pos="567"/>
              </w:tabs>
              <w:spacing w:before="20" w:after="20"/>
              <w:ind w:right="159"/>
              <w:rPr>
                <w:rFonts w:eastAsia="Calibri" w:cs="Arial"/>
                <w:i/>
                <w:sz w:val="20"/>
              </w:rPr>
            </w:pPr>
            <w:r>
              <w:rPr>
                <w:rFonts w:eastAsia="Arial" w:cs="Arial"/>
                <w:color w:val="000000" w:themeColor="text1"/>
                <w:sz w:val="20"/>
              </w:rPr>
              <w:t xml:space="preserve">See </w:t>
            </w:r>
            <w:r w:rsidRPr="005B5C20">
              <w:rPr>
                <w:rFonts w:eastAsia="Arial" w:cs="Arial"/>
                <w:i/>
                <w:iCs/>
                <w:color w:val="000000" w:themeColor="text1"/>
                <w:sz w:val="20"/>
              </w:rPr>
              <w:t>Calibration requirements</w:t>
            </w:r>
            <w:r>
              <w:rPr>
                <w:rFonts w:eastAsia="Arial" w:cs="Arial"/>
                <w:color w:val="000000" w:themeColor="text1"/>
                <w:sz w:val="20"/>
              </w:rPr>
              <w:t>.</w:t>
            </w:r>
            <w:r w:rsidRPr="00584530">
              <w:rPr>
                <w:rFonts w:eastAsia="Arial" w:cs="Arial"/>
                <w:color w:val="000000" w:themeColor="text1"/>
                <w:sz w:val="20"/>
              </w:rPr>
              <w:t xml:space="preserve">  </w:t>
            </w:r>
          </w:p>
        </w:tc>
      </w:tr>
      <w:tr w:rsidR="00712587" w14:paraId="08CBFEAA" w14:textId="77777777">
        <w:tc>
          <w:tcPr>
            <w:tcW w:w="2348" w:type="dxa"/>
            <w:shd w:val="clear" w:color="auto" w:fill="E6E6E6"/>
          </w:tcPr>
          <w:p w14:paraId="0D0B57FD" w14:textId="2588C07E"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073B4B7F" w14:textId="722B8F31" w:rsidR="00712587" w:rsidRPr="008569FE" w:rsidRDefault="49D4BA44" w:rsidP="00BF24D4">
            <w:pPr>
              <w:tabs>
                <w:tab w:val="left" w:pos="567"/>
              </w:tabs>
              <w:spacing w:before="20" w:after="20"/>
              <w:ind w:right="159"/>
              <w:rPr>
                <w:rFonts w:cs="Arial"/>
                <w:color w:val="4F81BD" w:themeColor="accent1"/>
                <w:sz w:val="20"/>
              </w:rPr>
            </w:pPr>
            <w:r w:rsidRPr="008569FE">
              <w:rPr>
                <w:rFonts w:cs="Arial"/>
                <w:color w:val="000000" w:themeColor="text1"/>
                <w:sz w:val="20"/>
              </w:rPr>
              <w:t xml:space="preserve">Uncertainty for </w:t>
            </w:r>
            <w:r w:rsidR="3925ACAF" w:rsidRPr="008569FE">
              <w:rPr>
                <w:rFonts w:cs="Arial"/>
                <w:color w:val="000000" w:themeColor="text1"/>
                <w:sz w:val="20"/>
              </w:rPr>
              <w:t xml:space="preserve">fuel consumption (FC) </w:t>
            </w:r>
            <w:r w:rsidR="5F1E3D06" w:rsidRPr="008569FE">
              <w:rPr>
                <w:rFonts w:cs="Arial"/>
                <w:color w:val="000000" w:themeColor="text1"/>
                <w:sz w:val="20"/>
              </w:rPr>
              <w:t>parameters is</w:t>
            </w:r>
            <w:r w:rsidR="3925ACAF" w:rsidRPr="008569FE">
              <w:rPr>
                <w:rFonts w:cs="Arial"/>
                <w:color w:val="000000" w:themeColor="text1"/>
                <w:sz w:val="20"/>
              </w:rPr>
              <w:t xml:space="preserve"> subsumed under energy consumption uncertainty (EC)</w:t>
            </w:r>
            <w:r w:rsidR="5F9D74BE" w:rsidRPr="008569FE">
              <w:rPr>
                <w:rFonts w:cs="Arial"/>
                <w:color w:val="000000" w:themeColor="text1"/>
                <w:sz w:val="20"/>
              </w:rPr>
              <w:t xml:space="preserve"> after the fuel mass is converted to equivalent fuel energy.</w:t>
            </w:r>
          </w:p>
        </w:tc>
      </w:tr>
      <w:tr w:rsidR="005B411E" w14:paraId="2B30032C" w14:textId="77777777">
        <w:tc>
          <w:tcPr>
            <w:tcW w:w="2348" w:type="dxa"/>
            <w:shd w:val="clear" w:color="auto" w:fill="E6E6E6"/>
          </w:tcPr>
          <w:p w14:paraId="5F72C412"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50D8E0AC" w14:textId="77777777" w:rsidR="005B411E" w:rsidRDefault="005B411E">
            <w:pPr>
              <w:spacing w:before="60" w:after="60"/>
              <w:ind w:right="57"/>
              <w:rPr>
                <w:rFonts w:eastAsia="Arial" w:cs="Arial"/>
                <w:sz w:val="20"/>
              </w:rPr>
            </w:pPr>
            <w:r>
              <w:rPr>
                <w:rFonts w:eastAsia="Arial" w:cs="Arial"/>
                <w:sz w:val="20"/>
              </w:rPr>
              <w:t>-</w:t>
            </w:r>
          </w:p>
        </w:tc>
      </w:tr>
    </w:tbl>
    <w:p w14:paraId="6BF67CE8"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2A68CF5B" w14:textId="77777777">
        <w:tc>
          <w:tcPr>
            <w:tcW w:w="2348" w:type="dxa"/>
            <w:shd w:val="clear" w:color="auto" w:fill="E6E6E6"/>
          </w:tcPr>
          <w:p w14:paraId="6A22CCE2"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541AFD00" w14:textId="77777777" w:rsidR="005B411E" w:rsidRPr="003E33E6"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f</m:t>
                    </m:r>
                  </m:e>
                  <m:sub>
                    <m:r>
                      <w:rPr>
                        <w:rFonts w:ascii="Cambria Math" w:eastAsia="Cambria Math" w:hAnsi="Cambria Math" w:cs="Cambria Math"/>
                      </w:rPr>
                      <m:t>k,y</m:t>
                    </m:r>
                  </m:sub>
                </m:sSub>
              </m:oMath>
            </m:oMathPara>
          </w:p>
        </w:tc>
      </w:tr>
      <w:tr w:rsidR="005B411E" w14:paraId="546E53A9" w14:textId="77777777">
        <w:tc>
          <w:tcPr>
            <w:tcW w:w="2348" w:type="dxa"/>
            <w:shd w:val="clear" w:color="auto" w:fill="E6E6E6"/>
          </w:tcPr>
          <w:p w14:paraId="11E78E2F"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7B46566B" w14:textId="77777777" w:rsidR="005B411E" w:rsidRPr="003E33E6" w:rsidRDefault="005B411E">
            <w:pPr>
              <w:rPr>
                <w:rFonts w:cs="Arial"/>
                <w:color w:val="000000"/>
                <w:sz w:val="20"/>
              </w:rPr>
            </w:pPr>
            <w:r>
              <w:rPr>
                <w:rFonts w:cs="Arial"/>
                <w:color w:val="000000"/>
                <w:sz w:val="20"/>
              </w:rPr>
              <w:t xml:space="preserve">Fraction of off-grid electricity provided by source </w:t>
            </w:r>
            <w:r w:rsidRPr="008D0AF8">
              <w:rPr>
                <w:rFonts w:cs="Arial"/>
                <w:i/>
                <w:color w:val="000000"/>
                <w:sz w:val="20"/>
              </w:rPr>
              <w:t>k</w:t>
            </w:r>
            <w:r>
              <w:rPr>
                <w:rFonts w:cs="Arial"/>
                <w:color w:val="000000"/>
                <w:sz w:val="20"/>
              </w:rPr>
              <w:t xml:space="preserve"> in year </w:t>
            </w:r>
            <w:r w:rsidRPr="008D0AF8">
              <w:rPr>
                <w:rFonts w:cs="Arial"/>
                <w:i/>
                <w:color w:val="000000"/>
                <w:sz w:val="20"/>
              </w:rPr>
              <w:t>y</w:t>
            </w:r>
          </w:p>
        </w:tc>
      </w:tr>
      <w:tr w:rsidR="005B411E" w14:paraId="34DF82ED" w14:textId="77777777">
        <w:tc>
          <w:tcPr>
            <w:tcW w:w="2348" w:type="dxa"/>
            <w:shd w:val="clear" w:color="auto" w:fill="E6E6E6"/>
          </w:tcPr>
          <w:p w14:paraId="278C5FED"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4F48BF4B" w14:textId="77777777" w:rsidR="005B411E" w:rsidRPr="003E33E6" w:rsidRDefault="005B411E">
            <w:pPr>
              <w:rPr>
                <w:rFonts w:cs="Arial"/>
                <w:color w:val="000000"/>
                <w:sz w:val="20"/>
              </w:rPr>
            </w:pPr>
            <w:r>
              <w:rPr>
                <w:rFonts w:cs="Arial"/>
                <w:color w:val="000000"/>
                <w:sz w:val="20"/>
              </w:rPr>
              <w:t>%</w:t>
            </w:r>
          </w:p>
        </w:tc>
      </w:tr>
      <w:tr w:rsidR="005B411E" w14:paraId="233AC609" w14:textId="77777777">
        <w:tc>
          <w:tcPr>
            <w:tcW w:w="2348" w:type="dxa"/>
            <w:shd w:val="clear" w:color="auto" w:fill="E6E6E6"/>
          </w:tcPr>
          <w:p w14:paraId="7DAEA066"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2F4C753F" w14:textId="499FDCF6" w:rsidR="005B411E" w:rsidRDefault="005B411E">
            <w:pPr>
              <w:spacing w:before="60" w:after="60"/>
              <w:ind w:right="57"/>
              <w:rPr>
                <w:rFonts w:eastAsia="Arial" w:cs="Arial"/>
                <w:sz w:val="20"/>
              </w:rPr>
            </w:pPr>
            <w:hyperlink w:anchor="e22" w:history="1">
              <w:r w:rsidRPr="003A1A70">
                <w:rPr>
                  <w:rStyle w:val="Hyperlink"/>
                  <w:rFonts w:eastAsia="Arial" w:cs="Arial"/>
                  <w:sz w:val="20"/>
                </w:rPr>
                <w:t>Eq. 22</w:t>
              </w:r>
            </w:hyperlink>
          </w:p>
        </w:tc>
      </w:tr>
      <w:tr w:rsidR="005B411E" w14:paraId="5C774B4F" w14:textId="77777777">
        <w:tc>
          <w:tcPr>
            <w:tcW w:w="2348" w:type="dxa"/>
            <w:vMerge w:val="restart"/>
            <w:shd w:val="clear" w:color="auto" w:fill="E6E6E6"/>
          </w:tcPr>
          <w:p w14:paraId="20CBFA13"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4C456439"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84604D">
              <w:rPr>
                <w:rFonts w:cs="Arial"/>
                <w:sz w:val="20"/>
              </w:rPr>
              <w:t xml:space="preserve"> Baseline emissions / removals</w:t>
            </w:r>
          </w:p>
        </w:tc>
        <w:tc>
          <w:tcPr>
            <w:tcW w:w="2406" w:type="dxa"/>
            <w:tcBorders>
              <w:left w:val="nil"/>
              <w:bottom w:val="nil"/>
              <w:right w:val="nil"/>
            </w:tcBorders>
          </w:tcPr>
          <w:p w14:paraId="1D22B6D3"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84604D">
              <w:rPr>
                <w:rFonts w:cs="Arial"/>
                <w:sz w:val="20"/>
              </w:rPr>
              <w:t xml:space="preserve"> Project emissions / removals</w:t>
            </w:r>
          </w:p>
        </w:tc>
        <w:tc>
          <w:tcPr>
            <w:tcW w:w="2410" w:type="dxa"/>
            <w:tcBorders>
              <w:left w:val="nil"/>
              <w:bottom w:val="nil"/>
            </w:tcBorders>
          </w:tcPr>
          <w:p w14:paraId="57CC8781"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84604D">
              <w:rPr>
                <w:rFonts w:cs="Arial"/>
                <w:sz w:val="20"/>
              </w:rPr>
              <w:t xml:space="preserve"> Leakage emissions</w:t>
            </w:r>
          </w:p>
        </w:tc>
      </w:tr>
      <w:tr w:rsidR="005B411E" w14:paraId="4FFF9BC4" w14:textId="77777777">
        <w:tc>
          <w:tcPr>
            <w:tcW w:w="2348" w:type="dxa"/>
            <w:vMerge/>
          </w:tcPr>
          <w:p w14:paraId="679101AB"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40F9F382" w14:textId="77777777" w:rsidR="005B411E" w:rsidRDefault="005B411E">
            <w:pPr>
              <w:spacing w:before="60" w:after="60"/>
              <w:ind w:right="57"/>
              <w:rPr>
                <w:rFonts w:eastAsia="Arial" w:cs="Arial"/>
                <w:i/>
                <w:sz w:val="20"/>
              </w:rPr>
            </w:pPr>
          </w:p>
        </w:tc>
      </w:tr>
      <w:tr w:rsidR="00C81161" w14:paraId="53391AB0" w14:textId="77777777">
        <w:tc>
          <w:tcPr>
            <w:tcW w:w="2348" w:type="dxa"/>
            <w:shd w:val="clear" w:color="auto" w:fill="E6E6E6"/>
          </w:tcPr>
          <w:p w14:paraId="667E2EF6" w14:textId="50C1BA63"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vAlign w:val="center"/>
          </w:tcPr>
          <w:p w14:paraId="11DC8077" w14:textId="14F1CC78" w:rsidR="00C81161" w:rsidRPr="002E6FE3" w:rsidRDefault="00816E64">
            <w:pPr>
              <w:spacing w:before="60" w:after="60"/>
              <w:ind w:right="57"/>
              <w:rPr>
                <w:rFonts w:eastAsia="Arial" w:cs="Arial"/>
                <w:sz w:val="20"/>
              </w:rPr>
            </w:pPr>
            <w:r>
              <w:rPr>
                <w:rFonts w:cs="Arial"/>
                <w:color w:val="000000"/>
                <w:sz w:val="20"/>
              </w:rPr>
              <w:t>Frequency of monitoring: Annual</w:t>
            </w:r>
          </w:p>
        </w:tc>
      </w:tr>
      <w:tr w:rsidR="005B411E" w14:paraId="78EA4F1E" w14:textId="77777777">
        <w:tc>
          <w:tcPr>
            <w:tcW w:w="2348" w:type="dxa"/>
            <w:shd w:val="clear" w:color="auto" w:fill="E6E6E6"/>
          </w:tcPr>
          <w:p w14:paraId="1C078A5E" w14:textId="77777777" w:rsidR="005B411E" w:rsidRDefault="005B411E">
            <w:pPr>
              <w:spacing w:before="60" w:after="60"/>
              <w:ind w:right="57"/>
              <w:rPr>
                <w:rFonts w:eastAsia="Arial" w:cs="Arial"/>
                <w:sz w:val="20"/>
              </w:rPr>
            </w:pPr>
            <w:r>
              <w:rPr>
                <w:rFonts w:eastAsia="Arial" w:cs="Arial"/>
                <w:sz w:val="20"/>
              </w:rPr>
              <w:lastRenderedPageBreak/>
              <w:t>Measurement methods and procedures</w:t>
            </w:r>
          </w:p>
        </w:tc>
        <w:tc>
          <w:tcPr>
            <w:tcW w:w="7224" w:type="dxa"/>
            <w:gridSpan w:val="4"/>
            <w:tcBorders>
              <w:bottom w:val="single" w:sz="4" w:space="0" w:color="000000" w:themeColor="text1"/>
            </w:tcBorders>
            <w:vAlign w:val="center"/>
          </w:tcPr>
          <w:p w14:paraId="6853FBA8" w14:textId="77777777" w:rsidR="005B411E" w:rsidRDefault="005B411E">
            <w:pPr>
              <w:spacing w:before="60" w:after="60"/>
              <w:ind w:right="57"/>
              <w:rPr>
                <w:rFonts w:eastAsia="Arial" w:cs="Arial"/>
                <w:sz w:val="20"/>
              </w:rPr>
            </w:pPr>
            <w:r w:rsidRPr="002E6FE3">
              <w:rPr>
                <w:rFonts w:eastAsia="Arial" w:cs="Arial"/>
                <w:sz w:val="20"/>
              </w:rPr>
              <w:t>Electric meters measuring off-grid sources.</w:t>
            </w:r>
          </w:p>
        </w:tc>
      </w:tr>
      <w:tr w:rsidR="005B411E" w14:paraId="5F1BF528" w14:textId="77777777">
        <w:trPr>
          <w:trHeight w:val="107"/>
        </w:trPr>
        <w:tc>
          <w:tcPr>
            <w:tcW w:w="2348" w:type="dxa"/>
            <w:shd w:val="clear" w:color="auto" w:fill="E6E6E6"/>
          </w:tcPr>
          <w:p w14:paraId="4FEA321A"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6690E131"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4A4F4FB1" w14:textId="77777777">
        <w:trPr>
          <w:trHeight w:val="107"/>
        </w:trPr>
        <w:tc>
          <w:tcPr>
            <w:tcW w:w="2348" w:type="dxa"/>
            <w:vMerge w:val="restart"/>
            <w:shd w:val="clear" w:color="auto" w:fill="E6E6E6"/>
          </w:tcPr>
          <w:p w14:paraId="4E98F000"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5C3BFC20" w14:textId="77777777" w:rsidR="005B411E" w:rsidRPr="006267EB" w:rsidRDefault="005B411E">
            <w:pPr>
              <w:spacing w:before="60" w:after="60"/>
              <w:ind w:right="57"/>
              <w:rPr>
                <w:rFonts w:eastAsia="Arial" w:cs="Arial"/>
                <w:i/>
                <w:color w:val="000000" w:themeColor="text1"/>
                <w:sz w:val="20"/>
              </w:rPr>
            </w:pPr>
            <w:r w:rsidRPr="006267EB">
              <w:rPr>
                <w:rFonts w:eastAsia="Arial" w:cs="Arial"/>
                <w:i/>
                <w:color w:val="000000" w:themeColor="text1"/>
                <w:sz w:val="20"/>
              </w:rPr>
              <w:t>Type of instrument</w:t>
            </w:r>
          </w:p>
        </w:tc>
        <w:tc>
          <w:tcPr>
            <w:tcW w:w="5783" w:type="dxa"/>
            <w:gridSpan w:val="3"/>
            <w:tcBorders>
              <w:top w:val="single" w:sz="4" w:space="0" w:color="000000" w:themeColor="text1"/>
            </w:tcBorders>
          </w:tcPr>
          <w:p w14:paraId="04444673" w14:textId="77777777" w:rsidR="005B411E" w:rsidRDefault="005B411E">
            <w:pPr>
              <w:spacing w:before="60" w:after="60"/>
              <w:ind w:right="57"/>
              <w:rPr>
                <w:rFonts w:eastAsia="Arial" w:cs="Arial"/>
                <w:sz w:val="20"/>
              </w:rPr>
            </w:pPr>
            <w:r w:rsidRPr="002E6FE3">
              <w:rPr>
                <w:rFonts w:eastAsia="Arial" w:cs="Arial"/>
                <w:sz w:val="20"/>
              </w:rPr>
              <w:t>Electric meters measuring off-grid sources.</w:t>
            </w:r>
          </w:p>
        </w:tc>
      </w:tr>
      <w:tr w:rsidR="005B411E" w14:paraId="6A8C51F9" w14:textId="77777777">
        <w:trPr>
          <w:trHeight w:val="104"/>
        </w:trPr>
        <w:tc>
          <w:tcPr>
            <w:tcW w:w="2348" w:type="dxa"/>
            <w:vMerge/>
          </w:tcPr>
          <w:p w14:paraId="5FB10FB1"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26B3E3B3" w14:textId="77777777" w:rsidR="005B411E" w:rsidRPr="006267EB" w:rsidRDefault="005B411E">
            <w:pPr>
              <w:spacing w:before="60" w:after="60"/>
              <w:ind w:right="57"/>
              <w:rPr>
                <w:rFonts w:eastAsia="Arial" w:cs="Arial"/>
                <w:i/>
                <w:color w:val="000000" w:themeColor="text1"/>
                <w:sz w:val="20"/>
              </w:rPr>
            </w:pPr>
            <w:r w:rsidRPr="006267EB">
              <w:rPr>
                <w:rFonts w:eastAsia="Arial" w:cs="Arial"/>
                <w:i/>
                <w:color w:val="000000" w:themeColor="text1"/>
                <w:sz w:val="20"/>
              </w:rPr>
              <w:t>Accuracy class</w:t>
            </w:r>
          </w:p>
        </w:tc>
        <w:tc>
          <w:tcPr>
            <w:tcW w:w="5783" w:type="dxa"/>
            <w:gridSpan w:val="3"/>
            <w:tcBorders>
              <w:top w:val="single" w:sz="4" w:space="0" w:color="000000" w:themeColor="text1"/>
            </w:tcBorders>
          </w:tcPr>
          <w:p w14:paraId="5E33212B" w14:textId="77777777" w:rsidR="005B411E" w:rsidRDefault="005B411E">
            <w:pPr>
              <w:spacing w:before="60" w:after="60"/>
              <w:ind w:right="57"/>
              <w:rPr>
                <w:rFonts w:eastAsia="Arial" w:cs="Arial"/>
                <w:sz w:val="20"/>
              </w:rPr>
            </w:pPr>
            <w:r>
              <w:rPr>
                <w:rFonts w:eastAsia="Arial" w:cs="Arial"/>
                <w:sz w:val="20"/>
              </w:rPr>
              <w:t>-</w:t>
            </w:r>
          </w:p>
        </w:tc>
      </w:tr>
      <w:tr w:rsidR="005B411E" w14:paraId="318DC8E6" w14:textId="77777777">
        <w:trPr>
          <w:trHeight w:val="104"/>
        </w:trPr>
        <w:tc>
          <w:tcPr>
            <w:tcW w:w="2348" w:type="dxa"/>
            <w:vMerge/>
          </w:tcPr>
          <w:p w14:paraId="2431B81E"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227117A3" w14:textId="77777777" w:rsidR="005B411E" w:rsidRPr="006267EB" w:rsidRDefault="005B411E">
            <w:pPr>
              <w:spacing w:before="60" w:after="60"/>
              <w:ind w:right="57"/>
              <w:rPr>
                <w:rFonts w:eastAsia="Arial" w:cs="Arial"/>
                <w:i/>
                <w:color w:val="000000" w:themeColor="text1"/>
                <w:sz w:val="20"/>
              </w:rPr>
            </w:pPr>
            <w:r w:rsidRPr="006267EB">
              <w:rPr>
                <w:rFonts w:eastAsia="Arial" w:cs="Arial"/>
                <w:i/>
                <w:color w:val="000000" w:themeColor="text1"/>
                <w:sz w:val="20"/>
              </w:rPr>
              <w:t>Calibration requirements</w:t>
            </w:r>
          </w:p>
        </w:tc>
        <w:tc>
          <w:tcPr>
            <w:tcW w:w="5783" w:type="dxa"/>
            <w:gridSpan w:val="3"/>
            <w:tcBorders>
              <w:top w:val="single" w:sz="4" w:space="0" w:color="000000" w:themeColor="text1"/>
            </w:tcBorders>
          </w:tcPr>
          <w:p w14:paraId="67A49FA7" w14:textId="77777777" w:rsidR="005B411E" w:rsidRDefault="005B411E">
            <w:pPr>
              <w:tabs>
                <w:tab w:val="left" w:pos="567"/>
              </w:tabs>
              <w:spacing w:before="20" w:after="20"/>
              <w:ind w:right="161"/>
              <w:rPr>
                <w:rFonts w:ascii="Calibri" w:eastAsia="Calibri" w:hAnsi="Calibri" w:cs="Calibri"/>
                <w:i/>
                <w:szCs w:val="22"/>
              </w:rPr>
            </w:pPr>
            <w:r>
              <w:rPr>
                <w:sz w:val="20"/>
              </w:rPr>
              <w:t>-</w:t>
            </w:r>
          </w:p>
        </w:tc>
      </w:tr>
      <w:tr w:rsidR="005B411E" w14:paraId="5E83E6F5" w14:textId="77777777">
        <w:trPr>
          <w:trHeight w:val="104"/>
        </w:trPr>
        <w:tc>
          <w:tcPr>
            <w:tcW w:w="2348" w:type="dxa"/>
            <w:vMerge/>
          </w:tcPr>
          <w:p w14:paraId="2760E35E"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4AFF4F62" w14:textId="77777777" w:rsidR="005B411E" w:rsidRPr="006267EB" w:rsidRDefault="005B411E">
            <w:pPr>
              <w:spacing w:before="60" w:after="60"/>
              <w:ind w:right="57"/>
              <w:rPr>
                <w:rFonts w:eastAsia="Arial" w:cs="Arial"/>
                <w:i/>
                <w:color w:val="000000" w:themeColor="text1"/>
                <w:sz w:val="20"/>
              </w:rPr>
            </w:pPr>
            <w:r w:rsidRPr="006267EB">
              <w:rPr>
                <w:rFonts w:eastAsia="Arial" w:cs="Arial"/>
                <w:i/>
                <w:color w:val="000000" w:themeColor="text1"/>
                <w:sz w:val="20"/>
              </w:rPr>
              <w:t>Location</w:t>
            </w:r>
          </w:p>
        </w:tc>
        <w:tc>
          <w:tcPr>
            <w:tcW w:w="5783" w:type="dxa"/>
            <w:gridSpan w:val="3"/>
            <w:tcBorders>
              <w:top w:val="single" w:sz="4" w:space="0" w:color="000000" w:themeColor="text1"/>
            </w:tcBorders>
          </w:tcPr>
          <w:p w14:paraId="3F955252"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0E36563A" w14:textId="77777777">
        <w:tc>
          <w:tcPr>
            <w:tcW w:w="2348" w:type="dxa"/>
            <w:shd w:val="clear" w:color="auto" w:fill="E6E6E6"/>
          </w:tcPr>
          <w:p w14:paraId="2D5A364D"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78E1EC62" w14:textId="77777777" w:rsidR="005B411E" w:rsidRDefault="005B411E">
            <w:pPr>
              <w:tabs>
                <w:tab w:val="left" w:pos="567"/>
              </w:tabs>
              <w:spacing w:before="20" w:after="20"/>
              <w:ind w:right="159"/>
              <w:rPr>
                <w:rFonts w:ascii="Calibri" w:eastAsia="Calibri" w:hAnsi="Calibri" w:cs="Calibri"/>
                <w:i/>
                <w:szCs w:val="22"/>
              </w:rPr>
            </w:pPr>
            <w:r w:rsidRPr="002E6FE3">
              <w:rPr>
                <w:rFonts w:eastAsia="Arial" w:cs="Arial"/>
                <w:sz w:val="20"/>
              </w:rPr>
              <w:t>Measured generation shall be cross-checked with off-grid source installed capacity and load factor.</w:t>
            </w:r>
          </w:p>
        </w:tc>
      </w:tr>
      <w:tr w:rsidR="00712587" w14:paraId="47866160" w14:textId="77777777">
        <w:tc>
          <w:tcPr>
            <w:tcW w:w="2348" w:type="dxa"/>
            <w:shd w:val="clear" w:color="auto" w:fill="E6E6E6"/>
          </w:tcPr>
          <w:p w14:paraId="7B73B39D" w14:textId="6810B7A3"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20BE81CD" w14:textId="7705E21F" w:rsidR="00712587" w:rsidRPr="00BF24D4" w:rsidRDefault="00A87D1D" w:rsidP="00BF24D4">
            <w:pPr>
              <w:tabs>
                <w:tab w:val="left" w:pos="567"/>
              </w:tabs>
              <w:spacing w:before="20" w:after="20"/>
              <w:ind w:right="159"/>
              <w:rPr>
                <w:rFonts w:cs="Arial"/>
                <w:i/>
                <w:iCs/>
                <w:color w:val="4F81BD" w:themeColor="accent1"/>
                <w:sz w:val="20"/>
              </w:rPr>
            </w:pPr>
            <w:r w:rsidRPr="008569FE">
              <w:rPr>
                <w:rFonts w:cs="Arial"/>
                <w:color w:val="000000"/>
                <w:sz w:val="20"/>
              </w:rPr>
              <w:t>Controlled via calibrated meters and QA/QC procedures</w:t>
            </w:r>
          </w:p>
        </w:tc>
      </w:tr>
      <w:tr w:rsidR="005B411E" w14:paraId="5CAC761E" w14:textId="77777777">
        <w:tc>
          <w:tcPr>
            <w:tcW w:w="2348" w:type="dxa"/>
            <w:shd w:val="clear" w:color="auto" w:fill="E6E6E6"/>
          </w:tcPr>
          <w:p w14:paraId="5596B4D4"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11A406FB" w14:textId="77777777" w:rsidR="005B411E" w:rsidRDefault="005B411E">
            <w:pPr>
              <w:spacing w:before="60" w:after="60"/>
              <w:ind w:right="57"/>
              <w:rPr>
                <w:rFonts w:eastAsia="Arial" w:cs="Arial"/>
                <w:sz w:val="20"/>
              </w:rPr>
            </w:pPr>
            <w:r>
              <w:rPr>
                <w:rFonts w:eastAsia="Arial" w:cs="Arial"/>
                <w:sz w:val="20"/>
              </w:rPr>
              <w:t xml:space="preserve">Purpose of data: </w:t>
            </w:r>
            <w:r w:rsidRPr="002E6FE3">
              <w:rPr>
                <w:rFonts w:eastAsia="Arial" w:cs="Arial"/>
                <w:sz w:val="20"/>
              </w:rPr>
              <w:t>Apportioning fraction of electricity use for off</w:t>
            </w:r>
            <w:r>
              <w:rPr>
                <w:rFonts w:eastAsia="Arial" w:cs="Arial"/>
                <w:sz w:val="20"/>
              </w:rPr>
              <w:t>-</w:t>
            </w:r>
            <w:r w:rsidRPr="002E6FE3">
              <w:rPr>
                <w:rFonts w:eastAsia="Arial" w:cs="Arial"/>
                <w:sz w:val="20"/>
              </w:rPr>
              <w:t>grid emission factors.</w:t>
            </w:r>
          </w:p>
        </w:tc>
      </w:tr>
    </w:tbl>
    <w:p w14:paraId="5F3C39CF"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3E1DCD9B" w14:textId="77777777">
        <w:tc>
          <w:tcPr>
            <w:tcW w:w="2348" w:type="dxa"/>
            <w:shd w:val="clear" w:color="auto" w:fill="E6E6E6"/>
          </w:tcPr>
          <w:p w14:paraId="24829D08"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41CF05C9" w14:textId="77777777" w:rsidR="005B411E" w:rsidRPr="002E6FE3"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H</m:t>
                    </m:r>
                  </m:e>
                  <m:sub>
                    <m:r>
                      <w:rPr>
                        <w:rFonts w:ascii="Cambria Math" w:eastAsia="Cambria Math" w:hAnsi="Cambria Math" w:cs="Cambria Math"/>
                      </w:rPr>
                      <m:t>s</m:t>
                    </m:r>
                  </m:sub>
                </m:sSub>
              </m:oMath>
            </m:oMathPara>
          </w:p>
        </w:tc>
      </w:tr>
      <w:tr w:rsidR="005B411E" w14:paraId="27B1B70A" w14:textId="77777777">
        <w:tc>
          <w:tcPr>
            <w:tcW w:w="2348" w:type="dxa"/>
            <w:shd w:val="clear" w:color="auto" w:fill="E6E6E6"/>
          </w:tcPr>
          <w:p w14:paraId="18658821"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0A242525" w14:textId="77777777" w:rsidR="005B411E" w:rsidRDefault="005B411E">
            <w:pPr>
              <w:spacing w:before="60" w:after="60"/>
              <w:ind w:right="57"/>
              <w:rPr>
                <w:rFonts w:eastAsia="Arial" w:cs="Arial"/>
                <w:sz w:val="20"/>
              </w:rPr>
            </w:pPr>
            <w:r w:rsidRPr="002E6FE3">
              <w:rPr>
                <w:rFonts w:eastAsia="Arial" w:cs="Arial"/>
                <w:sz w:val="20"/>
              </w:rPr>
              <w:t>Average household size</w:t>
            </w:r>
          </w:p>
        </w:tc>
      </w:tr>
      <w:tr w:rsidR="005B411E" w14:paraId="2A180674" w14:textId="77777777">
        <w:tc>
          <w:tcPr>
            <w:tcW w:w="2348" w:type="dxa"/>
            <w:shd w:val="clear" w:color="auto" w:fill="E6E6E6"/>
          </w:tcPr>
          <w:p w14:paraId="67C7AFC1"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72AE76FF" w14:textId="77777777" w:rsidR="005B411E" w:rsidRDefault="005B411E">
            <w:pPr>
              <w:spacing w:before="60" w:after="60"/>
              <w:ind w:right="57"/>
              <w:rPr>
                <w:rFonts w:eastAsia="Arial" w:cs="Arial"/>
                <w:sz w:val="20"/>
              </w:rPr>
            </w:pPr>
            <w:r w:rsidRPr="002E6FE3">
              <w:rPr>
                <w:rFonts w:eastAsia="Arial" w:cs="Arial"/>
                <w:sz w:val="20"/>
              </w:rPr>
              <w:t>Persons per household, regardless of age or gender (number)</w:t>
            </w:r>
          </w:p>
        </w:tc>
      </w:tr>
      <w:tr w:rsidR="005B411E" w14:paraId="2F2CDEE9" w14:textId="77777777">
        <w:tc>
          <w:tcPr>
            <w:tcW w:w="2348" w:type="dxa"/>
            <w:shd w:val="clear" w:color="auto" w:fill="E6E6E6"/>
          </w:tcPr>
          <w:p w14:paraId="76BC66AE"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34BC198C" w14:textId="6D7423BA" w:rsidR="005B411E" w:rsidRDefault="005B411E">
            <w:pPr>
              <w:spacing w:before="60" w:after="60"/>
              <w:ind w:right="57"/>
              <w:rPr>
                <w:rFonts w:eastAsia="Arial" w:cs="Arial"/>
                <w:sz w:val="20"/>
              </w:rPr>
            </w:pPr>
            <w:r>
              <w:rPr>
                <w:rFonts w:eastAsia="Arial" w:cs="Arial"/>
                <w:sz w:val="20"/>
              </w:rPr>
              <w:t xml:space="preserve">Eq. </w:t>
            </w:r>
            <w:hyperlink w:anchor="e18" w:history="1">
              <w:r w:rsidRPr="003A1A70">
                <w:rPr>
                  <w:rStyle w:val="Hyperlink"/>
                  <w:rFonts w:eastAsia="Arial" w:cs="Arial"/>
                  <w:sz w:val="20"/>
                </w:rPr>
                <w:t>18</w:t>
              </w:r>
            </w:hyperlink>
            <w:r w:rsidRPr="00584530">
              <w:rPr>
                <w:rFonts w:eastAsia="Arial" w:cs="Arial"/>
                <w:sz w:val="20"/>
              </w:rPr>
              <w:t xml:space="preserve">, </w:t>
            </w:r>
            <w:hyperlink w:anchor="e21" w:history="1">
              <w:r w:rsidRPr="003A1A70">
                <w:rPr>
                  <w:rStyle w:val="Hyperlink"/>
                  <w:rFonts w:eastAsia="Arial" w:cs="Arial"/>
                  <w:sz w:val="20"/>
                </w:rPr>
                <w:t>21</w:t>
              </w:r>
            </w:hyperlink>
            <w:r w:rsidRPr="00584530">
              <w:rPr>
                <w:rFonts w:eastAsia="Arial" w:cs="Arial"/>
                <w:sz w:val="20"/>
              </w:rPr>
              <w:t xml:space="preserve">, </w:t>
            </w:r>
            <w:hyperlink w:anchor="e23" w:history="1">
              <w:r w:rsidRPr="003A1A70">
                <w:rPr>
                  <w:rStyle w:val="Hyperlink"/>
                  <w:rFonts w:eastAsia="Arial" w:cs="Arial"/>
                  <w:sz w:val="20"/>
                </w:rPr>
                <w:t>23</w:t>
              </w:r>
            </w:hyperlink>
            <w:r w:rsidRPr="00584530">
              <w:rPr>
                <w:rFonts w:eastAsia="Arial" w:cs="Arial"/>
                <w:sz w:val="20"/>
              </w:rPr>
              <w:t xml:space="preserve"> and </w:t>
            </w:r>
            <w:hyperlink w:anchor="e24" w:history="1">
              <w:r w:rsidRPr="003A1A70">
                <w:rPr>
                  <w:rStyle w:val="Hyperlink"/>
                  <w:rFonts w:eastAsia="Arial" w:cs="Arial"/>
                  <w:sz w:val="20"/>
                </w:rPr>
                <w:t>24</w:t>
              </w:r>
            </w:hyperlink>
          </w:p>
        </w:tc>
      </w:tr>
      <w:tr w:rsidR="005B411E" w14:paraId="16B42132" w14:textId="77777777">
        <w:tc>
          <w:tcPr>
            <w:tcW w:w="2348" w:type="dxa"/>
            <w:vMerge w:val="restart"/>
            <w:shd w:val="clear" w:color="auto" w:fill="E6E6E6"/>
          </w:tcPr>
          <w:p w14:paraId="67705C52"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5C92A129"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84604D">
              <w:rPr>
                <w:rFonts w:cs="Arial"/>
                <w:sz w:val="20"/>
              </w:rPr>
              <w:t xml:space="preserve"> Baseline emissions / removals</w:t>
            </w:r>
          </w:p>
        </w:tc>
        <w:tc>
          <w:tcPr>
            <w:tcW w:w="2406" w:type="dxa"/>
            <w:tcBorders>
              <w:left w:val="nil"/>
              <w:bottom w:val="nil"/>
              <w:right w:val="nil"/>
            </w:tcBorders>
          </w:tcPr>
          <w:p w14:paraId="003D86E7"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84604D">
              <w:rPr>
                <w:rFonts w:cs="Arial"/>
                <w:sz w:val="20"/>
              </w:rPr>
              <w:t xml:space="preserve"> Project emissions / removals</w:t>
            </w:r>
          </w:p>
        </w:tc>
        <w:tc>
          <w:tcPr>
            <w:tcW w:w="2410" w:type="dxa"/>
            <w:tcBorders>
              <w:left w:val="nil"/>
              <w:bottom w:val="nil"/>
            </w:tcBorders>
          </w:tcPr>
          <w:p w14:paraId="536CF9B3"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84604D">
              <w:rPr>
                <w:rFonts w:cs="Arial"/>
                <w:sz w:val="20"/>
              </w:rPr>
              <w:t xml:space="preserve"> Leakage emissions</w:t>
            </w:r>
          </w:p>
        </w:tc>
      </w:tr>
      <w:tr w:rsidR="005B411E" w14:paraId="6B41EE1E" w14:textId="77777777">
        <w:tc>
          <w:tcPr>
            <w:tcW w:w="2348" w:type="dxa"/>
            <w:vMerge/>
          </w:tcPr>
          <w:p w14:paraId="176A42E0"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62943855" w14:textId="77777777" w:rsidR="005B411E" w:rsidRDefault="005B411E">
            <w:pPr>
              <w:spacing w:before="60" w:after="60"/>
              <w:ind w:right="57"/>
              <w:rPr>
                <w:rFonts w:eastAsia="Arial" w:cs="Arial"/>
                <w:i/>
                <w:sz w:val="20"/>
              </w:rPr>
            </w:pPr>
          </w:p>
        </w:tc>
      </w:tr>
      <w:tr w:rsidR="00C81161" w14:paraId="69B3DC07" w14:textId="77777777">
        <w:tc>
          <w:tcPr>
            <w:tcW w:w="2348" w:type="dxa"/>
            <w:shd w:val="clear" w:color="auto" w:fill="E6E6E6"/>
          </w:tcPr>
          <w:p w14:paraId="38DC6BAC" w14:textId="340CECC2"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vAlign w:val="center"/>
          </w:tcPr>
          <w:p w14:paraId="7B1B846A" w14:textId="328F38A0" w:rsidR="00C81161" w:rsidRPr="002E6FE3" w:rsidRDefault="00816E64">
            <w:pPr>
              <w:spacing w:before="60" w:after="60"/>
              <w:ind w:right="57"/>
              <w:rPr>
                <w:rFonts w:eastAsia="Arial" w:cs="Arial"/>
                <w:sz w:val="20"/>
              </w:rPr>
            </w:pPr>
            <w:r>
              <w:rPr>
                <w:rFonts w:eastAsia="Arial" w:cs="Arial"/>
                <w:sz w:val="20"/>
              </w:rPr>
              <w:t>Frequency of monitoring: Annual</w:t>
            </w:r>
          </w:p>
        </w:tc>
      </w:tr>
      <w:tr w:rsidR="005B411E" w14:paraId="3841E350" w14:textId="77777777">
        <w:tc>
          <w:tcPr>
            <w:tcW w:w="2348" w:type="dxa"/>
            <w:shd w:val="clear" w:color="auto" w:fill="E6E6E6"/>
          </w:tcPr>
          <w:p w14:paraId="5B58DB8D"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vAlign w:val="center"/>
          </w:tcPr>
          <w:p w14:paraId="7AEB845D" w14:textId="77777777" w:rsidR="005B411E" w:rsidRDefault="005B411E">
            <w:pPr>
              <w:spacing w:before="60" w:after="60"/>
              <w:ind w:right="57"/>
              <w:rPr>
                <w:rFonts w:eastAsia="Arial" w:cs="Arial"/>
                <w:sz w:val="20"/>
              </w:rPr>
            </w:pPr>
            <w:r w:rsidRPr="002E6FE3">
              <w:rPr>
                <w:rFonts w:eastAsia="Arial" w:cs="Arial"/>
                <w:sz w:val="20"/>
              </w:rPr>
              <w:t>Baseline survey and annual usage surveys, adjusting to the lower value when a decrease in persons per household is observed.</w:t>
            </w:r>
          </w:p>
        </w:tc>
      </w:tr>
      <w:tr w:rsidR="005B411E" w14:paraId="6DF9597F" w14:textId="77777777">
        <w:trPr>
          <w:trHeight w:val="107"/>
        </w:trPr>
        <w:tc>
          <w:tcPr>
            <w:tcW w:w="2348" w:type="dxa"/>
            <w:shd w:val="clear" w:color="auto" w:fill="E6E6E6"/>
          </w:tcPr>
          <w:p w14:paraId="52BA53E5"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51315E3E"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22CF602A" w14:textId="77777777">
        <w:trPr>
          <w:trHeight w:val="107"/>
        </w:trPr>
        <w:tc>
          <w:tcPr>
            <w:tcW w:w="2348" w:type="dxa"/>
            <w:vMerge w:val="restart"/>
            <w:shd w:val="clear" w:color="auto" w:fill="E6E6E6"/>
          </w:tcPr>
          <w:p w14:paraId="11EB4956"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0A6926D0"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7F02A05F" w14:textId="77777777" w:rsidR="005B411E" w:rsidRDefault="005B411E">
            <w:pPr>
              <w:spacing w:before="60" w:after="60"/>
              <w:ind w:right="57"/>
              <w:rPr>
                <w:rFonts w:eastAsia="Arial" w:cs="Arial"/>
                <w:sz w:val="20"/>
              </w:rPr>
            </w:pPr>
            <w:r>
              <w:rPr>
                <w:rFonts w:eastAsia="Arial" w:cs="Arial"/>
                <w:sz w:val="20"/>
              </w:rPr>
              <w:t>Survey</w:t>
            </w:r>
          </w:p>
        </w:tc>
      </w:tr>
      <w:tr w:rsidR="005B411E" w14:paraId="487FA447" w14:textId="77777777">
        <w:trPr>
          <w:trHeight w:val="104"/>
        </w:trPr>
        <w:tc>
          <w:tcPr>
            <w:tcW w:w="2348" w:type="dxa"/>
            <w:vMerge/>
          </w:tcPr>
          <w:p w14:paraId="08A8E448"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524A5A66"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097AD665" w14:textId="77B90CA1" w:rsidR="005B411E" w:rsidRDefault="005B411E">
            <w:pPr>
              <w:spacing w:before="60" w:after="60"/>
              <w:ind w:right="57"/>
              <w:rPr>
                <w:rFonts w:eastAsia="Arial" w:cs="Arial"/>
                <w:sz w:val="20"/>
              </w:rPr>
            </w:pPr>
            <w:r>
              <w:rPr>
                <w:rFonts w:eastAsia="Arial" w:cs="Arial"/>
                <w:sz w:val="20"/>
              </w:rPr>
              <w:t xml:space="preserve">See </w:t>
            </w:r>
            <w:r w:rsidR="00072D7B">
              <w:rPr>
                <w:rFonts w:eastAsia="Arial" w:cs="Arial"/>
                <w:sz w:val="20"/>
              </w:rPr>
              <w:t>Treatment of uncertainty</w:t>
            </w:r>
          </w:p>
        </w:tc>
      </w:tr>
      <w:tr w:rsidR="005B411E" w14:paraId="590E7336" w14:textId="77777777">
        <w:trPr>
          <w:trHeight w:val="104"/>
        </w:trPr>
        <w:tc>
          <w:tcPr>
            <w:tcW w:w="2348" w:type="dxa"/>
            <w:vMerge/>
          </w:tcPr>
          <w:p w14:paraId="63CE0B7C"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729B9020"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54F51409" w14:textId="77777777" w:rsidR="005B411E" w:rsidRDefault="005B411E">
            <w:pPr>
              <w:tabs>
                <w:tab w:val="left" w:pos="567"/>
              </w:tabs>
              <w:spacing w:before="20" w:after="20"/>
              <w:ind w:right="161"/>
              <w:rPr>
                <w:rFonts w:ascii="Calibri" w:eastAsia="Calibri" w:hAnsi="Calibri" w:cs="Calibri"/>
                <w:i/>
                <w:szCs w:val="22"/>
              </w:rPr>
            </w:pPr>
            <w:r>
              <w:rPr>
                <w:sz w:val="20"/>
              </w:rPr>
              <w:t>-</w:t>
            </w:r>
          </w:p>
        </w:tc>
      </w:tr>
      <w:tr w:rsidR="005B411E" w14:paraId="5FE4115E" w14:textId="77777777">
        <w:trPr>
          <w:trHeight w:val="104"/>
        </w:trPr>
        <w:tc>
          <w:tcPr>
            <w:tcW w:w="2348" w:type="dxa"/>
            <w:vMerge/>
          </w:tcPr>
          <w:p w14:paraId="1A66C592"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73B63B8A"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3117249B"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64D3A526" w14:textId="77777777">
        <w:tc>
          <w:tcPr>
            <w:tcW w:w="2348" w:type="dxa"/>
            <w:shd w:val="clear" w:color="auto" w:fill="E6E6E6"/>
          </w:tcPr>
          <w:p w14:paraId="7E809F8B"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277594A1" w14:textId="6999FFAB" w:rsidR="005B411E" w:rsidRPr="00AF0D01" w:rsidRDefault="00B00831">
            <w:pPr>
              <w:tabs>
                <w:tab w:val="left" w:pos="567"/>
              </w:tabs>
              <w:spacing w:before="20" w:after="20"/>
              <w:ind w:right="159"/>
              <w:rPr>
                <w:rFonts w:eastAsia="Calibri" w:cs="Arial"/>
                <w:i/>
                <w:sz w:val="20"/>
              </w:rPr>
            </w:pPr>
            <w:r w:rsidRPr="00AF0D01">
              <w:rPr>
                <w:rFonts w:cs="Arial"/>
                <w:color w:val="000000"/>
                <w:sz w:val="20"/>
              </w:rPr>
              <w:t xml:space="preserve">Surveys are conducted by trained enumerators, </w:t>
            </w:r>
            <w:r w:rsidR="00AF0D01" w:rsidRPr="00AF0D01">
              <w:rPr>
                <w:rFonts w:cs="Arial"/>
                <w:color w:val="000000"/>
                <w:sz w:val="20"/>
              </w:rPr>
              <w:t>verified</w:t>
            </w:r>
            <w:r w:rsidRPr="00AF0D01">
              <w:rPr>
                <w:rFonts w:cs="Arial"/>
                <w:color w:val="000000"/>
                <w:sz w:val="20"/>
              </w:rPr>
              <w:t xml:space="preserve"> through visual inspection and geo-tagged photographic evidence, and where possible administered on electronic platforms with built-in quality checks.</w:t>
            </w:r>
          </w:p>
        </w:tc>
      </w:tr>
      <w:tr w:rsidR="00712587" w14:paraId="2CA32578" w14:textId="77777777">
        <w:tc>
          <w:tcPr>
            <w:tcW w:w="2348" w:type="dxa"/>
            <w:shd w:val="clear" w:color="auto" w:fill="E6E6E6"/>
          </w:tcPr>
          <w:p w14:paraId="5C41A272" w14:textId="592492E4" w:rsidR="00712587" w:rsidRDefault="00BF24D4" w:rsidP="00BF24D4">
            <w:pPr>
              <w:spacing w:before="60" w:after="60"/>
              <w:ind w:right="57"/>
              <w:jc w:val="left"/>
              <w:rPr>
                <w:rFonts w:eastAsia="Arial" w:cs="Arial"/>
                <w:sz w:val="20"/>
              </w:rPr>
            </w:pPr>
            <w:r w:rsidRPr="00712587">
              <w:rPr>
                <w:rFonts w:eastAsia="Arial" w:cs="Arial"/>
                <w:sz w:val="20"/>
              </w:rPr>
              <w:lastRenderedPageBreak/>
              <w:t>Treatment of uncertainty</w:t>
            </w:r>
          </w:p>
        </w:tc>
        <w:tc>
          <w:tcPr>
            <w:tcW w:w="7224" w:type="dxa"/>
            <w:gridSpan w:val="4"/>
          </w:tcPr>
          <w:p w14:paraId="5D01E460" w14:textId="0C552866" w:rsidR="00712587" w:rsidRPr="00BF24D4" w:rsidRDefault="007A003E" w:rsidP="00BF24D4">
            <w:pPr>
              <w:tabs>
                <w:tab w:val="left" w:pos="567"/>
              </w:tabs>
              <w:spacing w:before="20" w:after="20"/>
              <w:ind w:right="159"/>
              <w:rPr>
                <w:rFonts w:cs="Arial"/>
                <w:i/>
                <w:iCs/>
                <w:color w:val="4F81BD" w:themeColor="accent1"/>
                <w:sz w:val="20"/>
              </w:rPr>
            </w:pPr>
            <w:r w:rsidRPr="002E6FE3">
              <w:rPr>
                <w:rFonts w:eastAsia="Arial" w:cs="Arial"/>
                <w:sz w:val="20"/>
              </w:rPr>
              <w:t>The parameter estimate from the survey must meet the minimum confidence and precision of 95/10 to use the mean value. If the target precision is not met, the project proponent shall apply the conservative bound</w:t>
            </w:r>
            <w:r>
              <w:rPr>
                <w:rFonts w:eastAsia="Arial" w:cs="Arial"/>
                <w:sz w:val="20"/>
              </w:rPr>
              <w:t>s</w:t>
            </w:r>
            <w:r w:rsidRPr="002E6FE3">
              <w:rPr>
                <w:rFonts w:eastAsia="Arial" w:cs="Arial"/>
                <w:sz w:val="20"/>
              </w:rPr>
              <w:t xml:space="preserve"> of the confidence interval</w:t>
            </w:r>
            <w:r>
              <w:rPr>
                <w:rFonts w:eastAsia="Arial" w:cs="Arial"/>
                <w:sz w:val="20"/>
              </w:rPr>
              <w:t>s</w:t>
            </w:r>
            <w:r w:rsidRPr="002E6FE3">
              <w:rPr>
                <w:rFonts w:eastAsia="Arial" w:cs="Arial"/>
                <w:sz w:val="20"/>
              </w:rPr>
              <w:t xml:space="preserve"> as the parameter value. The conservative bound</w:t>
            </w:r>
            <w:r>
              <w:rPr>
                <w:rFonts w:eastAsia="Arial" w:cs="Arial"/>
                <w:sz w:val="20"/>
              </w:rPr>
              <w:t>s</w:t>
            </w:r>
            <w:r w:rsidRPr="002E6FE3">
              <w:rPr>
                <w:rFonts w:eastAsia="Arial" w:cs="Arial"/>
                <w:sz w:val="20"/>
              </w:rPr>
              <w:t xml:space="preserve"> </w:t>
            </w:r>
            <w:r>
              <w:rPr>
                <w:rFonts w:eastAsia="Arial" w:cs="Arial"/>
                <w:sz w:val="20"/>
              </w:rPr>
              <w:t>are those</w:t>
            </w:r>
            <w:r w:rsidRPr="002E6FE3">
              <w:rPr>
                <w:rFonts w:eastAsia="Arial" w:cs="Arial"/>
                <w:sz w:val="20"/>
              </w:rPr>
              <w:t xml:space="preserve"> </w:t>
            </w:r>
            <w:r>
              <w:rPr>
                <w:rFonts w:eastAsia="Arial" w:cs="Arial"/>
                <w:sz w:val="20"/>
              </w:rPr>
              <w:t>that</w:t>
            </w:r>
            <w:r w:rsidRPr="002E6FE3">
              <w:rPr>
                <w:rFonts w:eastAsia="Arial" w:cs="Arial"/>
                <w:sz w:val="20"/>
              </w:rPr>
              <w:t xml:space="preserve"> produce a lower CO</w:t>
            </w:r>
            <w:r w:rsidRPr="00E340E3">
              <w:rPr>
                <w:rFonts w:eastAsia="Arial" w:cs="Arial"/>
                <w:sz w:val="20"/>
                <w:vertAlign w:val="subscript"/>
              </w:rPr>
              <w:t>2</w:t>
            </w:r>
            <w:r w:rsidRPr="002E6FE3">
              <w:rPr>
                <w:rFonts w:eastAsia="Arial" w:cs="Arial"/>
                <w:sz w:val="20"/>
              </w:rPr>
              <w:t>e emissions reduction estimate.</w:t>
            </w:r>
          </w:p>
        </w:tc>
      </w:tr>
      <w:tr w:rsidR="005B411E" w14:paraId="36144F1D" w14:textId="77777777">
        <w:tc>
          <w:tcPr>
            <w:tcW w:w="2348" w:type="dxa"/>
            <w:shd w:val="clear" w:color="auto" w:fill="E6E6E6"/>
          </w:tcPr>
          <w:p w14:paraId="267399A5"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3BDA0591" w14:textId="77777777" w:rsidR="005B411E" w:rsidRDefault="005B411E">
            <w:pPr>
              <w:spacing w:before="60" w:after="60"/>
              <w:ind w:right="57"/>
              <w:rPr>
                <w:rFonts w:eastAsia="Arial" w:cs="Arial"/>
                <w:sz w:val="20"/>
              </w:rPr>
            </w:pPr>
            <w:r>
              <w:rPr>
                <w:rFonts w:eastAsia="Arial" w:cs="Arial"/>
                <w:sz w:val="20"/>
              </w:rPr>
              <w:t>-</w:t>
            </w:r>
          </w:p>
        </w:tc>
      </w:tr>
    </w:tbl>
    <w:p w14:paraId="442BD14B" w14:textId="77777777" w:rsidR="005B411E" w:rsidRDefault="005B411E" w:rsidP="005B411E">
      <w:pPr>
        <w:spacing w:before="60" w:after="60"/>
        <w:ind w:left="40" w:right="159"/>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75"/>
        <w:gridCol w:w="933"/>
        <w:gridCol w:w="2408"/>
        <w:gridCol w:w="2408"/>
      </w:tblGrid>
      <w:tr w:rsidR="005B411E" w14:paraId="1077C023" w14:textId="77777777">
        <w:tc>
          <w:tcPr>
            <w:tcW w:w="2348" w:type="dxa"/>
            <w:shd w:val="clear" w:color="auto" w:fill="E6E6E6"/>
          </w:tcPr>
          <w:p w14:paraId="60090834" w14:textId="77777777" w:rsidR="005B411E" w:rsidRDefault="005B411E">
            <w:pPr>
              <w:pBdr>
                <w:top w:val="nil"/>
                <w:left w:val="nil"/>
                <w:bottom w:val="nil"/>
                <w:right w:val="nil"/>
                <w:between w:val="nil"/>
              </w:pBdr>
              <w:tabs>
                <w:tab w:val="left" w:pos="510"/>
              </w:tabs>
              <w:spacing w:before="60" w:after="60"/>
              <w:ind w:right="57"/>
              <w:rPr>
                <w:rFonts w:eastAsia="Arial" w:cs="Arial"/>
                <w:b/>
                <w:color w:val="000000"/>
                <w:sz w:val="20"/>
              </w:rPr>
            </w:pPr>
            <w:r>
              <w:rPr>
                <w:rFonts w:eastAsia="Arial" w:cs="Arial"/>
                <w:b/>
                <w:color w:val="000000"/>
                <w:sz w:val="20"/>
              </w:rPr>
              <w:t>Data/parameter</w:t>
            </w:r>
          </w:p>
        </w:tc>
        <w:tc>
          <w:tcPr>
            <w:tcW w:w="7224" w:type="dxa"/>
            <w:gridSpan w:val="4"/>
          </w:tcPr>
          <w:p w14:paraId="558CAA8D" w14:textId="77777777" w:rsidR="005B411E" w:rsidRDefault="005B411E">
            <w:pPr>
              <w:pBdr>
                <w:top w:val="nil"/>
                <w:left w:val="nil"/>
                <w:bottom w:val="nil"/>
                <w:right w:val="nil"/>
                <w:between w:val="nil"/>
              </w:pBdr>
              <w:tabs>
                <w:tab w:val="left" w:pos="510"/>
              </w:tabs>
              <w:spacing w:before="60" w:after="60"/>
              <w:ind w:right="57"/>
              <w:rPr>
                <w:rFonts w:eastAsia="Arial" w:cs="Arial"/>
                <w:b/>
                <w:color w:val="000000"/>
                <w:sz w:val="20"/>
              </w:rPr>
            </w:pPr>
            <w:r w:rsidRPr="00CB42E1">
              <w:rPr>
                <w:rFonts w:ascii="Cambria Math" w:eastAsia="Cambria Math" w:hAnsi="Cambria Math" w:cs="Cambria Math"/>
              </w:rPr>
              <w:t>𝑛</w:t>
            </w:r>
            <w:r>
              <w:rPr>
                <w:rFonts w:ascii="Cambria Math" w:eastAsia="Cambria Math" w:hAnsi="Cambria Math" w:cs="Cambria Math"/>
              </w:rPr>
              <w:t>t</w:t>
            </w:r>
            <w:r w:rsidRPr="00CB42E1">
              <w:rPr>
                <w:rFonts w:ascii="Cambria Math" w:eastAsia="Cambria Math" w:hAnsi="Cambria Math" w:cs="Cambria Math"/>
              </w:rPr>
              <w:t>𝐸𝐶</w:t>
            </w:r>
            <w:proofErr w:type="spellStart"/>
            <w:proofErr w:type="gramStart"/>
            <w:r>
              <w:rPr>
                <w:rFonts w:ascii="Cambria Math" w:eastAsia="Cambria Math" w:hAnsi="Cambria Math" w:cs="Cambria Math"/>
                <w:vertAlign w:val="subscript"/>
              </w:rPr>
              <w:t>base</w:t>
            </w:r>
            <w:r w:rsidRPr="00A12C99">
              <w:rPr>
                <w:rFonts w:ascii="Cambria Math" w:eastAsia="Cambria Math" w:hAnsi="Cambria Math" w:cs="Cambria Math"/>
                <w:i/>
                <w:iCs/>
                <w:vertAlign w:val="subscript"/>
              </w:rPr>
              <w:t>,</w:t>
            </w:r>
            <w:r>
              <w:rPr>
                <w:rFonts w:ascii="Cambria Math" w:eastAsia="Cambria Math" w:hAnsi="Cambria Math" w:cs="Cambria Math"/>
                <w:i/>
                <w:iCs/>
                <w:vertAlign w:val="subscript"/>
              </w:rPr>
              <w:t>i</w:t>
            </w:r>
            <w:proofErr w:type="gramEnd"/>
            <w:r>
              <w:rPr>
                <w:rFonts w:ascii="Cambria Math" w:eastAsia="Cambria Math" w:hAnsi="Cambria Math" w:cs="Cambria Math"/>
                <w:i/>
                <w:iCs/>
                <w:vertAlign w:val="subscript"/>
              </w:rPr>
              <w:t>,y</w:t>
            </w:r>
            <w:proofErr w:type="spellEnd"/>
          </w:p>
        </w:tc>
      </w:tr>
      <w:tr w:rsidR="005B411E" w14:paraId="4FA1453A" w14:textId="77777777">
        <w:tc>
          <w:tcPr>
            <w:tcW w:w="2348" w:type="dxa"/>
            <w:shd w:val="clear" w:color="auto" w:fill="E6E6E6"/>
          </w:tcPr>
          <w:p w14:paraId="5D12BB2E" w14:textId="77777777" w:rsidR="005B411E" w:rsidRDefault="005B411E">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Description</w:t>
            </w:r>
          </w:p>
        </w:tc>
        <w:tc>
          <w:tcPr>
            <w:tcW w:w="7224" w:type="dxa"/>
            <w:gridSpan w:val="4"/>
          </w:tcPr>
          <w:p w14:paraId="32A3C3F4" w14:textId="77777777" w:rsidR="005B411E" w:rsidRPr="00F05D8C" w:rsidRDefault="005B411E">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Energy consumption of baseline fuel</w:t>
            </w:r>
            <w:r w:rsidRPr="008D0AF8">
              <w:rPr>
                <w:rFonts w:eastAsia="Arial" w:cs="Arial"/>
                <w:i/>
                <w:color w:val="000000" w:themeColor="text1"/>
                <w:sz w:val="20"/>
              </w:rPr>
              <w:t xml:space="preserve"> </w:t>
            </w:r>
            <w:proofErr w:type="spellStart"/>
            <w:r w:rsidRPr="008D0AF8">
              <w:rPr>
                <w:rFonts w:eastAsia="Arial" w:cs="Arial"/>
                <w:i/>
                <w:color w:val="000000" w:themeColor="text1"/>
                <w:sz w:val="20"/>
              </w:rPr>
              <w:t>i</w:t>
            </w:r>
            <w:proofErr w:type="spellEnd"/>
            <w:r w:rsidRPr="18C4CD90">
              <w:rPr>
                <w:rFonts w:eastAsia="Arial" w:cs="Arial"/>
                <w:color w:val="000000" w:themeColor="text1"/>
                <w:sz w:val="20"/>
              </w:rPr>
              <w:t xml:space="preserve"> for non-CTEC projects</w:t>
            </w:r>
            <w:r>
              <w:rPr>
                <w:rFonts w:eastAsia="Arial" w:cs="Arial"/>
                <w:color w:val="000000" w:themeColor="text1"/>
                <w:sz w:val="20"/>
              </w:rPr>
              <w:t xml:space="preserve"> in year </w:t>
            </w:r>
            <w:r w:rsidRPr="00584530">
              <w:rPr>
                <w:rFonts w:eastAsia="Arial" w:cs="Arial"/>
                <w:i/>
                <w:iCs/>
                <w:color w:val="000000" w:themeColor="text1"/>
                <w:sz w:val="20"/>
              </w:rPr>
              <w:t>y</w:t>
            </w:r>
          </w:p>
        </w:tc>
      </w:tr>
      <w:tr w:rsidR="005B411E" w14:paraId="40C44537" w14:textId="77777777">
        <w:tc>
          <w:tcPr>
            <w:tcW w:w="2348" w:type="dxa"/>
            <w:shd w:val="clear" w:color="auto" w:fill="E6E6E6"/>
          </w:tcPr>
          <w:p w14:paraId="78E996E3" w14:textId="77777777" w:rsidR="005B411E" w:rsidRDefault="005B411E">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Data unit</w:t>
            </w:r>
          </w:p>
        </w:tc>
        <w:tc>
          <w:tcPr>
            <w:tcW w:w="7224" w:type="dxa"/>
            <w:gridSpan w:val="4"/>
          </w:tcPr>
          <w:p w14:paraId="344E73FB" w14:textId="77777777" w:rsidR="005B411E" w:rsidRPr="00F05D8C" w:rsidRDefault="005B411E">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TJ/(person*year)</w:t>
            </w:r>
          </w:p>
        </w:tc>
      </w:tr>
      <w:tr w:rsidR="005B411E" w14:paraId="0E073530" w14:textId="77777777">
        <w:tc>
          <w:tcPr>
            <w:tcW w:w="2348" w:type="dxa"/>
            <w:shd w:val="clear" w:color="auto" w:fill="E6E6E6"/>
          </w:tcPr>
          <w:p w14:paraId="44A03170" w14:textId="77777777" w:rsidR="005B411E" w:rsidRDefault="005B411E">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Equations referred</w:t>
            </w:r>
          </w:p>
        </w:tc>
        <w:tc>
          <w:tcPr>
            <w:tcW w:w="7224" w:type="dxa"/>
            <w:gridSpan w:val="4"/>
            <w:tcBorders>
              <w:bottom w:val="single" w:sz="4" w:space="0" w:color="000000" w:themeColor="text1"/>
            </w:tcBorders>
          </w:tcPr>
          <w:p w14:paraId="50956316" w14:textId="58FA3690" w:rsidR="005B411E" w:rsidRPr="00F05D8C" w:rsidRDefault="005B411E">
            <w:pPr>
              <w:pBdr>
                <w:top w:val="nil"/>
                <w:left w:val="nil"/>
                <w:bottom w:val="nil"/>
                <w:right w:val="nil"/>
                <w:between w:val="nil"/>
              </w:pBdr>
              <w:tabs>
                <w:tab w:val="left" w:pos="510"/>
              </w:tabs>
              <w:spacing w:before="60" w:after="60"/>
              <w:ind w:right="57"/>
              <w:rPr>
                <w:rFonts w:eastAsia="Arial" w:cs="Arial"/>
                <w:color w:val="000000"/>
                <w:sz w:val="20"/>
              </w:rPr>
            </w:pPr>
            <w:hyperlink w:anchor="e18" w:history="1">
              <w:r w:rsidRPr="003A01F0">
                <w:rPr>
                  <w:rStyle w:val="Hyperlink"/>
                  <w:rFonts w:eastAsia="Arial" w:cs="Arial"/>
                  <w:sz w:val="20"/>
                </w:rPr>
                <w:t>Eq. 18</w:t>
              </w:r>
            </w:hyperlink>
          </w:p>
        </w:tc>
      </w:tr>
      <w:tr w:rsidR="005B411E" w14:paraId="2AB702CA" w14:textId="77777777">
        <w:tc>
          <w:tcPr>
            <w:tcW w:w="2348" w:type="dxa"/>
            <w:vMerge w:val="restart"/>
            <w:shd w:val="clear" w:color="auto" w:fill="E6E6E6"/>
          </w:tcPr>
          <w:p w14:paraId="45901F05" w14:textId="77777777" w:rsidR="005B411E" w:rsidRDefault="005B411E">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color w:val="000000"/>
                <w:sz w:val="20"/>
              </w:rPr>
              <w:t>Purpose of data</w:t>
            </w:r>
          </w:p>
        </w:tc>
        <w:tc>
          <w:tcPr>
            <w:tcW w:w="2408" w:type="dxa"/>
            <w:gridSpan w:val="2"/>
            <w:tcBorders>
              <w:bottom w:val="nil"/>
              <w:right w:val="nil"/>
            </w:tcBorders>
          </w:tcPr>
          <w:p w14:paraId="4502DF94" w14:textId="77777777" w:rsidR="005B411E" w:rsidRPr="00F05D8C" w:rsidRDefault="005B411E">
            <w:pPr>
              <w:pBdr>
                <w:top w:val="nil"/>
                <w:left w:val="nil"/>
                <w:bottom w:val="nil"/>
                <w:right w:val="nil"/>
                <w:between w:val="nil"/>
              </w:pBdr>
              <w:tabs>
                <w:tab w:val="left" w:pos="510"/>
              </w:tabs>
              <w:spacing w:before="60" w:after="60"/>
              <w:ind w:right="57"/>
              <w:rPr>
                <w:rFonts w:eastAsia="Arial" w:cs="Arial"/>
                <w:color w:val="000000"/>
                <w:sz w:val="20"/>
              </w:rPr>
            </w:pPr>
            <w:r w:rsidRPr="7EB30EA0">
              <w:rPr>
                <w:rFonts w:ascii="Wingdings 2" w:eastAsia="Wingdings 2" w:hAnsi="Wingdings 2" w:cs="Wingdings 2"/>
                <w:color w:val="000000" w:themeColor="text1"/>
                <w:sz w:val="20"/>
              </w:rPr>
              <w:t>T</w:t>
            </w:r>
            <w:r w:rsidRPr="18C4CD90">
              <w:rPr>
                <w:rFonts w:eastAsia="Arial" w:cs="Arial"/>
                <w:color w:val="000000" w:themeColor="text1"/>
                <w:sz w:val="20"/>
              </w:rPr>
              <w:t xml:space="preserve"> </w:t>
            </w:r>
            <w:r w:rsidRPr="7EB30EA0">
              <w:rPr>
                <w:rFonts w:eastAsia="Arial" w:cs="Arial"/>
                <w:color w:val="000000" w:themeColor="text1"/>
                <w:sz w:val="20"/>
              </w:rPr>
              <w:t>Baseline emissions / removals</w:t>
            </w:r>
          </w:p>
        </w:tc>
        <w:tc>
          <w:tcPr>
            <w:tcW w:w="2408" w:type="dxa"/>
            <w:tcBorders>
              <w:left w:val="nil"/>
              <w:bottom w:val="nil"/>
              <w:right w:val="nil"/>
            </w:tcBorders>
          </w:tcPr>
          <w:p w14:paraId="1A4805A9" w14:textId="77777777" w:rsidR="005B411E" w:rsidRPr="00F05D8C" w:rsidRDefault="005B411E">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Project emissions / removals</w:t>
            </w:r>
          </w:p>
        </w:tc>
        <w:tc>
          <w:tcPr>
            <w:tcW w:w="2408" w:type="dxa"/>
            <w:tcBorders>
              <w:left w:val="nil"/>
              <w:bottom w:val="nil"/>
            </w:tcBorders>
          </w:tcPr>
          <w:p w14:paraId="580DF684" w14:textId="77777777" w:rsidR="005B411E" w:rsidRPr="00F05D8C" w:rsidRDefault="005B411E">
            <w:pPr>
              <w:pBdr>
                <w:top w:val="nil"/>
                <w:left w:val="nil"/>
                <w:bottom w:val="nil"/>
                <w:right w:val="nil"/>
                <w:between w:val="nil"/>
              </w:pBdr>
              <w:tabs>
                <w:tab w:val="left" w:pos="510"/>
              </w:tabs>
              <w:spacing w:before="60" w:after="60"/>
              <w:ind w:right="57"/>
              <w:rPr>
                <w:rFonts w:eastAsia="Arial" w:cs="Arial"/>
                <w:color w:val="000000"/>
                <w:sz w:val="20"/>
              </w:rPr>
            </w:pPr>
            <w:r w:rsidRPr="00F05D8C">
              <w:rPr>
                <w:rFonts w:ascii="Segoe UI Symbol" w:eastAsia="Arial" w:hAnsi="Segoe UI Symbol" w:cs="Segoe UI Symbol"/>
                <w:color w:val="000000"/>
                <w:sz w:val="20"/>
                <w:shd w:val="clear" w:color="auto" w:fill="E6E6E6"/>
              </w:rPr>
              <w:t>☐</w:t>
            </w:r>
            <w:r w:rsidRPr="00F05D8C">
              <w:rPr>
                <w:rFonts w:eastAsia="Arial" w:cs="Arial"/>
                <w:color w:val="000000"/>
                <w:sz w:val="20"/>
              </w:rPr>
              <w:t xml:space="preserve"> Leakage emissions</w:t>
            </w:r>
          </w:p>
        </w:tc>
      </w:tr>
      <w:tr w:rsidR="005B411E" w14:paraId="7FD45AAC" w14:textId="77777777">
        <w:tc>
          <w:tcPr>
            <w:tcW w:w="2348" w:type="dxa"/>
            <w:vMerge/>
          </w:tcPr>
          <w:p w14:paraId="49F2DB3F" w14:textId="77777777" w:rsidR="005B411E" w:rsidRDefault="005B411E">
            <w:pPr>
              <w:widowControl w:val="0"/>
              <w:pBdr>
                <w:top w:val="nil"/>
                <w:left w:val="nil"/>
                <w:bottom w:val="nil"/>
                <w:right w:val="nil"/>
                <w:between w:val="nil"/>
              </w:pBdr>
              <w:spacing w:line="276" w:lineRule="auto"/>
              <w:rPr>
                <w:rFonts w:eastAsia="Arial" w:cs="Arial"/>
                <w:color w:val="000000"/>
                <w:sz w:val="20"/>
              </w:rPr>
            </w:pPr>
          </w:p>
        </w:tc>
        <w:tc>
          <w:tcPr>
            <w:tcW w:w="7224" w:type="dxa"/>
            <w:gridSpan w:val="4"/>
            <w:tcBorders>
              <w:top w:val="nil"/>
              <w:bottom w:val="single" w:sz="4" w:space="0" w:color="000000" w:themeColor="text1"/>
            </w:tcBorders>
          </w:tcPr>
          <w:p w14:paraId="04D1CDE4" w14:textId="77777777" w:rsidR="005B411E" w:rsidRPr="00F05D8C" w:rsidRDefault="005B411E">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Calculation of baseline emissions for non-CTEC projects</w:t>
            </w:r>
          </w:p>
        </w:tc>
      </w:tr>
      <w:tr w:rsidR="00C81161" w14:paraId="58DCACAC" w14:textId="77777777" w:rsidTr="00C81161">
        <w:tc>
          <w:tcPr>
            <w:tcW w:w="2348" w:type="dxa"/>
            <w:shd w:val="clear" w:color="auto" w:fill="E6E6E6"/>
          </w:tcPr>
          <w:p w14:paraId="50B318DF" w14:textId="24D93235" w:rsidR="00C81161" w:rsidRDefault="00C81161" w:rsidP="00C81161">
            <w:pPr>
              <w:widowControl w:val="0"/>
              <w:pBdr>
                <w:top w:val="nil"/>
                <w:left w:val="nil"/>
                <w:bottom w:val="nil"/>
                <w:right w:val="nil"/>
                <w:between w:val="nil"/>
              </w:pBdr>
              <w:spacing w:line="276" w:lineRule="auto"/>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top w:val="nil"/>
              <w:bottom w:val="single" w:sz="4" w:space="0" w:color="000000" w:themeColor="text1"/>
            </w:tcBorders>
            <w:vAlign w:val="center"/>
          </w:tcPr>
          <w:p w14:paraId="01CE0D30" w14:textId="2562A324" w:rsidR="00C81161" w:rsidRPr="003748F5" w:rsidRDefault="00816E64">
            <w:pPr>
              <w:pBdr>
                <w:top w:val="nil"/>
                <w:left w:val="nil"/>
                <w:bottom w:val="nil"/>
                <w:right w:val="nil"/>
                <w:between w:val="nil"/>
              </w:pBdr>
              <w:tabs>
                <w:tab w:val="left" w:pos="510"/>
              </w:tabs>
              <w:spacing w:before="60" w:after="60"/>
              <w:ind w:right="57"/>
              <w:rPr>
                <w:rFonts w:eastAsia="Arial" w:cs="Arial"/>
                <w:sz w:val="20"/>
              </w:rPr>
            </w:pPr>
            <w:r w:rsidRPr="18C4CD90">
              <w:rPr>
                <w:rFonts w:eastAsia="Arial" w:cs="Arial"/>
                <w:color w:val="000000" w:themeColor="text1"/>
                <w:sz w:val="20"/>
              </w:rPr>
              <w:t>Frequency of monitoring: Beginning of the crediting period</w:t>
            </w:r>
          </w:p>
        </w:tc>
      </w:tr>
      <w:tr w:rsidR="005B411E" w14:paraId="07582349" w14:textId="77777777" w:rsidTr="00C81161">
        <w:tc>
          <w:tcPr>
            <w:tcW w:w="2348" w:type="dxa"/>
            <w:shd w:val="clear" w:color="auto" w:fill="E6E6E6"/>
          </w:tcPr>
          <w:p w14:paraId="10A77731" w14:textId="77777777" w:rsidR="005B411E" w:rsidRDefault="005B411E">
            <w:pPr>
              <w:widowControl w:val="0"/>
              <w:pBdr>
                <w:top w:val="nil"/>
                <w:left w:val="nil"/>
                <w:bottom w:val="nil"/>
                <w:right w:val="nil"/>
                <w:between w:val="nil"/>
              </w:pBdr>
              <w:spacing w:line="276" w:lineRule="auto"/>
              <w:rPr>
                <w:rFonts w:eastAsia="Arial" w:cs="Arial"/>
                <w:color w:val="000000"/>
                <w:sz w:val="20"/>
              </w:rPr>
            </w:pPr>
            <w:r>
              <w:rPr>
                <w:rFonts w:eastAsia="Arial" w:cs="Arial"/>
                <w:sz w:val="20"/>
              </w:rPr>
              <w:t>Measurement methods and procedures</w:t>
            </w:r>
          </w:p>
        </w:tc>
        <w:tc>
          <w:tcPr>
            <w:tcW w:w="7224" w:type="dxa"/>
            <w:gridSpan w:val="4"/>
            <w:tcBorders>
              <w:top w:val="nil"/>
              <w:bottom w:val="single" w:sz="4" w:space="0" w:color="000000" w:themeColor="text1"/>
            </w:tcBorders>
            <w:vAlign w:val="center"/>
          </w:tcPr>
          <w:p w14:paraId="03944C46" w14:textId="77777777" w:rsidR="005B411E" w:rsidRDefault="005B411E">
            <w:pPr>
              <w:pBdr>
                <w:top w:val="nil"/>
                <w:left w:val="nil"/>
                <w:bottom w:val="nil"/>
                <w:right w:val="nil"/>
                <w:between w:val="nil"/>
              </w:pBdr>
              <w:tabs>
                <w:tab w:val="left" w:pos="510"/>
              </w:tabs>
              <w:spacing w:before="60" w:after="60"/>
              <w:ind w:right="57"/>
              <w:rPr>
                <w:rFonts w:eastAsia="Arial" w:cs="Arial"/>
                <w:sz w:val="20"/>
              </w:rPr>
            </w:pPr>
            <w:r w:rsidRPr="003748F5">
              <w:rPr>
                <w:rFonts w:eastAsia="Arial" w:cs="Arial"/>
                <w:sz w:val="20"/>
              </w:rPr>
              <w:t xml:space="preserve">Representative sample using a </w:t>
            </w:r>
            <w:r>
              <w:rPr>
                <w:rFonts w:eastAsia="Arial" w:cs="Arial"/>
                <w:sz w:val="20"/>
              </w:rPr>
              <w:t xml:space="preserve">baseline </w:t>
            </w:r>
            <w:r w:rsidRPr="003748F5">
              <w:rPr>
                <w:rFonts w:eastAsia="Arial" w:cs="Arial"/>
                <w:sz w:val="20"/>
              </w:rPr>
              <w:t>KPT.</w:t>
            </w:r>
          </w:p>
          <w:p w14:paraId="6B3ED91E" w14:textId="77777777" w:rsidR="005B411E" w:rsidRDefault="005B411E">
            <w:pPr>
              <w:pBdr>
                <w:top w:val="nil"/>
                <w:left w:val="nil"/>
                <w:bottom w:val="nil"/>
                <w:right w:val="nil"/>
                <w:between w:val="nil"/>
              </w:pBdr>
              <w:tabs>
                <w:tab w:val="left" w:pos="510"/>
              </w:tabs>
              <w:spacing w:before="60" w:after="60"/>
              <w:ind w:right="57"/>
              <w:rPr>
                <w:rFonts w:eastAsia="Arial" w:cs="Arial"/>
                <w:sz w:val="20"/>
              </w:rPr>
            </w:pPr>
          </w:p>
          <w:p w14:paraId="651C3CDF" w14:textId="77777777" w:rsidR="005B411E" w:rsidRPr="18C4CD90" w:rsidRDefault="005B411E">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 xml:space="preserve">Projects that choose the KPT approach to determine fuel consumption in the baseline scenario must collect data from a representative sample of households and follow the most recent version of the KPT protocol available at this link: </w:t>
            </w:r>
            <w:hyperlink r:id="rId57" w:history="1">
              <w:r w:rsidRPr="18C4CD90">
                <w:rPr>
                  <w:rStyle w:val="Hyperlink"/>
                  <w:rFonts w:eastAsia="Arial" w:cs="Arial"/>
                  <w:sz w:val="20"/>
                </w:rPr>
                <w:t>https://cleancooking.org/protocols/</w:t>
              </w:r>
            </w:hyperlink>
          </w:p>
        </w:tc>
      </w:tr>
      <w:tr w:rsidR="005B411E" w14:paraId="0F12F1BE" w14:textId="77777777" w:rsidTr="00C81161">
        <w:tc>
          <w:tcPr>
            <w:tcW w:w="2348" w:type="dxa"/>
            <w:shd w:val="clear" w:color="auto" w:fill="E6E6E6"/>
          </w:tcPr>
          <w:p w14:paraId="5B4E6D0D" w14:textId="77777777" w:rsidR="005B411E" w:rsidRDefault="005B411E">
            <w:pPr>
              <w:widowControl w:val="0"/>
              <w:pBdr>
                <w:top w:val="nil"/>
                <w:left w:val="nil"/>
                <w:bottom w:val="nil"/>
                <w:right w:val="nil"/>
                <w:between w:val="nil"/>
              </w:pBdr>
              <w:spacing w:line="276" w:lineRule="auto"/>
              <w:rPr>
                <w:rFonts w:eastAsia="Arial" w:cs="Arial"/>
                <w:color w:val="000000"/>
                <w:sz w:val="20"/>
              </w:rPr>
            </w:pPr>
            <w:r>
              <w:rPr>
                <w:rFonts w:eastAsia="Arial" w:cs="Arial"/>
                <w:sz w:val="20"/>
              </w:rPr>
              <w:t>Entity/person responsible for the measurement</w:t>
            </w:r>
          </w:p>
        </w:tc>
        <w:tc>
          <w:tcPr>
            <w:tcW w:w="7224" w:type="dxa"/>
            <w:gridSpan w:val="4"/>
            <w:tcBorders>
              <w:top w:val="nil"/>
              <w:bottom w:val="single" w:sz="4" w:space="0" w:color="000000" w:themeColor="text1"/>
            </w:tcBorders>
          </w:tcPr>
          <w:p w14:paraId="6ABA7B24" w14:textId="77777777" w:rsidR="005B411E" w:rsidRPr="18C4CD90" w:rsidRDefault="005B411E">
            <w:pPr>
              <w:pBdr>
                <w:top w:val="nil"/>
                <w:left w:val="nil"/>
                <w:bottom w:val="nil"/>
                <w:right w:val="nil"/>
                <w:between w:val="nil"/>
              </w:pBdr>
              <w:tabs>
                <w:tab w:val="left" w:pos="510"/>
              </w:tabs>
              <w:spacing w:before="60" w:after="60"/>
              <w:ind w:right="57"/>
              <w:rPr>
                <w:rFonts w:eastAsia="Arial" w:cs="Arial"/>
                <w:color w:val="000000" w:themeColor="text1"/>
                <w:sz w:val="20"/>
              </w:rPr>
            </w:pPr>
            <w:r>
              <w:rPr>
                <w:rFonts w:eastAsia="Arial" w:cs="Arial"/>
                <w:sz w:val="20"/>
              </w:rPr>
              <w:t>Project proponent</w:t>
            </w:r>
          </w:p>
        </w:tc>
      </w:tr>
      <w:tr w:rsidR="005B411E" w14:paraId="6A347C12" w14:textId="77777777" w:rsidTr="00C81161">
        <w:tc>
          <w:tcPr>
            <w:tcW w:w="2348" w:type="dxa"/>
            <w:vMerge w:val="restart"/>
            <w:shd w:val="clear" w:color="auto" w:fill="E6E6E6"/>
          </w:tcPr>
          <w:p w14:paraId="64D0BB72" w14:textId="77777777" w:rsidR="005B411E" w:rsidRDefault="005B411E">
            <w:pPr>
              <w:widowControl w:val="0"/>
              <w:pBdr>
                <w:top w:val="nil"/>
                <w:left w:val="nil"/>
                <w:bottom w:val="nil"/>
                <w:right w:val="nil"/>
                <w:between w:val="nil"/>
              </w:pBdr>
              <w:spacing w:line="276" w:lineRule="auto"/>
              <w:rPr>
                <w:rFonts w:eastAsia="Arial" w:cs="Arial"/>
                <w:sz w:val="20"/>
              </w:rPr>
            </w:pPr>
            <w:r>
              <w:rPr>
                <w:rFonts w:eastAsia="Arial" w:cs="Arial"/>
                <w:sz w:val="20"/>
              </w:rPr>
              <w:t>Measuring instrument(s)</w:t>
            </w:r>
          </w:p>
          <w:p w14:paraId="36B3F1CF" w14:textId="77777777" w:rsidR="005B411E" w:rsidRDefault="005B411E">
            <w:pPr>
              <w:widowControl w:val="0"/>
              <w:pBdr>
                <w:top w:val="nil"/>
                <w:left w:val="nil"/>
                <w:bottom w:val="nil"/>
                <w:right w:val="nil"/>
                <w:between w:val="nil"/>
              </w:pBdr>
              <w:spacing w:line="276" w:lineRule="auto"/>
              <w:rPr>
                <w:rFonts w:eastAsia="Arial" w:cs="Arial"/>
                <w:sz w:val="20"/>
              </w:rPr>
            </w:pPr>
          </w:p>
          <w:p w14:paraId="30507388"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75" w:type="dxa"/>
            <w:tcBorders>
              <w:top w:val="nil"/>
              <w:bottom w:val="single" w:sz="4" w:space="0" w:color="000000" w:themeColor="text1"/>
            </w:tcBorders>
          </w:tcPr>
          <w:p w14:paraId="196D0060" w14:textId="77777777" w:rsidR="005B411E" w:rsidRDefault="005B411E">
            <w:pPr>
              <w:pBdr>
                <w:top w:val="nil"/>
                <w:left w:val="nil"/>
                <w:bottom w:val="nil"/>
                <w:right w:val="nil"/>
                <w:between w:val="nil"/>
              </w:pBdr>
              <w:tabs>
                <w:tab w:val="left" w:pos="510"/>
              </w:tabs>
              <w:spacing w:before="60" w:after="60"/>
              <w:ind w:right="57"/>
              <w:rPr>
                <w:rFonts w:eastAsia="Arial" w:cs="Arial"/>
                <w:sz w:val="20"/>
              </w:rPr>
            </w:pPr>
            <w:r>
              <w:rPr>
                <w:rFonts w:eastAsia="Arial" w:cs="Arial"/>
                <w:i/>
                <w:sz w:val="20"/>
              </w:rPr>
              <w:t>Type of instrument</w:t>
            </w:r>
          </w:p>
        </w:tc>
        <w:tc>
          <w:tcPr>
            <w:tcW w:w="5749" w:type="dxa"/>
            <w:gridSpan w:val="3"/>
            <w:tcBorders>
              <w:top w:val="nil"/>
              <w:bottom w:val="single" w:sz="4" w:space="0" w:color="000000" w:themeColor="text1"/>
            </w:tcBorders>
          </w:tcPr>
          <w:p w14:paraId="05B41FCC" w14:textId="77777777" w:rsidR="005B411E" w:rsidRDefault="005B411E">
            <w:pPr>
              <w:pBdr>
                <w:top w:val="nil"/>
                <w:left w:val="nil"/>
                <w:bottom w:val="nil"/>
                <w:right w:val="nil"/>
                <w:between w:val="nil"/>
              </w:pBdr>
              <w:tabs>
                <w:tab w:val="left" w:pos="510"/>
              </w:tabs>
              <w:spacing w:before="60" w:after="60"/>
              <w:ind w:right="57"/>
              <w:rPr>
                <w:rFonts w:eastAsia="Arial" w:cs="Arial"/>
                <w:sz w:val="20"/>
              </w:rPr>
            </w:pPr>
            <w:r>
              <w:rPr>
                <w:rFonts w:eastAsia="Arial" w:cs="Arial"/>
                <w:sz w:val="20"/>
              </w:rPr>
              <w:t>KPT</w:t>
            </w:r>
          </w:p>
        </w:tc>
      </w:tr>
      <w:tr w:rsidR="005B411E" w14:paraId="13056C48" w14:textId="77777777" w:rsidTr="7D956FC6">
        <w:tc>
          <w:tcPr>
            <w:tcW w:w="2348" w:type="dxa"/>
            <w:vMerge/>
          </w:tcPr>
          <w:p w14:paraId="7A88A9C2"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75" w:type="dxa"/>
            <w:tcBorders>
              <w:top w:val="nil"/>
            </w:tcBorders>
          </w:tcPr>
          <w:p w14:paraId="67E574E8" w14:textId="77777777" w:rsidR="005B411E" w:rsidRDefault="005B411E">
            <w:pPr>
              <w:pBdr>
                <w:top w:val="nil"/>
                <w:left w:val="nil"/>
                <w:bottom w:val="nil"/>
                <w:right w:val="nil"/>
                <w:between w:val="nil"/>
              </w:pBdr>
              <w:tabs>
                <w:tab w:val="left" w:pos="510"/>
              </w:tabs>
              <w:spacing w:before="60" w:after="60"/>
              <w:ind w:right="57"/>
              <w:rPr>
                <w:rFonts w:eastAsia="Arial" w:cs="Arial"/>
                <w:sz w:val="20"/>
              </w:rPr>
            </w:pPr>
            <w:r>
              <w:rPr>
                <w:rFonts w:eastAsia="Arial" w:cs="Arial"/>
                <w:i/>
                <w:sz w:val="20"/>
              </w:rPr>
              <w:t>Accuracy class</w:t>
            </w:r>
          </w:p>
        </w:tc>
        <w:tc>
          <w:tcPr>
            <w:tcW w:w="5749" w:type="dxa"/>
            <w:gridSpan w:val="3"/>
            <w:tcBorders>
              <w:top w:val="nil"/>
            </w:tcBorders>
          </w:tcPr>
          <w:p w14:paraId="68C2C4D1" w14:textId="045F8152" w:rsidR="005B411E" w:rsidRDefault="005B411E">
            <w:pPr>
              <w:pBdr>
                <w:top w:val="nil"/>
                <w:left w:val="nil"/>
                <w:bottom w:val="nil"/>
                <w:right w:val="nil"/>
                <w:between w:val="nil"/>
              </w:pBdr>
              <w:tabs>
                <w:tab w:val="left" w:pos="510"/>
              </w:tabs>
              <w:spacing w:before="60" w:after="60"/>
              <w:ind w:right="57"/>
              <w:rPr>
                <w:rFonts w:eastAsia="Arial" w:cs="Arial"/>
                <w:sz w:val="20"/>
              </w:rPr>
            </w:pPr>
            <w:r>
              <w:rPr>
                <w:rFonts w:eastAsia="Arial" w:cs="Arial"/>
                <w:sz w:val="20"/>
              </w:rPr>
              <w:t xml:space="preserve">See </w:t>
            </w:r>
            <w:r w:rsidR="006934B3">
              <w:rPr>
                <w:rFonts w:eastAsia="Arial" w:cs="Arial"/>
                <w:sz w:val="20"/>
              </w:rPr>
              <w:t>Treatment of uncertainty</w:t>
            </w:r>
          </w:p>
        </w:tc>
      </w:tr>
      <w:tr w:rsidR="005B411E" w14:paraId="5EABD869" w14:textId="77777777" w:rsidTr="7D956FC6">
        <w:tc>
          <w:tcPr>
            <w:tcW w:w="2348" w:type="dxa"/>
            <w:vMerge/>
          </w:tcPr>
          <w:p w14:paraId="5217BE47"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75" w:type="dxa"/>
          </w:tcPr>
          <w:p w14:paraId="73EB8581" w14:textId="77777777" w:rsidR="005B411E" w:rsidRDefault="005B411E">
            <w:pPr>
              <w:pBdr>
                <w:top w:val="nil"/>
                <w:left w:val="nil"/>
                <w:bottom w:val="nil"/>
                <w:right w:val="nil"/>
                <w:between w:val="nil"/>
              </w:pBdr>
              <w:tabs>
                <w:tab w:val="left" w:pos="510"/>
              </w:tabs>
              <w:spacing w:before="60" w:after="60"/>
              <w:ind w:right="57"/>
              <w:rPr>
                <w:rFonts w:eastAsia="Arial" w:cs="Arial"/>
                <w:sz w:val="20"/>
              </w:rPr>
            </w:pPr>
            <w:r>
              <w:rPr>
                <w:rFonts w:eastAsia="Arial" w:cs="Arial"/>
                <w:i/>
                <w:sz w:val="20"/>
              </w:rPr>
              <w:t>Calibration requirements</w:t>
            </w:r>
          </w:p>
        </w:tc>
        <w:tc>
          <w:tcPr>
            <w:tcW w:w="5749" w:type="dxa"/>
            <w:gridSpan w:val="3"/>
          </w:tcPr>
          <w:p w14:paraId="2D6D8C4B" w14:textId="4AD0AE02" w:rsidR="005B411E" w:rsidRDefault="00B5583D">
            <w:pPr>
              <w:pBdr>
                <w:top w:val="nil"/>
                <w:left w:val="nil"/>
                <w:bottom w:val="nil"/>
                <w:right w:val="nil"/>
                <w:between w:val="nil"/>
              </w:pBdr>
              <w:tabs>
                <w:tab w:val="left" w:pos="510"/>
              </w:tabs>
              <w:spacing w:before="60" w:after="60"/>
              <w:ind w:right="57"/>
              <w:rPr>
                <w:rFonts w:eastAsia="Arial" w:cs="Arial"/>
                <w:sz w:val="20"/>
              </w:rPr>
            </w:pPr>
            <w:r>
              <w:rPr>
                <w:sz w:val="20"/>
              </w:rPr>
              <w:t>See QA/QC procedures</w:t>
            </w:r>
          </w:p>
        </w:tc>
      </w:tr>
      <w:tr w:rsidR="005B411E" w14:paraId="5F9829CC" w14:textId="77777777" w:rsidTr="7D956FC6">
        <w:tc>
          <w:tcPr>
            <w:tcW w:w="2348" w:type="dxa"/>
            <w:vMerge/>
          </w:tcPr>
          <w:p w14:paraId="019A12B5"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75" w:type="dxa"/>
            <w:tcBorders>
              <w:bottom w:val="single" w:sz="4" w:space="0" w:color="000000" w:themeColor="text1"/>
            </w:tcBorders>
          </w:tcPr>
          <w:p w14:paraId="0ECC6613" w14:textId="77777777" w:rsidR="005B411E" w:rsidRDefault="005B411E">
            <w:pPr>
              <w:pBdr>
                <w:top w:val="nil"/>
                <w:left w:val="nil"/>
                <w:bottom w:val="nil"/>
                <w:right w:val="nil"/>
                <w:between w:val="nil"/>
              </w:pBdr>
              <w:tabs>
                <w:tab w:val="left" w:pos="510"/>
              </w:tabs>
              <w:spacing w:before="60" w:after="60"/>
              <w:ind w:right="57"/>
              <w:rPr>
                <w:rFonts w:eastAsia="Arial" w:cs="Arial"/>
                <w:sz w:val="20"/>
              </w:rPr>
            </w:pPr>
            <w:r>
              <w:rPr>
                <w:rFonts w:eastAsia="Arial" w:cs="Arial"/>
                <w:i/>
                <w:sz w:val="20"/>
              </w:rPr>
              <w:t>Location</w:t>
            </w:r>
          </w:p>
        </w:tc>
        <w:tc>
          <w:tcPr>
            <w:tcW w:w="5749" w:type="dxa"/>
            <w:gridSpan w:val="3"/>
            <w:tcBorders>
              <w:bottom w:val="single" w:sz="4" w:space="0" w:color="000000" w:themeColor="text1"/>
            </w:tcBorders>
          </w:tcPr>
          <w:p w14:paraId="5274A2D8" w14:textId="77777777" w:rsidR="005B411E" w:rsidRDefault="005B411E">
            <w:pPr>
              <w:pBdr>
                <w:top w:val="nil"/>
                <w:left w:val="nil"/>
                <w:bottom w:val="nil"/>
                <w:right w:val="nil"/>
                <w:between w:val="nil"/>
              </w:pBdr>
              <w:tabs>
                <w:tab w:val="left" w:pos="510"/>
              </w:tabs>
              <w:spacing w:before="60" w:after="60"/>
              <w:ind w:right="57"/>
              <w:rPr>
                <w:rFonts w:eastAsia="Arial" w:cs="Arial"/>
                <w:sz w:val="20"/>
              </w:rPr>
            </w:pPr>
            <w:r>
              <w:rPr>
                <w:rFonts w:eastAsia="Arial" w:cs="Arial"/>
                <w:sz w:val="20"/>
              </w:rPr>
              <w:t>Project households</w:t>
            </w:r>
          </w:p>
        </w:tc>
      </w:tr>
      <w:tr w:rsidR="005B411E" w14:paraId="6900C409" w14:textId="77777777">
        <w:tc>
          <w:tcPr>
            <w:tcW w:w="2348" w:type="dxa"/>
            <w:shd w:val="clear" w:color="auto" w:fill="E6E6E6"/>
          </w:tcPr>
          <w:p w14:paraId="13D9D059" w14:textId="77777777" w:rsidR="005B411E" w:rsidRDefault="005B411E">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sz w:val="20"/>
              </w:rPr>
              <w:t>QA/QC procedures</w:t>
            </w:r>
          </w:p>
        </w:tc>
        <w:tc>
          <w:tcPr>
            <w:tcW w:w="7224" w:type="dxa"/>
            <w:gridSpan w:val="4"/>
            <w:tcBorders>
              <w:bottom w:val="single" w:sz="4" w:space="0" w:color="000000" w:themeColor="text1"/>
            </w:tcBorders>
          </w:tcPr>
          <w:p w14:paraId="261AB0E3" w14:textId="1F5D5D7E" w:rsidR="005B411E" w:rsidRPr="00F05D8C" w:rsidRDefault="00B5583D">
            <w:pPr>
              <w:pBdr>
                <w:top w:val="nil"/>
                <w:left w:val="nil"/>
                <w:bottom w:val="nil"/>
                <w:right w:val="nil"/>
                <w:between w:val="nil"/>
              </w:pBdr>
              <w:tabs>
                <w:tab w:val="left" w:pos="510"/>
                <w:tab w:val="left" w:pos="315"/>
              </w:tabs>
              <w:spacing w:before="60" w:after="60"/>
              <w:ind w:right="57"/>
              <w:rPr>
                <w:rFonts w:eastAsia="Arial" w:cs="Arial"/>
                <w:color w:val="000000"/>
                <w:sz w:val="20"/>
              </w:rPr>
            </w:pPr>
            <w:r w:rsidRPr="00731FE4">
              <w:rPr>
                <w:rFonts w:cs="Arial"/>
                <w:color w:val="000000"/>
                <w:sz w:val="20"/>
              </w:rPr>
              <w:t>Weekly scale calibration (±1%), documented outlier handling, and inclusion only of households with ≥3 valid days of data collected within two weeks.</w:t>
            </w:r>
          </w:p>
        </w:tc>
      </w:tr>
      <w:tr w:rsidR="00712587" w14:paraId="1AA13782" w14:textId="77777777">
        <w:tc>
          <w:tcPr>
            <w:tcW w:w="2348" w:type="dxa"/>
            <w:shd w:val="clear" w:color="auto" w:fill="E6E6E6"/>
          </w:tcPr>
          <w:p w14:paraId="06D34F58" w14:textId="6CDAB88F" w:rsidR="00712587" w:rsidRDefault="00BF24D4" w:rsidP="00BF24D4">
            <w:pPr>
              <w:pBdr>
                <w:top w:val="nil"/>
                <w:left w:val="nil"/>
                <w:bottom w:val="nil"/>
                <w:right w:val="nil"/>
                <w:between w:val="nil"/>
              </w:pBdr>
              <w:tabs>
                <w:tab w:val="left" w:pos="510"/>
              </w:tabs>
              <w:spacing w:before="60" w:after="60"/>
              <w:ind w:right="57"/>
              <w:jc w:val="left"/>
              <w:rPr>
                <w:rFonts w:eastAsia="Arial" w:cs="Arial"/>
                <w:sz w:val="20"/>
              </w:rPr>
            </w:pPr>
            <w:r w:rsidRPr="00712587">
              <w:rPr>
                <w:rFonts w:eastAsia="Arial" w:cs="Arial"/>
                <w:sz w:val="20"/>
              </w:rPr>
              <w:t>Treatment of uncertainty</w:t>
            </w:r>
          </w:p>
        </w:tc>
        <w:tc>
          <w:tcPr>
            <w:tcW w:w="7224" w:type="dxa"/>
            <w:gridSpan w:val="4"/>
            <w:tcBorders>
              <w:bottom w:val="single" w:sz="4" w:space="0" w:color="000000" w:themeColor="text1"/>
            </w:tcBorders>
          </w:tcPr>
          <w:p w14:paraId="73979E4F" w14:textId="08730F01" w:rsidR="00712587" w:rsidRPr="00BF24D4" w:rsidRDefault="006934B3" w:rsidP="00BF24D4">
            <w:pPr>
              <w:tabs>
                <w:tab w:val="left" w:pos="315"/>
                <w:tab w:val="left" w:pos="567"/>
              </w:tabs>
              <w:spacing w:before="20" w:after="20"/>
              <w:ind w:right="159"/>
              <w:rPr>
                <w:rFonts w:cs="Arial"/>
                <w:i/>
                <w:iCs/>
                <w:color w:val="4F81BD" w:themeColor="accent1"/>
                <w:sz w:val="20"/>
              </w:rPr>
            </w:pPr>
            <w:r w:rsidRPr="003748F5">
              <w:rPr>
                <w:rFonts w:eastAsia="Arial" w:cs="Arial"/>
                <w:sz w:val="20"/>
              </w:rPr>
              <w:t xml:space="preserve">The </w:t>
            </w:r>
            <w:r w:rsidR="729DBF0D" w:rsidRPr="7D956FC6">
              <w:rPr>
                <w:rFonts w:eastAsia="Arial" w:cs="Arial"/>
                <w:sz w:val="20"/>
              </w:rPr>
              <w:t>monitoring</w:t>
            </w:r>
            <w:r w:rsidRPr="003748F5">
              <w:rPr>
                <w:rFonts w:eastAsia="Arial" w:cs="Arial"/>
                <w:sz w:val="20"/>
              </w:rPr>
              <w:t xml:space="preserve"> must meet the minimum confidence and precision of 95/10 for the target parameter of average annual energy consumption per person. The 95/10 rule is applied to the sum of energy consumption across fuels</w:t>
            </w:r>
            <w:r>
              <w:rPr>
                <w:rFonts w:eastAsia="Arial" w:cs="Arial"/>
                <w:sz w:val="20"/>
              </w:rPr>
              <w:t xml:space="preserve">. </w:t>
            </w:r>
            <w:r w:rsidRPr="003748F5">
              <w:rPr>
                <w:rFonts w:eastAsia="Arial" w:cs="Arial"/>
                <w:sz w:val="20"/>
              </w:rPr>
              <w:t>If the target precision is not met, the project proponent shall take the conservative bound</w:t>
            </w:r>
            <w:r>
              <w:rPr>
                <w:rFonts w:eastAsia="Arial" w:cs="Arial"/>
                <w:sz w:val="20"/>
              </w:rPr>
              <w:t>s</w:t>
            </w:r>
            <w:r w:rsidRPr="003748F5">
              <w:rPr>
                <w:rFonts w:eastAsia="Arial" w:cs="Arial"/>
                <w:sz w:val="20"/>
              </w:rPr>
              <w:t xml:space="preserve"> of the confidence interval</w:t>
            </w:r>
            <w:r>
              <w:rPr>
                <w:rFonts w:eastAsia="Arial" w:cs="Arial"/>
                <w:sz w:val="20"/>
              </w:rPr>
              <w:t>s</w:t>
            </w:r>
            <w:r w:rsidRPr="003748F5">
              <w:rPr>
                <w:rFonts w:eastAsia="Arial" w:cs="Arial"/>
                <w:sz w:val="20"/>
              </w:rPr>
              <w:t xml:space="preserve"> as the parameter value, proportionately applied across all the fuels used. The conservative bound</w:t>
            </w:r>
            <w:r>
              <w:rPr>
                <w:rFonts w:eastAsia="Arial" w:cs="Arial"/>
                <w:sz w:val="20"/>
              </w:rPr>
              <w:t>s</w:t>
            </w:r>
            <w:r w:rsidRPr="003748F5">
              <w:rPr>
                <w:rFonts w:eastAsia="Arial" w:cs="Arial"/>
                <w:sz w:val="20"/>
              </w:rPr>
              <w:t xml:space="preserve"> </w:t>
            </w:r>
            <w:r>
              <w:rPr>
                <w:rFonts w:eastAsia="Arial" w:cs="Arial"/>
                <w:sz w:val="20"/>
              </w:rPr>
              <w:t>are those</w:t>
            </w:r>
            <w:r w:rsidRPr="003748F5">
              <w:rPr>
                <w:rFonts w:eastAsia="Arial" w:cs="Arial"/>
                <w:sz w:val="20"/>
              </w:rPr>
              <w:t xml:space="preserve"> </w:t>
            </w:r>
            <w:r>
              <w:rPr>
                <w:rFonts w:eastAsia="Arial" w:cs="Arial"/>
                <w:sz w:val="20"/>
              </w:rPr>
              <w:t>that</w:t>
            </w:r>
            <w:r w:rsidRPr="003748F5">
              <w:rPr>
                <w:rFonts w:eastAsia="Arial" w:cs="Arial"/>
                <w:sz w:val="20"/>
              </w:rPr>
              <w:t xml:space="preserve"> produce a lower CO</w:t>
            </w:r>
            <w:r w:rsidRPr="00E340E3">
              <w:rPr>
                <w:rFonts w:eastAsia="Arial" w:cs="Arial"/>
                <w:sz w:val="20"/>
                <w:vertAlign w:val="subscript"/>
              </w:rPr>
              <w:t>2</w:t>
            </w:r>
            <w:r w:rsidRPr="003748F5">
              <w:rPr>
                <w:rFonts w:eastAsia="Arial" w:cs="Arial"/>
                <w:sz w:val="20"/>
              </w:rPr>
              <w:t>e emissions reduction estimate.</w:t>
            </w:r>
          </w:p>
        </w:tc>
      </w:tr>
      <w:tr w:rsidR="005B411E" w14:paraId="72D14758" w14:textId="77777777">
        <w:tc>
          <w:tcPr>
            <w:tcW w:w="2348" w:type="dxa"/>
            <w:shd w:val="clear" w:color="auto" w:fill="E6E6E6"/>
          </w:tcPr>
          <w:p w14:paraId="5D6D89B9" w14:textId="77777777" w:rsidR="005B411E" w:rsidRDefault="005B411E">
            <w:pPr>
              <w:pBdr>
                <w:top w:val="nil"/>
                <w:left w:val="nil"/>
                <w:bottom w:val="nil"/>
                <w:right w:val="nil"/>
                <w:between w:val="nil"/>
              </w:pBdr>
              <w:tabs>
                <w:tab w:val="left" w:pos="510"/>
              </w:tabs>
              <w:spacing w:before="60" w:after="60"/>
              <w:ind w:right="57"/>
              <w:rPr>
                <w:rFonts w:eastAsia="Arial" w:cs="Arial"/>
                <w:color w:val="000000"/>
                <w:sz w:val="20"/>
              </w:rPr>
            </w:pPr>
            <w:r>
              <w:rPr>
                <w:rFonts w:eastAsia="Arial" w:cs="Arial"/>
                <w:sz w:val="20"/>
              </w:rPr>
              <w:t>Additional comment</w:t>
            </w:r>
          </w:p>
        </w:tc>
        <w:tc>
          <w:tcPr>
            <w:tcW w:w="7224" w:type="dxa"/>
            <w:gridSpan w:val="4"/>
            <w:tcBorders>
              <w:bottom w:val="single" w:sz="4" w:space="0" w:color="000000" w:themeColor="text1"/>
            </w:tcBorders>
          </w:tcPr>
          <w:p w14:paraId="4E497318" w14:textId="77777777" w:rsidR="005B411E" w:rsidRPr="00F05D8C" w:rsidRDefault="005B411E">
            <w:pPr>
              <w:pBdr>
                <w:top w:val="nil"/>
                <w:left w:val="nil"/>
                <w:bottom w:val="nil"/>
                <w:right w:val="nil"/>
                <w:between w:val="nil"/>
              </w:pBdr>
              <w:tabs>
                <w:tab w:val="left" w:pos="510"/>
                <w:tab w:val="left" w:pos="315"/>
              </w:tabs>
              <w:spacing w:before="60" w:after="60"/>
              <w:ind w:right="57"/>
              <w:rPr>
                <w:rFonts w:eastAsia="Arial" w:cs="Arial"/>
                <w:color w:val="000000"/>
                <w:sz w:val="20"/>
              </w:rPr>
            </w:pPr>
            <w:r>
              <w:rPr>
                <w:rFonts w:eastAsia="Arial" w:cs="Arial"/>
                <w:sz w:val="20"/>
              </w:rPr>
              <w:t>-</w:t>
            </w:r>
          </w:p>
        </w:tc>
      </w:tr>
    </w:tbl>
    <w:p w14:paraId="61AADCD3" w14:textId="77777777" w:rsidR="005B411E" w:rsidRDefault="005B411E" w:rsidP="005B411E"/>
    <w:p w14:paraId="72E66D2E"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4DA3B953" w14:textId="77777777">
        <w:tc>
          <w:tcPr>
            <w:tcW w:w="2348" w:type="dxa"/>
            <w:shd w:val="clear" w:color="auto" w:fill="E6E6E6"/>
          </w:tcPr>
          <w:p w14:paraId="0CF77872" w14:textId="77777777" w:rsidR="005B411E" w:rsidRDefault="005B411E">
            <w:pPr>
              <w:spacing w:before="60" w:after="60"/>
              <w:ind w:right="57"/>
              <w:rPr>
                <w:rFonts w:eastAsia="Arial" w:cs="Arial"/>
                <w:b/>
                <w:sz w:val="20"/>
              </w:rPr>
            </w:pPr>
            <w:r>
              <w:rPr>
                <w:rFonts w:eastAsia="Arial" w:cs="Arial"/>
                <w:b/>
                <w:sz w:val="20"/>
              </w:rPr>
              <w:lastRenderedPageBreak/>
              <w:t>Data/parameter</w:t>
            </w:r>
          </w:p>
        </w:tc>
        <w:tc>
          <w:tcPr>
            <w:tcW w:w="7224" w:type="dxa"/>
            <w:gridSpan w:val="4"/>
          </w:tcPr>
          <w:p w14:paraId="0CD47546" w14:textId="77777777" w:rsidR="005B411E" w:rsidRPr="003748F5"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ntEC</m:t>
                    </m:r>
                  </m:e>
                  <m:sub>
                    <m:r>
                      <w:rPr>
                        <w:rFonts w:ascii="Cambria Math" w:eastAsia="Cambria Math" w:hAnsi="Cambria Math" w:cs="Cambria Math"/>
                      </w:rPr>
                      <m:t>proj,j,y</m:t>
                    </m:r>
                  </m:sub>
                </m:sSub>
              </m:oMath>
            </m:oMathPara>
          </w:p>
        </w:tc>
      </w:tr>
      <w:tr w:rsidR="005B411E" w14:paraId="0617F936" w14:textId="77777777">
        <w:tc>
          <w:tcPr>
            <w:tcW w:w="2348" w:type="dxa"/>
            <w:shd w:val="clear" w:color="auto" w:fill="E6E6E6"/>
          </w:tcPr>
          <w:p w14:paraId="1D097627"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0F067736" w14:textId="77777777" w:rsidR="005B411E" w:rsidRDefault="005B411E">
            <w:pPr>
              <w:spacing w:before="60" w:after="60"/>
              <w:ind w:right="57"/>
              <w:rPr>
                <w:rFonts w:eastAsia="Arial" w:cs="Arial"/>
                <w:sz w:val="20"/>
              </w:rPr>
            </w:pPr>
            <w:r w:rsidRPr="003748F5">
              <w:rPr>
                <w:rFonts w:eastAsia="Arial" w:cs="Arial"/>
                <w:sz w:val="20"/>
              </w:rPr>
              <w:t xml:space="preserve">Energy consumption of project fuel </w:t>
            </w:r>
            <w:r w:rsidRPr="008D0AF8">
              <w:rPr>
                <w:rFonts w:eastAsia="Arial" w:cs="Arial"/>
                <w:i/>
                <w:sz w:val="20"/>
              </w:rPr>
              <w:t xml:space="preserve">j </w:t>
            </w:r>
            <w:r w:rsidRPr="003748F5">
              <w:rPr>
                <w:rFonts w:eastAsia="Arial" w:cs="Arial"/>
                <w:sz w:val="20"/>
              </w:rPr>
              <w:t>for non-CTEC projects as measured by the project KPT</w:t>
            </w:r>
            <w:r>
              <w:rPr>
                <w:rFonts w:eastAsia="Arial" w:cs="Arial"/>
                <w:sz w:val="20"/>
              </w:rPr>
              <w:t xml:space="preserve"> in year </w:t>
            </w:r>
            <w:r w:rsidRPr="00584530">
              <w:rPr>
                <w:rFonts w:eastAsia="Arial" w:cs="Arial"/>
                <w:i/>
                <w:iCs/>
                <w:sz w:val="20"/>
              </w:rPr>
              <w:t>y</w:t>
            </w:r>
          </w:p>
        </w:tc>
      </w:tr>
      <w:tr w:rsidR="005B411E" w14:paraId="27EA3732" w14:textId="77777777">
        <w:tc>
          <w:tcPr>
            <w:tcW w:w="2348" w:type="dxa"/>
            <w:shd w:val="clear" w:color="auto" w:fill="E6E6E6"/>
          </w:tcPr>
          <w:p w14:paraId="60C02EA2"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47C9E886" w14:textId="77777777" w:rsidR="005B411E" w:rsidRPr="003748F5" w:rsidRDefault="005B411E">
            <w:pPr>
              <w:rPr>
                <w:rFonts w:cs="Arial"/>
                <w:color w:val="000000"/>
                <w:sz w:val="20"/>
              </w:rPr>
            </w:pPr>
            <w:r>
              <w:rPr>
                <w:rFonts w:cs="Arial"/>
                <w:color w:val="000000"/>
                <w:sz w:val="20"/>
              </w:rPr>
              <w:t>TJ/(person*year)</w:t>
            </w:r>
          </w:p>
        </w:tc>
      </w:tr>
      <w:tr w:rsidR="005B411E" w14:paraId="61A60605" w14:textId="77777777">
        <w:tc>
          <w:tcPr>
            <w:tcW w:w="2348" w:type="dxa"/>
            <w:shd w:val="clear" w:color="auto" w:fill="E6E6E6"/>
          </w:tcPr>
          <w:p w14:paraId="5F543CD3"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3DAE4551" w14:textId="5F81C63E" w:rsidR="005B411E" w:rsidRDefault="005B411E">
            <w:pPr>
              <w:spacing w:before="60" w:after="60"/>
              <w:ind w:right="57"/>
              <w:rPr>
                <w:rFonts w:eastAsia="Arial" w:cs="Arial"/>
                <w:sz w:val="20"/>
              </w:rPr>
            </w:pPr>
            <w:r>
              <w:rPr>
                <w:rFonts w:eastAsia="Arial" w:cs="Arial"/>
                <w:sz w:val="20"/>
              </w:rPr>
              <w:t xml:space="preserve">Eq. </w:t>
            </w:r>
            <w:hyperlink w:anchor="e20" w:history="1">
              <w:r w:rsidRPr="003A01F0">
                <w:rPr>
                  <w:rStyle w:val="Hyperlink"/>
                  <w:rFonts w:eastAsia="Arial" w:cs="Arial"/>
                  <w:sz w:val="20"/>
                </w:rPr>
                <w:t>20</w:t>
              </w:r>
            </w:hyperlink>
            <w:r w:rsidRPr="00584530">
              <w:rPr>
                <w:rFonts w:eastAsia="Arial" w:cs="Arial"/>
                <w:sz w:val="20"/>
              </w:rPr>
              <w:t xml:space="preserve"> and </w:t>
            </w:r>
            <w:hyperlink w:anchor="e21" w:history="1">
              <w:r w:rsidRPr="003A01F0">
                <w:rPr>
                  <w:rStyle w:val="Hyperlink"/>
                  <w:rFonts w:eastAsia="Arial" w:cs="Arial"/>
                  <w:sz w:val="20"/>
                </w:rPr>
                <w:t>21</w:t>
              </w:r>
            </w:hyperlink>
          </w:p>
        </w:tc>
      </w:tr>
      <w:tr w:rsidR="005B411E" w14:paraId="10D85A41" w14:textId="77777777">
        <w:tc>
          <w:tcPr>
            <w:tcW w:w="2348" w:type="dxa"/>
            <w:vMerge w:val="restart"/>
            <w:shd w:val="clear" w:color="auto" w:fill="E6E6E6"/>
          </w:tcPr>
          <w:p w14:paraId="3941E69A"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3038744B"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Baseline emissions / removals</w:t>
            </w:r>
          </w:p>
        </w:tc>
        <w:tc>
          <w:tcPr>
            <w:tcW w:w="2406" w:type="dxa"/>
            <w:tcBorders>
              <w:left w:val="nil"/>
              <w:bottom w:val="nil"/>
              <w:right w:val="nil"/>
            </w:tcBorders>
          </w:tcPr>
          <w:p w14:paraId="00D22CA1"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D1175B">
              <w:rPr>
                <w:rFonts w:cs="Arial"/>
                <w:sz w:val="20"/>
              </w:rPr>
              <w:t xml:space="preserve"> Project emissions / removals</w:t>
            </w:r>
          </w:p>
        </w:tc>
        <w:tc>
          <w:tcPr>
            <w:tcW w:w="2410" w:type="dxa"/>
            <w:tcBorders>
              <w:left w:val="nil"/>
              <w:bottom w:val="nil"/>
            </w:tcBorders>
          </w:tcPr>
          <w:p w14:paraId="1A06C5A0"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Leakage emissions</w:t>
            </w:r>
          </w:p>
        </w:tc>
      </w:tr>
      <w:tr w:rsidR="005B411E" w14:paraId="4C74DD9C" w14:textId="77777777">
        <w:tc>
          <w:tcPr>
            <w:tcW w:w="2348" w:type="dxa"/>
            <w:vMerge/>
          </w:tcPr>
          <w:p w14:paraId="570B2765"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61F34397" w14:textId="77777777" w:rsidR="005B411E" w:rsidRDefault="005B411E">
            <w:pPr>
              <w:spacing w:before="60" w:after="60"/>
              <w:ind w:right="57"/>
              <w:rPr>
                <w:rFonts w:eastAsia="Arial" w:cs="Arial"/>
                <w:i/>
                <w:sz w:val="20"/>
              </w:rPr>
            </w:pPr>
          </w:p>
        </w:tc>
      </w:tr>
      <w:tr w:rsidR="00C81161" w14:paraId="18ECBAD5" w14:textId="77777777">
        <w:tc>
          <w:tcPr>
            <w:tcW w:w="2348" w:type="dxa"/>
            <w:shd w:val="clear" w:color="auto" w:fill="E6E6E6"/>
          </w:tcPr>
          <w:p w14:paraId="0F126ABE" w14:textId="4CC82B4F"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vAlign w:val="center"/>
          </w:tcPr>
          <w:p w14:paraId="5095ABCD" w14:textId="3491E94C" w:rsidR="00C81161" w:rsidRPr="003748F5" w:rsidRDefault="00816E64">
            <w:pPr>
              <w:spacing w:before="60" w:after="60"/>
              <w:ind w:right="57"/>
              <w:rPr>
                <w:rFonts w:eastAsia="Arial" w:cs="Arial"/>
                <w:sz w:val="20"/>
              </w:rPr>
            </w:pPr>
            <w:r>
              <w:rPr>
                <w:rFonts w:cs="Arial"/>
                <w:color w:val="000000"/>
                <w:sz w:val="20"/>
              </w:rPr>
              <w:t>Frequency of monitoring: Every two years</w:t>
            </w:r>
          </w:p>
        </w:tc>
      </w:tr>
      <w:tr w:rsidR="005B411E" w14:paraId="52643451" w14:textId="77777777">
        <w:tc>
          <w:tcPr>
            <w:tcW w:w="2348" w:type="dxa"/>
            <w:shd w:val="clear" w:color="auto" w:fill="E6E6E6"/>
          </w:tcPr>
          <w:p w14:paraId="3A6676C6"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vAlign w:val="center"/>
          </w:tcPr>
          <w:p w14:paraId="07E76040" w14:textId="77777777" w:rsidR="005B411E" w:rsidRDefault="005B411E">
            <w:pPr>
              <w:spacing w:before="60" w:after="60"/>
              <w:ind w:right="57"/>
              <w:rPr>
                <w:rFonts w:eastAsia="Arial" w:cs="Arial"/>
                <w:sz w:val="20"/>
              </w:rPr>
            </w:pPr>
            <w:r w:rsidRPr="003748F5">
              <w:rPr>
                <w:rFonts w:eastAsia="Arial" w:cs="Arial"/>
                <w:sz w:val="20"/>
              </w:rPr>
              <w:t>Representative sample using a KPT</w:t>
            </w:r>
          </w:p>
        </w:tc>
      </w:tr>
      <w:tr w:rsidR="005B411E" w14:paraId="48F97B30" w14:textId="77777777">
        <w:trPr>
          <w:trHeight w:val="107"/>
        </w:trPr>
        <w:tc>
          <w:tcPr>
            <w:tcW w:w="2348" w:type="dxa"/>
            <w:shd w:val="clear" w:color="auto" w:fill="E6E6E6"/>
          </w:tcPr>
          <w:p w14:paraId="6937E2B0"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20005CEC"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342D8AD2" w14:textId="77777777">
        <w:trPr>
          <w:trHeight w:val="107"/>
        </w:trPr>
        <w:tc>
          <w:tcPr>
            <w:tcW w:w="2348" w:type="dxa"/>
            <w:vMerge w:val="restart"/>
            <w:shd w:val="clear" w:color="auto" w:fill="E6E6E6"/>
          </w:tcPr>
          <w:p w14:paraId="25F7B5C8"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2B058F3A"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0F54682F" w14:textId="77777777" w:rsidR="005B411E" w:rsidRDefault="005B411E">
            <w:pPr>
              <w:spacing w:before="60" w:after="60"/>
              <w:ind w:right="57"/>
              <w:rPr>
                <w:rFonts w:eastAsia="Arial" w:cs="Arial"/>
                <w:sz w:val="20"/>
              </w:rPr>
            </w:pPr>
            <w:r>
              <w:rPr>
                <w:rFonts w:eastAsia="Arial" w:cs="Arial"/>
                <w:sz w:val="20"/>
              </w:rPr>
              <w:t>KPT</w:t>
            </w:r>
          </w:p>
        </w:tc>
      </w:tr>
      <w:tr w:rsidR="005B411E" w14:paraId="5491D6D8" w14:textId="77777777">
        <w:trPr>
          <w:trHeight w:val="104"/>
        </w:trPr>
        <w:tc>
          <w:tcPr>
            <w:tcW w:w="2348" w:type="dxa"/>
            <w:vMerge/>
          </w:tcPr>
          <w:p w14:paraId="52337986"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1BC9DE5A"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2A63DFEA" w14:textId="496E1AC2" w:rsidR="005B411E" w:rsidRDefault="005B411E">
            <w:pPr>
              <w:spacing w:before="60" w:after="60"/>
              <w:ind w:right="57"/>
              <w:rPr>
                <w:rFonts w:eastAsia="Arial" w:cs="Arial"/>
                <w:sz w:val="20"/>
              </w:rPr>
            </w:pPr>
            <w:r>
              <w:rPr>
                <w:rFonts w:eastAsia="Arial" w:cs="Arial"/>
                <w:sz w:val="20"/>
              </w:rPr>
              <w:t xml:space="preserve">See </w:t>
            </w:r>
            <w:r w:rsidR="00CA7DCE">
              <w:rPr>
                <w:rFonts w:eastAsia="Arial" w:cs="Arial"/>
                <w:sz w:val="20"/>
              </w:rPr>
              <w:t>Treatment of uncertainty</w:t>
            </w:r>
          </w:p>
        </w:tc>
      </w:tr>
      <w:tr w:rsidR="005B411E" w14:paraId="6EED4564" w14:textId="77777777">
        <w:trPr>
          <w:trHeight w:val="104"/>
        </w:trPr>
        <w:tc>
          <w:tcPr>
            <w:tcW w:w="2348" w:type="dxa"/>
            <w:vMerge/>
          </w:tcPr>
          <w:p w14:paraId="79EBF734"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6C7784D1"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402F3ABD" w14:textId="730D27CE" w:rsidR="005B411E" w:rsidRDefault="00B5583D">
            <w:pPr>
              <w:tabs>
                <w:tab w:val="left" w:pos="567"/>
              </w:tabs>
              <w:spacing w:before="20" w:after="20"/>
              <w:ind w:right="161"/>
              <w:rPr>
                <w:rFonts w:ascii="Calibri" w:eastAsia="Calibri" w:hAnsi="Calibri" w:cs="Calibri"/>
                <w:i/>
                <w:szCs w:val="22"/>
              </w:rPr>
            </w:pPr>
            <w:r>
              <w:rPr>
                <w:sz w:val="20"/>
              </w:rPr>
              <w:t>See QA/QC procedures</w:t>
            </w:r>
          </w:p>
        </w:tc>
      </w:tr>
      <w:tr w:rsidR="005B411E" w14:paraId="72840EED" w14:textId="77777777">
        <w:trPr>
          <w:trHeight w:val="104"/>
        </w:trPr>
        <w:tc>
          <w:tcPr>
            <w:tcW w:w="2348" w:type="dxa"/>
            <w:vMerge/>
          </w:tcPr>
          <w:p w14:paraId="1F8BFA47"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580D2D77"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0C960680"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7176155D" w14:textId="77777777">
        <w:tc>
          <w:tcPr>
            <w:tcW w:w="2348" w:type="dxa"/>
            <w:shd w:val="clear" w:color="auto" w:fill="E6E6E6"/>
          </w:tcPr>
          <w:p w14:paraId="500728A2"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3DAEAED6" w14:textId="48A08FD4" w:rsidR="005B411E" w:rsidRDefault="00B5583D">
            <w:pPr>
              <w:tabs>
                <w:tab w:val="left" w:pos="567"/>
              </w:tabs>
              <w:spacing w:before="20" w:after="20"/>
              <w:ind w:right="159"/>
              <w:rPr>
                <w:rFonts w:ascii="Calibri" w:eastAsia="Calibri" w:hAnsi="Calibri" w:cs="Calibri"/>
                <w:i/>
                <w:szCs w:val="22"/>
              </w:rPr>
            </w:pPr>
            <w:r w:rsidRPr="00731FE4">
              <w:rPr>
                <w:rFonts w:cs="Arial"/>
                <w:color w:val="000000"/>
                <w:sz w:val="20"/>
              </w:rPr>
              <w:t>Weekly scale calibration (±1%), documented outlier handling, and inclusion only of households with ≥3 valid days of data collected within two weeks.</w:t>
            </w:r>
          </w:p>
        </w:tc>
      </w:tr>
      <w:tr w:rsidR="00712587" w14:paraId="233B00F8" w14:textId="77777777">
        <w:tc>
          <w:tcPr>
            <w:tcW w:w="2348" w:type="dxa"/>
            <w:shd w:val="clear" w:color="auto" w:fill="E6E6E6"/>
          </w:tcPr>
          <w:p w14:paraId="5A1CBF67" w14:textId="1B570806"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1BE7B5ED" w14:textId="02270997" w:rsidR="00712587" w:rsidRPr="00BF24D4" w:rsidRDefault="00CA7DCE" w:rsidP="00BF24D4">
            <w:pPr>
              <w:tabs>
                <w:tab w:val="left" w:pos="567"/>
              </w:tabs>
              <w:spacing w:before="20" w:after="20"/>
              <w:ind w:right="159"/>
              <w:rPr>
                <w:rFonts w:cs="Arial"/>
                <w:i/>
                <w:iCs/>
                <w:color w:val="4F81BD" w:themeColor="accent1"/>
                <w:sz w:val="20"/>
              </w:rPr>
            </w:pPr>
            <w:r w:rsidRPr="003748F5">
              <w:rPr>
                <w:rFonts w:eastAsia="Arial" w:cs="Arial"/>
                <w:sz w:val="20"/>
              </w:rPr>
              <w:t xml:space="preserve">The </w:t>
            </w:r>
            <w:r w:rsidR="0B359732" w:rsidRPr="7D956FC6">
              <w:rPr>
                <w:rFonts w:eastAsia="Arial" w:cs="Arial"/>
                <w:sz w:val="20"/>
              </w:rPr>
              <w:t>monitoring</w:t>
            </w:r>
            <w:r w:rsidRPr="003748F5">
              <w:rPr>
                <w:rFonts w:eastAsia="Arial" w:cs="Arial"/>
                <w:sz w:val="20"/>
              </w:rPr>
              <w:t xml:space="preserve"> must meet the minimum confidence and precision of 95/10 for the target parameter of average annual energy consumption per person. The 95/10 rule is applied to the sum of energy consumption across fuels</w:t>
            </w:r>
            <w:r>
              <w:rPr>
                <w:rFonts w:eastAsia="Arial" w:cs="Arial"/>
                <w:sz w:val="20"/>
              </w:rPr>
              <w:t xml:space="preserve">. </w:t>
            </w:r>
            <w:r w:rsidRPr="003748F5">
              <w:rPr>
                <w:rFonts w:eastAsia="Arial" w:cs="Arial"/>
                <w:sz w:val="20"/>
              </w:rPr>
              <w:t>If the target precision is not met, the project proponent shall take the conservative bound</w:t>
            </w:r>
            <w:r>
              <w:rPr>
                <w:rFonts w:eastAsia="Arial" w:cs="Arial"/>
                <w:sz w:val="20"/>
              </w:rPr>
              <w:t>s</w:t>
            </w:r>
            <w:r w:rsidRPr="003748F5">
              <w:rPr>
                <w:rFonts w:eastAsia="Arial" w:cs="Arial"/>
                <w:sz w:val="20"/>
              </w:rPr>
              <w:t xml:space="preserve"> of the confidence interval</w:t>
            </w:r>
            <w:r>
              <w:rPr>
                <w:rFonts w:eastAsia="Arial" w:cs="Arial"/>
                <w:sz w:val="20"/>
              </w:rPr>
              <w:t>s</w:t>
            </w:r>
            <w:r w:rsidRPr="003748F5">
              <w:rPr>
                <w:rFonts w:eastAsia="Arial" w:cs="Arial"/>
                <w:sz w:val="20"/>
              </w:rPr>
              <w:t xml:space="preserve"> as the parameter value, proportionately applied across all the fuels used. The conservative bound</w:t>
            </w:r>
            <w:r>
              <w:rPr>
                <w:rFonts w:eastAsia="Arial" w:cs="Arial"/>
                <w:sz w:val="20"/>
              </w:rPr>
              <w:t>s</w:t>
            </w:r>
            <w:r w:rsidRPr="003748F5">
              <w:rPr>
                <w:rFonts w:eastAsia="Arial" w:cs="Arial"/>
                <w:sz w:val="20"/>
              </w:rPr>
              <w:t xml:space="preserve"> </w:t>
            </w:r>
            <w:r>
              <w:rPr>
                <w:rFonts w:eastAsia="Arial" w:cs="Arial"/>
                <w:sz w:val="20"/>
              </w:rPr>
              <w:t>are those</w:t>
            </w:r>
            <w:r w:rsidRPr="003748F5">
              <w:rPr>
                <w:rFonts w:eastAsia="Arial" w:cs="Arial"/>
                <w:sz w:val="20"/>
              </w:rPr>
              <w:t xml:space="preserve"> </w:t>
            </w:r>
            <w:r>
              <w:rPr>
                <w:rFonts w:eastAsia="Arial" w:cs="Arial"/>
                <w:sz w:val="20"/>
              </w:rPr>
              <w:t>that</w:t>
            </w:r>
            <w:r w:rsidRPr="003748F5">
              <w:rPr>
                <w:rFonts w:eastAsia="Arial" w:cs="Arial"/>
                <w:sz w:val="20"/>
              </w:rPr>
              <w:t xml:space="preserve"> produce a lower CO</w:t>
            </w:r>
            <w:r w:rsidRPr="00E340E3">
              <w:rPr>
                <w:rFonts w:eastAsia="Arial" w:cs="Arial"/>
                <w:sz w:val="20"/>
                <w:vertAlign w:val="subscript"/>
              </w:rPr>
              <w:t>2</w:t>
            </w:r>
            <w:r w:rsidRPr="003748F5">
              <w:rPr>
                <w:rFonts w:eastAsia="Arial" w:cs="Arial"/>
                <w:sz w:val="20"/>
              </w:rPr>
              <w:t>e emissions reduction estimate.</w:t>
            </w:r>
          </w:p>
        </w:tc>
      </w:tr>
      <w:tr w:rsidR="005B411E" w14:paraId="67F31A54" w14:textId="77777777">
        <w:tc>
          <w:tcPr>
            <w:tcW w:w="2348" w:type="dxa"/>
            <w:shd w:val="clear" w:color="auto" w:fill="E6E6E6"/>
          </w:tcPr>
          <w:p w14:paraId="5A1E97E1"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62B57FC2" w14:textId="77777777" w:rsidR="005B411E" w:rsidRDefault="005B411E">
            <w:pPr>
              <w:spacing w:before="60" w:after="60"/>
              <w:ind w:right="57"/>
              <w:rPr>
                <w:rFonts w:eastAsia="Arial" w:cs="Arial"/>
                <w:sz w:val="20"/>
              </w:rPr>
            </w:pPr>
            <w:r>
              <w:rPr>
                <w:rFonts w:eastAsia="Arial" w:cs="Arial"/>
                <w:sz w:val="20"/>
              </w:rPr>
              <w:t>-</w:t>
            </w:r>
          </w:p>
        </w:tc>
      </w:tr>
    </w:tbl>
    <w:p w14:paraId="7445F515"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41E91212" w14:textId="77777777">
        <w:tc>
          <w:tcPr>
            <w:tcW w:w="2348" w:type="dxa"/>
            <w:shd w:val="clear" w:color="auto" w:fill="E6E6E6"/>
          </w:tcPr>
          <w:p w14:paraId="3AD82E66"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1278DDFE" w14:textId="77777777" w:rsidR="005B411E" w:rsidRDefault="005B411E">
            <w:pPr>
              <w:spacing w:before="60" w:after="60"/>
              <w:ind w:right="57"/>
              <w:rPr>
                <w:rFonts w:eastAsia="Arial" w:cs="Arial"/>
                <w:b/>
                <w:sz w:val="20"/>
              </w:rPr>
            </w:pPr>
            <m:oMath>
              <m:r>
                <w:rPr>
                  <w:rFonts w:ascii="Cambria Math" w:eastAsia="Cambria Math" w:hAnsi="Cambria Math" w:cs="Cambria Math"/>
                </w:rPr>
                <m:t>PC</m:t>
              </m:r>
            </m:oMath>
            <w:proofErr w:type="gramStart"/>
            <w:r w:rsidRPr="00401398">
              <w:rPr>
                <w:rFonts w:ascii="Cambria Math" w:eastAsia="Cambria Math" w:hAnsi="Cambria Math" w:cs="Cambria Math"/>
                <w:i/>
                <w:iCs/>
                <w:vertAlign w:val="subscript"/>
              </w:rPr>
              <w:t>b,i</w:t>
            </w:r>
            <w:proofErr w:type="gramEnd"/>
          </w:p>
        </w:tc>
      </w:tr>
      <w:tr w:rsidR="005B411E" w14:paraId="1E1AB9C0" w14:textId="77777777">
        <w:tc>
          <w:tcPr>
            <w:tcW w:w="2348" w:type="dxa"/>
            <w:shd w:val="clear" w:color="auto" w:fill="E6E6E6"/>
          </w:tcPr>
          <w:p w14:paraId="25670A3E"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7D00ADDC" w14:textId="77777777" w:rsidR="005B411E" w:rsidRDefault="005B411E">
            <w:pPr>
              <w:spacing w:before="60" w:after="60"/>
              <w:ind w:right="57"/>
              <w:rPr>
                <w:rFonts w:eastAsia="Arial" w:cs="Arial"/>
                <w:sz w:val="20"/>
              </w:rPr>
            </w:pPr>
            <w:r w:rsidRPr="00A26DBF">
              <w:rPr>
                <w:rFonts w:eastAsia="Arial" w:cs="Arial"/>
                <w:sz w:val="20"/>
              </w:rPr>
              <w:t>Proportion of cooking events conducted using baseline fuel</w:t>
            </w:r>
            <w:r w:rsidRPr="008D0AF8">
              <w:rPr>
                <w:rFonts w:eastAsia="Arial" w:cs="Arial"/>
                <w:i/>
                <w:sz w:val="20"/>
              </w:rPr>
              <w:t xml:space="preserve"> </w:t>
            </w:r>
            <w:proofErr w:type="spellStart"/>
            <w:r w:rsidRPr="008D0AF8">
              <w:rPr>
                <w:rFonts w:eastAsia="Arial" w:cs="Arial"/>
                <w:i/>
                <w:sz w:val="20"/>
              </w:rPr>
              <w:t>i</w:t>
            </w:r>
            <w:proofErr w:type="spellEnd"/>
          </w:p>
        </w:tc>
      </w:tr>
      <w:tr w:rsidR="005B411E" w14:paraId="26B8FBDB" w14:textId="77777777">
        <w:tc>
          <w:tcPr>
            <w:tcW w:w="2348" w:type="dxa"/>
            <w:shd w:val="clear" w:color="auto" w:fill="E6E6E6"/>
          </w:tcPr>
          <w:p w14:paraId="0254B2BA"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065930FD" w14:textId="77777777" w:rsidR="005B411E" w:rsidRPr="00A26DBF" w:rsidRDefault="005B411E">
            <w:pPr>
              <w:rPr>
                <w:rFonts w:cs="Arial"/>
                <w:color w:val="000000"/>
                <w:sz w:val="20"/>
              </w:rPr>
            </w:pPr>
            <w:r>
              <w:rPr>
                <w:rFonts w:cs="Arial"/>
                <w:color w:val="000000"/>
                <w:sz w:val="20"/>
              </w:rPr>
              <w:t>Percentage</w:t>
            </w:r>
          </w:p>
        </w:tc>
      </w:tr>
      <w:tr w:rsidR="005B411E" w14:paraId="03C01245" w14:textId="77777777">
        <w:tc>
          <w:tcPr>
            <w:tcW w:w="2348" w:type="dxa"/>
            <w:shd w:val="clear" w:color="auto" w:fill="E6E6E6"/>
          </w:tcPr>
          <w:p w14:paraId="21A2D5E5"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7EF47882" w14:textId="77777777" w:rsidR="005B411E" w:rsidRDefault="005B411E">
            <w:pPr>
              <w:spacing w:before="60" w:after="60"/>
              <w:ind w:right="57"/>
              <w:rPr>
                <w:rFonts w:eastAsia="Arial" w:cs="Arial"/>
                <w:sz w:val="20"/>
              </w:rPr>
            </w:pPr>
            <w:r w:rsidRPr="00255A85">
              <w:rPr>
                <w:rFonts w:eastAsia="Arial" w:cs="Arial"/>
                <w:sz w:val="20"/>
              </w:rPr>
              <w:t>This parameter does not appear in emissions reduction quantification equations</w:t>
            </w:r>
            <w:r>
              <w:rPr>
                <w:rFonts w:eastAsia="Arial" w:cs="Arial"/>
                <w:sz w:val="20"/>
              </w:rPr>
              <w:t>, see Additional Comment field.</w:t>
            </w:r>
          </w:p>
        </w:tc>
      </w:tr>
      <w:tr w:rsidR="00816E64" w14:paraId="49E53D22" w14:textId="77777777">
        <w:tc>
          <w:tcPr>
            <w:tcW w:w="2348" w:type="dxa"/>
            <w:shd w:val="clear" w:color="auto" w:fill="E6E6E6"/>
          </w:tcPr>
          <w:p w14:paraId="586E0EC0" w14:textId="33B3FDF3" w:rsidR="00816E64" w:rsidRDefault="00816E64">
            <w:pPr>
              <w:spacing w:before="60" w:after="60"/>
              <w:ind w:right="57"/>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tcPr>
          <w:p w14:paraId="1138C4DE" w14:textId="6908B6B8" w:rsidR="00816E64" w:rsidRPr="00255A85" w:rsidRDefault="00816E64">
            <w:pPr>
              <w:spacing w:before="60" w:after="60"/>
              <w:ind w:right="57"/>
              <w:rPr>
                <w:rFonts w:eastAsia="Arial" w:cs="Arial"/>
                <w:sz w:val="20"/>
              </w:rPr>
            </w:pPr>
            <w:r>
              <w:rPr>
                <w:rFonts w:eastAsia="Arial" w:cs="Arial"/>
                <w:sz w:val="20"/>
              </w:rPr>
              <w:t xml:space="preserve">Frequency of monitoring: </w:t>
            </w:r>
            <w:r w:rsidRPr="00255A85">
              <w:rPr>
                <w:rFonts w:eastAsia="Arial" w:cs="Arial"/>
                <w:sz w:val="20"/>
              </w:rPr>
              <w:t>Once per crediting period</w:t>
            </w:r>
          </w:p>
        </w:tc>
      </w:tr>
      <w:tr w:rsidR="005B411E" w14:paraId="2856187A" w14:textId="77777777">
        <w:tc>
          <w:tcPr>
            <w:tcW w:w="2348" w:type="dxa"/>
            <w:vMerge w:val="restart"/>
            <w:shd w:val="clear" w:color="auto" w:fill="E6E6E6"/>
          </w:tcPr>
          <w:p w14:paraId="7A89A6AC"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0DCC0AE0"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D1175B" w:rsidDel="00263F91">
              <w:rPr>
                <w:rFonts w:cs="Arial"/>
                <w:sz w:val="20"/>
                <w:shd w:val="clear" w:color="auto" w:fill="E6E6E6"/>
              </w:rPr>
              <w:t xml:space="preserve"> </w:t>
            </w:r>
            <w:r w:rsidRPr="00D1175B">
              <w:rPr>
                <w:rFonts w:cs="Arial"/>
                <w:sz w:val="20"/>
              </w:rPr>
              <w:t>Baseline emissions / removals</w:t>
            </w:r>
          </w:p>
        </w:tc>
        <w:tc>
          <w:tcPr>
            <w:tcW w:w="2406" w:type="dxa"/>
            <w:tcBorders>
              <w:left w:val="nil"/>
              <w:bottom w:val="nil"/>
              <w:right w:val="nil"/>
            </w:tcBorders>
          </w:tcPr>
          <w:p w14:paraId="67C9E68D"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Project emissions / removals</w:t>
            </w:r>
          </w:p>
        </w:tc>
        <w:tc>
          <w:tcPr>
            <w:tcW w:w="2410" w:type="dxa"/>
            <w:tcBorders>
              <w:left w:val="nil"/>
              <w:bottom w:val="nil"/>
            </w:tcBorders>
          </w:tcPr>
          <w:p w14:paraId="479E8B62"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Leakage emissions</w:t>
            </w:r>
          </w:p>
        </w:tc>
      </w:tr>
      <w:tr w:rsidR="005B411E" w14:paraId="5961B933" w14:textId="77777777">
        <w:tc>
          <w:tcPr>
            <w:tcW w:w="2348" w:type="dxa"/>
            <w:vMerge/>
          </w:tcPr>
          <w:p w14:paraId="09F5CD0D"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35C81F33" w14:textId="77777777" w:rsidR="005B411E" w:rsidRDefault="005B411E">
            <w:pPr>
              <w:spacing w:before="60" w:after="60"/>
              <w:ind w:right="57"/>
              <w:rPr>
                <w:rFonts w:eastAsia="Arial" w:cs="Arial"/>
                <w:i/>
                <w:sz w:val="20"/>
              </w:rPr>
            </w:pPr>
          </w:p>
        </w:tc>
      </w:tr>
      <w:tr w:rsidR="005B411E" w14:paraId="20F46B80" w14:textId="77777777">
        <w:tc>
          <w:tcPr>
            <w:tcW w:w="2348" w:type="dxa"/>
            <w:shd w:val="clear" w:color="auto" w:fill="E6E6E6"/>
          </w:tcPr>
          <w:p w14:paraId="150AB2EB" w14:textId="77777777" w:rsidR="005B411E" w:rsidRDefault="005B411E">
            <w:pPr>
              <w:spacing w:before="60" w:after="60"/>
              <w:ind w:right="57"/>
              <w:rPr>
                <w:rFonts w:eastAsia="Arial" w:cs="Arial"/>
                <w:sz w:val="20"/>
              </w:rPr>
            </w:pPr>
            <w:r>
              <w:rPr>
                <w:rFonts w:eastAsia="Arial" w:cs="Arial"/>
                <w:sz w:val="20"/>
              </w:rPr>
              <w:lastRenderedPageBreak/>
              <w:t>Measurement methods and procedures</w:t>
            </w:r>
          </w:p>
        </w:tc>
        <w:tc>
          <w:tcPr>
            <w:tcW w:w="7224" w:type="dxa"/>
            <w:gridSpan w:val="4"/>
            <w:tcBorders>
              <w:bottom w:val="single" w:sz="4" w:space="0" w:color="000000" w:themeColor="text1"/>
            </w:tcBorders>
            <w:vAlign w:val="center"/>
          </w:tcPr>
          <w:p w14:paraId="567EAF98" w14:textId="77777777" w:rsidR="005B411E" w:rsidRPr="00255A85" w:rsidRDefault="005B411E">
            <w:pPr>
              <w:spacing w:before="60" w:after="60"/>
              <w:ind w:right="57"/>
              <w:rPr>
                <w:rFonts w:eastAsia="Arial" w:cs="Arial"/>
                <w:sz w:val="20"/>
              </w:rPr>
            </w:pPr>
            <w:r w:rsidRPr="00255A85">
              <w:rPr>
                <w:rFonts w:eastAsia="Arial" w:cs="Arial"/>
                <w:sz w:val="20"/>
              </w:rPr>
              <w:t>Baseline scenario surveys.</w:t>
            </w:r>
          </w:p>
          <w:p w14:paraId="55234C55" w14:textId="77777777" w:rsidR="005B411E" w:rsidRPr="00255A85" w:rsidRDefault="005B411E">
            <w:pPr>
              <w:spacing w:before="60" w:after="60"/>
              <w:ind w:right="57"/>
              <w:rPr>
                <w:rFonts w:eastAsia="Arial" w:cs="Arial"/>
                <w:sz w:val="20"/>
              </w:rPr>
            </w:pPr>
          </w:p>
          <w:p w14:paraId="46344B38" w14:textId="77777777" w:rsidR="005B411E" w:rsidRDefault="005B411E">
            <w:pPr>
              <w:spacing w:before="60" w:after="60"/>
              <w:ind w:right="57"/>
              <w:rPr>
                <w:rFonts w:eastAsia="Arial" w:cs="Arial"/>
                <w:sz w:val="20"/>
              </w:rPr>
            </w:pPr>
            <w:r w:rsidRPr="00255A85">
              <w:rPr>
                <w:rFonts w:eastAsia="Arial" w:cs="Arial"/>
                <w:sz w:val="20"/>
              </w:rPr>
              <w:t>The survey must ask to identify all the cooking devices present in the household. For all cooking devices present in the household, ask “How many times did you cook using [cooking device] yesterday?” to determine the number of usage events per day per device.</w:t>
            </w:r>
          </w:p>
          <w:p w14:paraId="5F368439" w14:textId="77777777" w:rsidR="005B411E" w:rsidRDefault="005B411E">
            <w:pPr>
              <w:spacing w:before="60" w:after="60"/>
              <w:ind w:right="57"/>
              <w:rPr>
                <w:rFonts w:eastAsia="Arial" w:cs="Arial"/>
                <w:sz w:val="20"/>
              </w:rPr>
            </w:pPr>
          </w:p>
          <w:p w14:paraId="497B7997" w14:textId="000279B4" w:rsidR="005B411E" w:rsidRDefault="005B411E">
            <w:pPr>
              <w:spacing w:before="60" w:after="60"/>
              <w:ind w:right="57"/>
              <w:rPr>
                <w:rFonts w:eastAsia="Arial" w:cs="Arial"/>
                <w:sz w:val="20"/>
              </w:rPr>
            </w:pPr>
            <w:r w:rsidRPr="00255A85">
              <w:rPr>
                <w:rFonts w:eastAsia="Arial" w:cs="Arial"/>
                <w:sz w:val="20"/>
              </w:rPr>
              <w:t xml:space="preserve">When multiple devices/fuels are used in the baseline by the end user in the same premises, the proportional use shall be established from surveys or stove use monitoring as described </w:t>
            </w:r>
            <w:r w:rsidRPr="009E42A3">
              <w:rPr>
                <w:rFonts w:eastAsia="Arial" w:cs="Arial"/>
                <w:sz w:val="20"/>
              </w:rPr>
              <w:t xml:space="preserve">in </w:t>
            </w:r>
            <w:hyperlink w:anchor="A9" w:history="1">
              <w:r w:rsidRPr="009E42A3">
                <w:rPr>
                  <w:rStyle w:val="Hyperlink"/>
                  <w:rFonts w:eastAsia="Arial" w:cs="Arial"/>
                  <w:sz w:val="20"/>
                </w:rPr>
                <w:t>Appendix 9.</w:t>
              </w:r>
            </w:hyperlink>
          </w:p>
        </w:tc>
      </w:tr>
      <w:tr w:rsidR="005B411E" w14:paraId="213AEEB9" w14:textId="77777777">
        <w:trPr>
          <w:trHeight w:val="107"/>
        </w:trPr>
        <w:tc>
          <w:tcPr>
            <w:tcW w:w="2348" w:type="dxa"/>
            <w:shd w:val="clear" w:color="auto" w:fill="E6E6E6"/>
          </w:tcPr>
          <w:p w14:paraId="5BCCD894"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5C9D7FC1"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6C0D310D" w14:textId="77777777">
        <w:trPr>
          <w:trHeight w:val="107"/>
        </w:trPr>
        <w:tc>
          <w:tcPr>
            <w:tcW w:w="2348" w:type="dxa"/>
            <w:vMerge w:val="restart"/>
            <w:shd w:val="clear" w:color="auto" w:fill="E6E6E6"/>
          </w:tcPr>
          <w:p w14:paraId="6CE5005A"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284B7209"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71628820" w14:textId="77777777" w:rsidR="005B411E" w:rsidRDefault="005B411E">
            <w:pPr>
              <w:spacing w:before="60" w:after="60"/>
              <w:ind w:right="57"/>
              <w:rPr>
                <w:rFonts w:eastAsia="Arial" w:cs="Arial"/>
                <w:sz w:val="20"/>
              </w:rPr>
            </w:pPr>
            <w:r w:rsidRPr="00255A85">
              <w:rPr>
                <w:rFonts w:eastAsia="Arial" w:cs="Arial"/>
                <w:sz w:val="20"/>
              </w:rPr>
              <w:t>Baseline scenario surveys or stove use monitoring</w:t>
            </w:r>
          </w:p>
        </w:tc>
      </w:tr>
      <w:tr w:rsidR="005B411E" w14:paraId="6B15D46B" w14:textId="77777777">
        <w:trPr>
          <w:trHeight w:val="104"/>
        </w:trPr>
        <w:tc>
          <w:tcPr>
            <w:tcW w:w="2348" w:type="dxa"/>
            <w:vMerge/>
          </w:tcPr>
          <w:p w14:paraId="511FC29F"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4A7A3430"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4D30FAE4" w14:textId="2EA7A253" w:rsidR="005B411E" w:rsidRDefault="005B411E">
            <w:pPr>
              <w:spacing w:before="60" w:after="60"/>
              <w:ind w:right="57"/>
              <w:rPr>
                <w:rFonts w:eastAsia="Arial" w:cs="Arial"/>
                <w:sz w:val="20"/>
              </w:rPr>
            </w:pPr>
            <w:r>
              <w:rPr>
                <w:rFonts w:eastAsia="Arial" w:cs="Arial"/>
                <w:sz w:val="20"/>
              </w:rPr>
              <w:t xml:space="preserve">See </w:t>
            </w:r>
            <w:r w:rsidR="00F15C1A">
              <w:rPr>
                <w:rFonts w:eastAsia="Arial" w:cs="Arial"/>
                <w:sz w:val="20"/>
              </w:rPr>
              <w:t>Treatment of uncertainty</w:t>
            </w:r>
          </w:p>
        </w:tc>
      </w:tr>
      <w:tr w:rsidR="005B411E" w14:paraId="428E203C" w14:textId="77777777">
        <w:trPr>
          <w:trHeight w:val="104"/>
        </w:trPr>
        <w:tc>
          <w:tcPr>
            <w:tcW w:w="2348" w:type="dxa"/>
            <w:vMerge/>
          </w:tcPr>
          <w:p w14:paraId="3F82F3AC"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1DCAEF6B"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0D4F9EDC" w14:textId="77777777" w:rsidR="005B411E" w:rsidRDefault="005B411E">
            <w:pPr>
              <w:tabs>
                <w:tab w:val="left" w:pos="567"/>
              </w:tabs>
              <w:spacing w:before="20" w:after="20"/>
              <w:ind w:right="161"/>
              <w:rPr>
                <w:rFonts w:ascii="Calibri" w:eastAsia="Calibri" w:hAnsi="Calibri" w:cs="Calibri"/>
                <w:i/>
                <w:szCs w:val="22"/>
              </w:rPr>
            </w:pPr>
            <w:r>
              <w:rPr>
                <w:sz w:val="20"/>
              </w:rPr>
              <w:t>-</w:t>
            </w:r>
          </w:p>
        </w:tc>
      </w:tr>
      <w:tr w:rsidR="005B411E" w14:paraId="2F772009" w14:textId="77777777">
        <w:trPr>
          <w:trHeight w:val="104"/>
        </w:trPr>
        <w:tc>
          <w:tcPr>
            <w:tcW w:w="2348" w:type="dxa"/>
            <w:vMerge/>
          </w:tcPr>
          <w:p w14:paraId="61776E1E"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3DC86A50"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4CA34ABD"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13B316E4" w14:textId="77777777">
        <w:tc>
          <w:tcPr>
            <w:tcW w:w="2348" w:type="dxa"/>
            <w:shd w:val="clear" w:color="auto" w:fill="E6E6E6"/>
          </w:tcPr>
          <w:p w14:paraId="6661818A"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45B3899D" w14:textId="49025C81" w:rsidR="005B411E" w:rsidRPr="00255A85" w:rsidRDefault="005B411E">
            <w:pPr>
              <w:rPr>
                <w:rFonts w:cs="Arial"/>
                <w:color w:val="000000"/>
                <w:sz w:val="20"/>
              </w:rPr>
            </w:pPr>
          </w:p>
        </w:tc>
      </w:tr>
      <w:tr w:rsidR="00712587" w14:paraId="3D274E9E" w14:textId="77777777">
        <w:tc>
          <w:tcPr>
            <w:tcW w:w="2348" w:type="dxa"/>
            <w:shd w:val="clear" w:color="auto" w:fill="E6E6E6"/>
          </w:tcPr>
          <w:p w14:paraId="4F13052E" w14:textId="76DA1D85"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27BA9D0A" w14:textId="12EFD3D4" w:rsidR="00712587" w:rsidRPr="00BF24D4" w:rsidRDefault="00F15C1A" w:rsidP="00BF24D4">
            <w:pPr>
              <w:tabs>
                <w:tab w:val="left" w:pos="567"/>
              </w:tabs>
              <w:spacing w:before="20" w:after="20"/>
              <w:ind w:right="159"/>
              <w:rPr>
                <w:rFonts w:cs="Arial"/>
                <w:i/>
                <w:iCs/>
                <w:color w:val="4F81BD" w:themeColor="accent1"/>
                <w:sz w:val="20"/>
              </w:rPr>
            </w:pPr>
            <w:r>
              <w:rPr>
                <w:rFonts w:cs="Arial"/>
                <w:color w:val="000000"/>
                <w:sz w:val="20"/>
              </w:rPr>
              <w:t>The parameter estimate from the survey must meet the minimum confidence and precision of 95/10 for the percentage of baseline cooking conducted using baseline fuel</w:t>
            </w:r>
            <w:r w:rsidRPr="00584530">
              <w:rPr>
                <w:rFonts w:cs="Arial"/>
                <w:i/>
                <w:iCs/>
                <w:color w:val="000000"/>
                <w:sz w:val="20"/>
              </w:rPr>
              <w:t xml:space="preserve"> </w:t>
            </w:r>
            <w:proofErr w:type="spellStart"/>
            <w:r w:rsidRPr="00584530">
              <w:rPr>
                <w:rFonts w:cs="Arial"/>
                <w:i/>
                <w:iCs/>
                <w:color w:val="000000"/>
                <w:sz w:val="20"/>
              </w:rPr>
              <w:t>i</w:t>
            </w:r>
            <w:proofErr w:type="spellEnd"/>
            <w:r>
              <w:rPr>
                <w:rFonts w:cs="Arial"/>
                <w:color w:val="000000"/>
                <w:sz w:val="20"/>
              </w:rPr>
              <w:t>, with a minimum of 200 households.</w:t>
            </w:r>
          </w:p>
        </w:tc>
      </w:tr>
      <w:tr w:rsidR="005B411E" w14:paraId="5245506C" w14:textId="77777777">
        <w:tc>
          <w:tcPr>
            <w:tcW w:w="2348" w:type="dxa"/>
            <w:shd w:val="clear" w:color="auto" w:fill="E6E6E6"/>
          </w:tcPr>
          <w:p w14:paraId="5881EDE9"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0B90EF9F" w14:textId="77777777" w:rsidR="005B411E" w:rsidRPr="00255A85" w:rsidRDefault="005B411E">
            <w:pPr>
              <w:spacing w:before="60" w:after="60"/>
              <w:ind w:right="57"/>
              <w:rPr>
                <w:rFonts w:eastAsia="Arial" w:cs="Arial"/>
                <w:sz w:val="20"/>
              </w:rPr>
            </w:pPr>
            <w:r>
              <w:rPr>
                <w:rFonts w:eastAsia="Arial" w:cs="Arial"/>
                <w:sz w:val="20"/>
              </w:rPr>
              <w:t>The purpose of the data is to e</w:t>
            </w:r>
            <w:r w:rsidRPr="00255A85">
              <w:rPr>
                <w:rFonts w:eastAsia="Arial" w:cs="Arial"/>
                <w:sz w:val="20"/>
              </w:rPr>
              <w:t xml:space="preserve">stimate the proportion of cooking events conducted using baseline fuel </w:t>
            </w:r>
            <w:proofErr w:type="spellStart"/>
            <w:r w:rsidRPr="008D0AF8">
              <w:rPr>
                <w:rFonts w:eastAsia="Arial" w:cs="Arial"/>
                <w:i/>
                <w:sz w:val="20"/>
              </w:rPr>
              <w:t>i</w:t>
            </w:r>
            <w:proofErr w:type="spellEnd"/>
            <w:r w:rsidRPr="008D0AF8">
              <w:rPr>
                <w:rFonts w:eastAsia="Arial" w:cs="Arial"/>
                <w:i/>
                <w:sz w:val="20"/>
              </w:rPr>
              <w:t>,</w:t>
            </w:r>
            <w:r w:rsidRPr="00255A85">
              <w:rPr>
                <w:rFonts w:eastAsia="Arial" w:cs="Arial"/>
                <w:sz w:val="20"/>
              </w:rPr>
              <w:t xml:space="preserve"> used in conjunction with Parameter </w:t>
            </w:r>
            <w:proofErr w:type="spellStart"/>
            <w:proofErr w:type="gramStart"/>
            <w:r w:rsidRPr="00255A85">
              <w:rPr>
                <w:rFonts w:eastAsia="Arial" w:cs="Arial"/>
                <w:sz w:val="20"/>
              </w:rPr>
              <w:t>PC</w:t>
            </w:r>
            <w:r w:rsidRPr="008D0AF8">
              <w:rPr>
                <w:rFonts w:eastAsia="Arial" w:cs="Arial"/>
                <w:i/>
                <w:sz w:val="20"/>
              </w:rPr>
              <w:t>p,j</w:t>
            </w:r>
            <w:proofErr w:type="spellEnd"/>
            <w:proofErr w:type="gramEnd"/>
            <w:r w:rsidRPr="00255A85">
              <w:rPr>
                <w:rFonts w:eastAsia="Arial" w:cs="Arial"/>
                <w:sz w:val="20"/>
              </w:rPr>
              <w:t xml:space="preserve"> to calculate a material difference between the baseline scenario and actual project households, for non-CTEC and CTEC with KPT projects. This parameter does not appear in emissions reduction quantification equations.</w:t>
            </w:r>
          </w:p>
        </w:tc>
      </w:tr>
    </w:tbl>
    <w:p w14:paraId="482B18C6"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6C135028" w14:textId="77777777">
        <w:tc>
          <w:tcPr>
            <w:tcW w:w="2348" w:type="dxa"/>
            <w:shd w:val="clear" w:color="auto" w:fill="E6E6E6"/>
          </w:tcPr>
          <w:p w14:paraId="38624018"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2C419C3B" w14:textId="77777777" w:rsidR="005B411E" w:rsidRDefault="005B411E">
            <w:pPr>
              <w:spacing w:before="60" w:after="60"/>
              <w:ind w:right="57"/>
              <w:rPr>
                <w:rFonts w:eastAsia="Arial" w:cs="Arial"/>
                <w:b/>
                <w:sz w:val="20"/>
              </w:rPr>
            </w:pPr>
            <m:oMath>
              <m:r>
                <w:rPr>
                  <w:rFonts w:ascii="Cambria Math" w:eastAsia="Cambria Math" w:hAnsi="Cambria Math" w:cs="Cambria Math"/>
                </w:rPr>
                <m:t>PC</m:t>
              </m:r>
            </m:oMath>
            <w:proofErr w:type="gramStart"/>
            <w:r>
              <w:rPr>
                <w:rFonts w:ascii="Cambria Math" w:eastAsia="Cambria Math" w:hAnsi="Cambria Math" w:cs="Cambria Math"/>
                <w:i/>
                <w:iCs/>
                <w:vertAlign w:val="subscript"/>
              </w:rPr>
              <w:t>p</w:t>
            </w:r>
            <w:r w:rsidRPr="00401398">
              <w:rPr>
                <w:rFonts w:ascii="Cambria Math" w:eastAsia="Cambria Math" w:hAnsi="Cambria Math" w:cs="Cambria Math"/>
                <w:i/>
                <w:iCs/>
                <w:vertAlign w:val="subscript"/>
              </w:rPr>
              <w:t>,</w:t>
            </w:r>
            <w:r>
              <w:rPr>
                <w:rFonts w:ascii="Cambria Math" w:eastAsia="Cambria Math" w:hAnsi="Cambria Math" w:cs="Cambria Math"/>
                <w:i/>
                <w:iCs/>
                <w:vertAlign w:val="subscript"/>
              </w:rPr>
              <w:t>j</w:t>
            </w:r>
            <w:proofErr w:type="gramEnd"/>
          </w:p>
        </w:tc>
      </w:tr>
      <w:tr w:rsidR="005B411E" w14:paraId="7AF6CA5A" w14:textId="77777777">
        <w:tc>
          <w:tcPr>
            <w:tcW w:w="2348" w:type="dxa"/>
            <w:shd w:val="clear" w:color="auto" w:fill="E6E6E6"/>
          </w:tcPr>
          <w:p w14:paraId="3BF70EBC"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0FFD140C" w14:textId="77777777" w:rsidR="005B411E" w:rsidRDefault="005B411E">
            <w:pPr>
              <w:spacing w:before="60" w:after="60"/>
              <w:ind w:right="57"/>
              <w:rPr>
                <w:rFonts w:eastAsia="Arial" w:cs="Arial"/>
                <w:sz w:val="20"/>
              </w:rPr>
            </w:pPr>
            <w:r w:rsidRPr="00D40929">
              <w:rPr>
                <w:rFonts w:eastAsia="Arial" w:cs="Arial"/>
                <w:sz w:val="20"/>
              </w:rPr>
              <w:t>Proportion of cooking events conducted using project fuel</w:t>
            </w:r>
            <w:r w:rsidRPr="008D0AF8">
              <w:rPr>
                <w:rFonts w:eastAsia="Arial" w:cs="Arial"/>
                <w:i/>
                <w:sz w:val="20"/>
              </w:rPr>
              <w:t xml:space="preserve"> j</w:t>
            </w:r>
          </w:p>
        </w:tc>
      </w:tr>
      <w:tr w:rsidR="005B411E" w14:paraId="1652604B" w14:textId="77777777">
        <w:tc>
          <w:tcPr>
            <w:tcW w:w="2348" w:type="dxa"/>
            <w:shd w:val="clear" w:color="auto" w:fill="E6E6E6"/>
          </w:tcPr>
          <w:p w14:paraId="68BDCF29"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54C14A75" w14:textId="77777777" w:rsidR="005B411E" w:rsidRPr="00D40929" w:rsidRDefault="005B411E">
            <w:pPr>
              <w:rPr>
                <w:rFonts w:cs="Arial"/>
                <w:color w:val="000000"/>
                <w:sz w:val="20"/>
              </w:rPr>
            </w:pPr>
            <w:r>
              <w:rPr>
                <w:rFonts w:cs="Arial"/>
                <w:color w:val="000000"/>
                <w:sz w:val="20"/>
              </w:rPr>
              <w:t>Percentage</w:t>
            </w:r>
          </w:p>
        </w:tc>
      </w:tr>
      <w:tr w:rsidR="005B411E" w14:paraId="4DE62D1A" w14:textId="77777777">
        <w:tc>
          <w:tcPr>
            <w:tcW w:w="2348" w:type="dxa"/>
            <w:shd w:val="clear" w:color="auto" w:fill="E6E6E6"/>
          </w:tcPr>
          <w:p w14:paraId="7144E566"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cBorders>
          </w:tcPr>
          <w:p w14:paraId="7B21772F" w14:textId="77777777" w:rsidR="005B411E" w:rsidRDefault="005B411E">
            <w:pPr>
              <w:spacing w:before="60" w:after="60"/>
              <w:ind w:right="57"/>
              <w:rPr>
                <w:rFonts w:eastAsia="Arial" w:cs="Arial"/>
                <w:sz w:val="20"/>
              </w:rPr>
            </w:pPr>
            <w:r w:rsidRPr="00255A85">
              <w:rPr>
                <w:rFonts w:eastAsia="Arial" w:cs="Arial"/>
                <w:sz w:val="20"/>
              </w:rPr>
              <w:t>This parameter does not appear in emissions reduction quantification equations</w:t>
            </w:r>
            <w:r>
              <w:rPr>
                <w:rFonts w:eastAsia="Arial" w:cs="Arial"/>
                <w:sz w:val="20"/>
              </w:rPr>
              <w:t>, see Additional Comment field.</w:t>
            </w:r>
          </w:p>
        </w:tc>
      </w:tr>
      <w:tr w:rsidR="00B81012" w14:paraId="5D8243DF" w14:textId="77777777">
        <w:tc>
          <w:tcPr>
            <w:tcW w:w="2348" w:type="dxa"/>
            <w:shd w:val="clear" w:color="auto" w:fill="E6E6E6"/>
          </w:tcPr>
          <w:p w14:paraId="3ADEA45C" w14:textId="33910043" w:rsidR="00B81012" w:rsidRDefault="00B81012" w:rsidP="00B81012">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cBorders>
          </w:tcPr>
          <w:p w14:paraId="0A54425B" w14:textId="69729F4C" w:rsidR="00B81012" w:rsidRPr="00255A85" w:rsidRDefault="00B81012">
            <w:pPr>
              <w:spacing w:before="60" w:after="60"/>
              <w:ind w:right="57"/>
              <w:rPr>
                <w:rFonts w:eastAsia="Arial" w:cs="Arial"/>
                <w:sz w:val="20"/>
              </w:rPr>
            </w:pPr>
            <w:r>
              <w:rPr>
                <w:rFonts w:eastAsia="Arial" w:cs="Arial"/>
                <w:sz w:val="20"/>
              </w:rPr>
              <w:t xml:space="preserve">Frequency of monitoring: </w:t>
            </w:r>
            <w:r w:rsidRPr="00255A85">
              <w:rPr>
                <w:rFonts w:eastAsia="Arial" w:cs="Arial"/>
                <w:sz w:val="20"/>
              </w:rPr>
              <w:t>Once per crediting period</w:t>
            </w:r>
          </w:p>
        </w:tc>
      </w:tr>
      <w:tr w:rsidR="005B411E" w14:paraId="62D22F8A" w14:textId="77777777">
        <w:tc>
          <w:tcPr>
            <w:tcW w:w="2348" w:type="dxa"/>
            <w:vMerge w:val="restart"/>
            <w:shd w:val="clear" w:color="auto" w:fill="E6E6E6"/>
          </w:tcPr>
          <w:p w14:paraId="125D0EFF"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17150A3B"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Baseline emissions / removals</w:t>
            </w:r>
          </w:p>
        </w:tc>
        <w:tc>
          <w:tcPr>
            <w:tcW w:w="2406" w:type="dxa"/>
            <w:tcBorders>
              <w:left w:val="nil"/>
              <w:bottom w:val="nil"/>
              <w:right w:val="nil"/>
            </w:tcBorders>
          </w:tcPr>
          <w:p w14:paraId="1D3638C0"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D1175B" w:rsidDel="00263F91">
              <w:rPr>
                <w:rFonts w:cs="Arial"/>
                <w:sz w:val="20"/>
                <w:shd w:val="clear" w:color="auto" w:fill="E6E6E6"/>
              </w:rPr>
              <w:t xml:space="preserve"> </w:t>
            </w:r>
            <w:r w:rsidRPr="00D1175B">
              <w:rPr>
                <w:rFonts w:cs="Arial"/>
                <w:sz w:val="20"/>
              </w:rPr>
              <w:t>Project emissions / removals</w:t>
            </w:r>
          </w:p>
        </w:tc>
        <w:tc>
          <w:tcPr>
            <w:tcW w:w="2410" w:type="dxa"/>
            <w:tcBorders>
              <w:left w:val="nil"/>
              <w:bottom w:val="nil"/>
            </w:tcBorders>
          </w:tcPr>
          <w:p w14:paraId="442BE3E2"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Leakage emissions</w:t>
            </w:r>
          </w:p>
        </w:tc>
      </w:tr>
      <w:tr w:rsidR="005B411E" w14:paraId="0FF9EFEF" w14:textId="77777777">
        <w:tc>
          <w:tcPr>
            <w:tcW w:w="2348" w:type="dxa"/>
            <w:vMerge/>
            <w:shd w:val="clear" w:color="auto" w:fill="E6E6E6"/>
          </w:tcPr>
          <w:p w14:paraId="3476A430"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cBorders>
            <w:vAlign w:val="center"/>
          </w:tcPr>
          <w:p w14:paraId="4685A439" w14:textId="77777777" w:rsidR="005B411E" w:rsidRDefault="005B411E">
            <w:pPr>
              <w:spacing w:before="60" w:after="60"/>
              <w:ind w:right="57"/>
              <w:rPr>
                <w:rFonts w:eastAsia="Arial" w:cs="Arial"/>
                <w:i/>
                <w:sz w:val="20"/>
              </w:rPr>
            </w:pPr>
          </w:p>
        </w:tc>
      </w:tr>
      <w:tr w:rsidR="005B411E" w14:paraId="3B9E44FC" w14:textId="77777777">
        <w:tc>
          <w:tcPr>
            <w:tcW w:w="2348" w:type="dxa"/>
            <w:shd w:val="clear" w:color="auto" w:fill="E6E6E6"/>
          </w:tcPr>
          <w:p w14:paraId="02765368"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cBorders>
            <w:vAlign w:val="center"/>
          </w:tcPr>
          <w:p w14:paraId="106A7D5F" w14:textId="77777777" w:rsidR="005B411E" w:rsidRPr="00D40929" w:rsidRDefault="005B411E">
            <w:pPr>
              <w:spacing w:before="60" w:after="60"/>
              <w:ind w:right="57"/>
              <w:rPr>
                <w:rFonts w:eastAsia="Arial" w:cs="Arial"/>
                <w:sz w:val="20"/>
              </w:rPr>
            </w:pPr>
            <w:r w:rsidRPr="00D40929">
              <w:rPr>
                <w:rFonts w:eastAsia="Arial" w:cs="Arial"/>
                <w:sz w:val="20"/>
              </w:rPr>
              <w:t>Project usage surveys or stove use monitoring.</w:t>
            </w:r>
          </w:p>
          <w:p w14:paraId="60586F04" w14:textId="77777777" w:rsidR="005B411E" w:rsidRPr="00D40929" w:rsidRDefault="005B411E">
            <w:pPr>
              <w:spacing w:before="60" w:after="60"/>
              <w:ind w:right="57"/>
              <w:rPr>
                <w:rFonts w:eastAsia="Arial" w:cs="Arial"/>
                <w:sz w:val="20"/>
              </w:rPr>
            </w:pPr>
          </w:p>
          <w:p w14:paraId="3BA7E490" w14:textId="77777777" w:rsidR="005B411E" w:rsidRDefault="005B411E">
            <w:pPr>
              <w:spacing w:before="60" w:after="60"/>
              <w:ind w:right="57"/>
              <w:rPr>
                <w:rFonts w:eastAsia="Arial" w:cs="Arial"/>
                <w:sz w:val="20"/>
              </w:rPr>
            </w:pPr>
            <w:r w:rsidRPr="00D40929">
              <w:rPr>
                <w:rFonts w:eastAsia="Arial" w:cs="Arial"/>
                <w:sz w:val="20"/>
              </w:rPr>
              <w:t xml:space="preserve">The survey must ask to identify all the cooking devices present in the household. For the project cookstove and each other cooking device present in the </w:t>
            </w:r>
            <w:r w:rsidRPr="00D40929">
              <w:rPr>
                <w:rFonts w:eastAsia="Arial" w:cs="Arial"/>
                <w:sz w:val="20"/>
              </w:rPr>
              <w:lastRenderedPageBreak/>
              <w:t>household, ask “How many times did you cook using [cooking device] yesterday?” to determine the number of usage events per day per device.</w:t>
            </w:r>
          </w:p>
          <w:p w14:paraId="32F848AC" w14:textId="77777777" w:rsidR="005B411E" w:rsidRDefault="005B411E">
            <w:pPr>
              <w:spacing w:before="60" w:after="60"/>
              <w:ind w:right="57"/>
              <w:rPr>
                <w:rFonts w:eastAsia="Arial" w:cs="Arial"/>
                <w:sz w:val="20"/>
              </w:rPr>
            </w:pPr>
          </w:p>
          <w:p w14:paraId="7A08B896" w14:textId="26BAACA6" w:rsidR="005B411E" w:rsidRDefault="005B411E">
            <w:pPr>
              <w:spacing w:before="60" w:after="60"/>
              <w:ind w:right="57"/>
              <w:rPr>
                <w:rFonts w:eastAsia="Arial" w:cs="Arial"/>
                <w:sz w:val="20"/>
              </w:rPr>
            </w:pPr>
            <w:r w:rsidRPr="00D40929">
              <w:rPr>
                <w:rFonts w:eastAsia="Arial" w:cs="Arial"/>
                <w:sz w:val="20"/>
              </w:rPr>
              <w:t>When multiple devices/fuels are used in the baseline by the end user in the same premises, the proportional use shall be established from surveys or stove use monitoring as describe</w:t>
            </w:r>
            <w:r w:rsidRPr="009E42A3">
              <w:rPr>
                <w:rFonts w:eastAsia="Arial" w:cs="Arial"/>
                <w:sz w:val="20"/>
              </w:rPr>
              <w:t xml:space="preserve">d in </w:t>
            </w:r>
            <w:hyperlink w:anchor="A9" w:history="1">
              <w:r w:rsidRPr="009E42A3">
                <w:rPr>
                  <w:rStyle w:val="Hyperlink"/>
                  <w:rFonts w:eastAsia="Arial" w:cs="Arial"/>
                  <w:sz w:val="20"/>
                </w:rPr>
                <w:t>Appendix 9.</w:t>
              </w:r>
            </w:hyperlink>
          </w:p>
        </w:tc>
      </w:tr>
      <w:tr w:rsidR="005B411E" w14:paraId="560893F8" w14:textId="77777777">
        <w:trPr>
          <w:trHeight w:val="107"/>
        </w:trPr>
        <w:tc>
          <w:tcPr>
            <w:tcW w:w="2348" w:type="dxa"/>
            <w:shd w:val="clear" w:color="auto" w:fill="E6E6E6"/>
          </w:tcPr>
          <w:p w14:paraId="41C94001" w14:textId="77777777" w:rsidR="005B411E" w:rsidRDefault="005B411E" w:rsidP="00BF24D4">
            <w:pPr>
              <w:spacing w:before="60" w:after="60"/>
              <w:ind w:right="57"/>
              <w:jc w:val="left"/>
              <w:rPr>
                <w:rFonts w:eastAsia="Arial" w:cs="Arial"/>
                <w:sz w:val="20"/>
              </w:rPr>
            </w:pPr>
            <w:r>
              <w:rPr>
                <w:rFonts w:eastAsia="Arial" w:cs="Arial"/>
                <w:sz w:val="20"/>
              </w:rPr>
              <w:lastRenderedPageBreak/>
              <w:t>Entity/person responsible for the measurement</w:t>
            </w:r>
          </w:p>
        </w:tc>
        <w:tc>
          <w:tcPr>
            <w:tcW w:w="7224" w:type="dxa"/>
            <w:gridSpan w:val="4"/>
            <w:tcBorders>
              <w:top w:val="single" w:sz="4" w:space="0" w:color="000000"/>
            </w:tcBorders>
          </w:tcPr>
          <w:p w14:paraId="60A932A3"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4C3D473B" w14:textId="77777777">
        <w:trPr>
          <w:trHeight w:val="107"/>
        </w:trPr>
        <w:tc>
          <w:tcPr>
            <w:tcW w:w="2348" w:type="dxa"/>
            <w:vMerge w:val="restart"/>
            <w:shd w:val="clear" w:color="auto" w:fill="E6E6E6"/>
          </w:tcPr>
          <w:p w14:paraId="22217B7E"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cBorders>
          </w:tcPr>
          <w:p w14:paraId="798B67E9"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cBorders>
          </w:tcPr>
          <w:p w14:paraId="741E5F5C" w14:textId="77777777" w:rsidR="005B411E" w:rsidRDefault="005B411E">
            <w:pPr>
              <w:spacing w:before="60" w:after="60"/>
              <w:ind w:right="57"/>
              <w:rPr>
                <w:rFonts w:eastAsia="Arial" w:cs="Arial"/>
                <w:sz w:val="20"/>
              </w:rPr>
            </w:pPr>
            <w:r w:rsidRPr="00D40929">
              <w:rPr>
                <w:rFonts w:eastAsia="Arial" w:cs="Arial"/>
                <w:sz w:val="20"/>
              </w:rPr>
              <w:t>Project usage surveys or stove use monitoring.</w:t>
            </w:r>
          </w:p>
        </w:tc>
      </w:tr>
      <w:tr w:rsidR="005B411E" w14:paraId="1243FAF6" w14:textId="77777777">
        <w:trPr>
          <w:trHeight w:val="104"/>
        </w:trPr>
        <w:tc>
          <w:tcPr>
            <w:tcW w:w="2348" w:type="dxa"/>
            <w:vMerge/>
            <w:shd w:val="clear" w:color="auto" w:fill="E6E6E6"/>
          </w:tcPr>
          <w:p w14:paraId="65E2712E"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cBorders>
          </w:tcPr>
          <w:p w14:paraId="3B1CEE3E"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cBorders>
          </w:tcPr>
          <w:p w14:paraId="5FEC9604" w14:textId="159E232A" w:rsidR="005B411E" w:rsidRDefault="005B411E">
            <w:pPr>
              <w:spacing w:before="60" w:after="60"/>
              <w:ind w:right="57"/>
              <w:rPr>
                <w:rFonts w:eastAsia="Arial" w:cs="Arial"/>
                <w:sz w:val="20"/>
              </w:rPr>
            </w:pPr>
            <w:r>
              <w:rPr>
                <w:rFonts w:eastAsia="Arial" w:cs="Arial"/>
                <w:sz w:val="20"/>
              </w:rPr>
              <w:t xml:space="preserve">See </w:t>
            </w:r>
            <w:r w:rsidR="00F15C1A">
              <w:rPr>
                <w:rFonts w:eastAsia="Arial" w:cs="Arial"/>
                <w:sz w:val="20"/>
              </w:rPr>
              <w:t>Treatment of uncertainty</w:t>
            </w:r>
          </w:p>
        </w:tc>
      </w:tr>
      <w:tr w:rsidR="005B411E" w14:paraId="0DCE0088" w14:textId="77777777">
        <w:trPr>
          <w:trHeight w:val="104"/>
        </w:trPr>
        <w:tc>
          <w:tcPr>
            <w:tcW w:w="2348" w:type="dxa"/>
            <w:vMerge/>
            <w:shd w:val="clear" w:color="auto" w:fill="E6E6E6"/>
          </w:tcPr>
          <w:p w14:paraId="54FF6B3C"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cBorders>
          </w:tcPr>
          <w:p w14:paraId="65C1BBA7"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cBorders>
          </w:tcPr>
          <w:p w14:paraId="5448F439" w14:textId="77777777" w:rsidR="005B411E" w:rsidRDefault="005B411E">
            <w:pPr>
              <w:tabs>
                <w:tab w:val="left" w:pos="567"/>
              </w:tabs>
              <w:spacing w:before="20" w:after="20"/>
              <w:ind w:right="161"/>
              <w:rPr>
                <w:rFonts w:ascii="Calibri" w:eastAsia="Calibri" w:hAnsi="Calibri" w:cs="Calibri"/>
                <w:i/>
                <w:szCs w:val="22"/>
              </w:rPr>
            </w:pPr>
            <w:r>
              <w:rPr>
                <w:sz w:val="20"/>
              </w:rPr>
              <w:t>-</w:t>
            </w:r>
          </w:p>
        </w:tc>
      </w:tr>
      <w:tr w:rsidR="005B411E" w14:paraId="7D3F9882" w14:textId="77777777">
        <w:trPr>
          <w:trHeight w:val="104"/>
        </w:trPr>
        <w:tc>
          <w:tcPr>
            <w:tcW w:w="2348" w:type="dxa"/>
            <w:vMerge/>
            <w:shd w:val="clear" w:color="auto" w:fill="E6E6E6"/>
          </w:tcPr>
          <w:p w14:paraId="32F7225F"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cBorders>
          </w:tcPr>
          <w:p w14:paraId="4DEE5C7F"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cBorders>
          </w:tcPr>
          <w:p w14:paraId="4C5F40A3"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401927C0" w14:textId="77777777">
        <w:tc>
          <w:tcPr>
            <w:tcW w:w="2348" w:type="dxa"/>
            <w:shd w:val="clear" w:color="auto" w:fill="E6E6E6"/>
          </w:tcPr>
          <w:p w14:paraId="1FF2A225"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3A433A1C" w14:textId="0975D1E2" w:rsidR="005B411E" w:rsidRDefault="00755829">
            <w:pPr>
              <w:tabs>
                <w:tab w:val="left" w:pos="567"/>
              </w:tabs>
              <w:spacing w:before="20" w:after="20"/>
              <w:ind w:right="159"/>
              <w:rPr>
                <w:rFonts w:ascii="Calibri" w:eastAsia="Calibri" w:hAnsi="Calibri" w:cs="Calibri"/>
                <w:i/>
                <w:szCs w:val="22"/>
              </w:rPr>
            </w:pPr>
            <w:r w:rsidRPr="00AF0D01">
              <w:rPr>
                <w:rFonts w:cs="Arial"/>
                <w:color w:val="000000"/>
                <w:sz w:val="20"/>
              </w:rPr>
              <w:t>Surveys are conducted by trained enumerators, verified through visual inspection and geo-tagged photographic evidence, and where possible administered on electronic platforms with built-in quality checks.</w:t>
            </w:r>
          </w:p>
        </w:tc>
      </w:tr>
      <w:tr w:rsidR="00712587" w14:paraId="1C85B8D2" w14:textId="77777777">
        <w:tc>
          <w:tcPr>
            <w:tcW w:w="2348" w:type="dxa"/>
            <w:shd w:val="clear" w:color="auto" w:fill="E6E6E6"/>
          </w:tcPr>
          <w:p w14:paraId="389CAA3B" w14:textId="721C4D76"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6D3B71B2" w14:textId="745A0AE1" w:rsidR="00712587" w:rsidRPr="00BF24D4" w:rsidRDefault="008C45FA" w:rsidP="00BF24D4">
            <w:pPr>
              <w:tabs>
                <w:tab w:val="left" w:pos="567"/>
              </w:tabs>
              <w:spacing w:before="20" w:after="20"/>
              <w:ind w:right="159"/>
              <w:rPr>
                <w:rFonts w:cs="Arial"/>
                <w:i/>
                <w:iCs/>
                <w:color w:val="4F81BD" w:themeColor="accent1"/>
                <w:sz w:val="20"/>
              </w:rPr>
            </w:pPr>
            <w:r w:rsidRPr="00D40929">
              <w:rPr>
                <w:rFonts w:eastAsia="Arial" w:cs="Arial"/>
                <w:sz w:val="20"/>
              </w:rPr>
              <w:t xml:space="preserve">The parameter estimate from the survey must meet the minimum confidence and precision of 95/10 for the percentage of baseline cooking conducted using project fuel </w:t>
            </w:r>
            <w:r w:rsidRPr="00584530">
              <w:rPr>
                <w:rFonts w:eastAsia="Arial" w:cs="Arial"/>
                <w:i/>
                <w:iCs/>
                <w:sz w:val="20"/>
              </w:rPr>
              <w:t>j</w:t>
            </w:r>
            <w:r w:rsidRPr="00D40929">
              <w:rPr>
                <w:rFonts w:eastAsia="Arial" w:cs="Arial"/>
                <w:sz w:val="20"/>
              </w:rPr>
              <w:t>.</w:t>
            </w:r>
          </w:p>
        </w:tc>
      </w:tr>
      <w:tr w:rsidR="005B411E" w14:paraId="4356E405" w14:textId="77777777">
        <w:tc>
          <w:tcPr>
            <w:tcW w:w="2348" w:type="dxa"/>
            <w:shd w:val="clear" w:color="auto" w:fill="E6E6E6"/>
          </w:tcPr>
          <w:p w14:paraId="2016D9F4"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27B41A04" w14:textId="77777777" w:rsidR="005B411E" w:rsidRDefault="005B411E">
            <w:pPr>
              <w:spacing w:before="60" w:after="60"/>
              <w:ind w:right="57"/>
              <w:rPr>
                <w:rFonts w:eastAsia="Arial" w:cs="Arial"/>
                <w:sz w:val="20"/>
              </w:rPr>
            </w:pPr>
            <w:r>
              <w:rPr>
                <w:rFonts w:eastAsia="Arial" w:cs="Arial"/>
                <w:sz w:val="20"/>
              </w:rPr>
              <w:t>The purpose of the data is to e</w:t>
            </w:r>
            <w:r w:rsidRPr="00D40929">
              <w:rPr>
                <w:rFonts w:eastAsia="Arial" w:cs="Arial"/>
                <w:sz w:val="20"/>
              </w:rPr>
              <w:t xml:space="preserve">stimate the proportion of cooking events conducted using project fuel </w:t>
            </w:r>
            <w:r w:rsidRPr="008D0AF8">
              <w:rPr>
                <w:rFonts w:eastAsia="Arial" w:cs="Arial"/>
                <w:i/>
                <w:sz w:val="20"/>
              </w:rPr>
              <w:t>j</w:t>
            </w:r>
            <w:r w:rsidRPr="00D40929">
              <w:rPr>
                <w:rFonts w:eastAsia="Arial" w:cs="Arial"/>
                <w:sz w:val="20"/>
              </w:rPr>
              <w:t xml:space="preserve">, used in conjunction with Parameter </w:t>
            </w:r>
            <w:proofErr w:type="spellStart"/>
            <w:proofErr w:type="gramStart"/>
            <w:r w:rsidRPr="00D40929">
              <w:rPr>
                <w:rFonts w:eastAsia="Arial" w:cs="Arial"/>
                <w:sz w:val="20"/>
              </w:rPr>
              <w:t>PC</w:t>
            </w:r>
            <w:r w:rsidRPr="008D0AF8">
              <w:rPr>
                <w:rFonts w:eastAsia="Arial" w:cs="Arial"/>
                <w:i/>
                <w:sz w:val="20"/>
              </w:rPr>
              <w:t>b</w:t>
            </w:r>
            <w:r w:rsidRPr="00D40929">
              <w:rPr>
                <w:rFonts w:eastAsia="Arial" w:cs="Arial"/>
                <w:sz w:val="20"/>
              </w:rPr>
              <w:t>,</w:t>
            </w:r>
            <w:r w:rsidRPr="008D0AF8">
              <w:rPr>
                <w:rFonts w:eastAsia="Arial" w:cs="Arial"/>
                <w:i/>
                <w:sz w:val="20"/>
              </w:rPr>
              <w:t>i</w:t>
            </w:r>
            <w:proofErr w:type="spellEnd"/>
            <w:proofErr w:type="gramEnd"/>
            <w:r w:rsidRPr="008D0AF8">
              <w:rPr>
                <w:rFonts w:eastAsia="Arial" w:cs="Arial"/>
                <w:i/>
                <w:sz w:val="20"/>
              </w:rPr>
              <w:t xml:space="preserve"> </w:t>
            </w:r>
            <w:r w:rsidRPr="00D40929">
              <w:rPr>
                <w:rFonts w:eastAsia="Arial" w:cs="Arial"/>
                <w:sz w:val="20"/>
              </w:rPr>
              <w:t>to calculate a material difference between the baseline scenario and actual project households, for non-CTEC and CTEC with KPT projects. This parameter does not appear in emissions reduction quantification equations.</w:t>
            </w:r>
          </w:p>
        </w:tc>
      </w:tr>
    </w:tbl>
    <w:p w14:paraId="7776621D" w14:textId="77777777" w:rsidR="005B411E" w:rsidRPr="000B3A93"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76B860A7" w14:textId="77777777">
        <w:tc>
          <w:tcPr>
            <w:tcW w:w="2348" w:type="dxa"/>
            <w:shd w:val="clear" w:color="auto" w:fill="E6E6E6"/>
          </w:tcPr>
          <w:p w14:paraId="139EEB9F"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52C1FA9E" w14:textId="77777777" w:rsidR="005B411E" w:rsidRPr="00D40929"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PTC</m:t>
                    </m:r>
                  </m:e>
                  <m:sub>
                    <m:r>
                      <w:rPr>
                        <w:rFonts w:ascii="Cambria Math" w:eastAsia="Cambria Math" w:hAnsi="Cambria Math" w:cs="Cambria Math"/>
                      </w:rPr>
                      <m:t>m</m:t>
                    </m:r>
                  </m:sub>
                </m:sSub>
              </m:oMath>
            </m:oMathPara>
          </w:p>
        </w:tc>
      </w:tr>
      <w:tr w:rsidR="005B411E" w14:paraId="5D4B85BC" w14:textId="77777777">
        <w:tc>
          <w:tcPr>
            <w:tcW w:w="2348" w:type="dxa"/>
            <w:shd w:val="clear" w:color="auto" w:fill="E6E6E6"/>
          </w:tcPr>
          <w:p w14:paraId="1A60DE08"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11329A06" w14:textId="77777777" w:rsidR="005B411E" w:rsidRDefault="005B411E">
            <w:pPr>
              <w:spacing w:before="60" w:after="60"/>
              <w:ind w:right="57"/>
              <w:rPr>
                <w:rFonts w:eastAsia="Arial" w:cs="Arial"/>
                <w:sz w:val="20"/>
              </w:rPr>
            </w:pPr>
            <w:r w:rsidRPr="00D40929">
              <w:rPr>
                <w:rFonts w:eastAsia="Arial" w:cs="Arial"/>
                <w:sz w:val="20"/>
              </w:rPr>
              <w:t>Average project technology cooking events per day over 1 month from SUMs measurements</w:t>
            </w:r>
          </w:p>
        </w:tc>
      </w:tr>
      <w:tr w:rsidR="005B411E" w14:paraId="24AD75DD" w14:textId="77777777">
        <w:tc>
          <w:tcPr>
            <w:tcW w:w="2348" w:type="dxa"/>
            <w:shd w:val="clear" w:color="auto" w:fill="E6E6E6"/>
          </w:tcPr>
          <w:p w14:paraId="355667EC"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4EDD8E6B" w14:textId="77777777" w:rsidR="005B411E" w:rsidRDefault="005B411E">
            <w:pPr>
              <w:spacing w:before="60" w:after="60"/>
              <w:ind w:right="57"/>
              <w:rPr>
                <w:rFonts w:eastAsia="Arial" w:cs="Arial"/>
                <w:sz w:val="20"/>
              </w:rPr>
            </w:pPr>
            <w:r w:rsidRPr="00D40929">
              <w:rPr>
                <w:rFonts w:eastAsia="Arial" w:cs="Arial"/>
                <w:sz w:val="20"/>
              </w:rPr>
              <w:t>Cooking events/day (Number)</w:t>
            </w:r>
          </w:p>
        </w:tc>
      </w:tr>
      <w:tr w:rsidR="005B411E" w14:paraId="1C8CDF74" w14:textId="77777777">
        <w:tc>
          <w:tcPr>
            <w:tcW w:w="2348" w:type="dxa"/>
            <w:shd w:val="clear" w:color="auto" w:fill="E6E6E6"/>
          </w:tcPr>
          <w:p w14:paraId="2D8F74B4"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737CF9ED" w14:textId="01AC220F" w:rsidR="005B411E" w:rsidRDefault="005B411E">
            <w:pPr>
              <w:spacing w:before="60" w:after="60"/>
              <w:ind w:right="57"/>
              <w:rPr>
                <w:rFonts w:eastAsia="Arial" w:cs="Arial"/>
                <w:sz w:val="20"/>
              </w:rPr>
            </w:pPr>
            <w:hyperlink w:anchor="e26" w:history="1">
              <w:r w:rsidRPr="00224FE8">
                <w:rPr>
                  <w:rStyle w:val="Hyperlink"/>
                  <w:rFonts w:eastAsia="Arial" w:cs="Arial"/>
                  <w:sz w:val="20"/>
                </w:rPr>
                <w:t>Eq. 26</w:t>
              </w:r>
            </w:hyperlink>
          </w:p>
        </w:tc>
      </w:tr>
      <w:tr w:rsidR="005B411E" w14:paraId="4DBAD14E" w14:textId="77777777">
        <w:tc>
          <w:tcPr>
            <w:tcW w:w="2348" w:type="dxa"/>
            <w:vMerge w:val="restart"/>
            <w:shd w:val="clear" w:color="auto" w:fill="E6E6E6"/>
          </w:tcPr>
          <w:p w14:paraId="63651D69"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39262ECB"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3331A7">
              <w:rPr>
                <w:rFonts w:cs="Arial"/>
                <w:sz w:val="20"/>
              </w:rPr>
              <w:t xml:space="preserve"> Baseline emissions / removals</w:t>
            </w:r>
          </w:p>
        </w:tc>
        <w:tc>
          <w:tcPr>
            <w:tcW w:w="2406" w:type="dxa"/>
            <w:tcBorders>
              <w:left w:val="nil"/>
              <w:bottom w:val="nil"/>
              <w:right w:val="nil"/>
            </w:tcBorders>
          </w:tcPr>
          <w:p w14:paraId="08DDFFEF"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3331A7">
              <w:rPr>
                <w:rFonts w:cs="Arial"/>
                <w:sz w:val="20"/>
              </w:rPr>
              <w:t xml:space="preserve"> Project emissions / removals</w:t>
            </w:r>
          </w:p>
        </w:tc>
        <w:tc>
          <w:tcPr>
            <w:tcW w:w="2410" w:type="dxa"/>
            <w:tcBorders>
              <w:left w:val="nil"/>
              <w:bottom w:val="nil"/>
            </w:tcBorders>
          </w:tcPr>
          <w:p w14:paraId="47B033AA"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3331A7">
              <w:rPr>
                <w:rFonts w:cs="Arial"/>
                <w:sz w:val="20"/>
              </w:rPr>
              <w:t xml:space="preserve"> Leakage emissions</w:t>
            </w:r>
          </w:p>
        </w:tc>
      </w:tr>
      <w:tr w:rsidR="005B411E" w14:paraId="14BF2F73" w14:textId="77777777">
        <w:tc>
          <w:tcPr>
            <w:tcW w:w="2348" w:type="dxa"/>
            <w:vMerge/>
          </w:tcPr>
          <w:p w14:paraId="12FC814B"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7BF8D98F" w14:textId="77777777" w:rsidR="005B411E" w:rsidRDefault="005B411E">
            <w:pPr>
              <w:spacing w:before="60" w:after="60"/>
              <w:ind w:right="57"/>
              <w:rPr>
                <w:rFonts w:eastAsia="Arial" w:cs="Arial"/>
                <w:i/>
                <w:sz w:val="20"/>
              </w:rPr>
            </w:pPr>
          </w:p>
        </w:tc>
      </w:tr>
      <w:tr w:rsidR="00C81161" w14:paraId="5FF618DD" w14:textId="77777777">
        <w:tc>
          <w:tcPr>
            <w:tcW w:w="2348" w:type="dxa"/>
            <w:shd w:val="clear" w:color="auto" w:fill="E6E6E6"/>
          </w:tcPr>
          <w:p w14:paraId="337D6456" w14:textId="7F24B2D1"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vAlign w:val="center"/>
          </w:tcPr>
          <w:p w14:paraId="6C7F052A" w14:textId="681059B9" w:rsidR="00C81161" w:rsidRPr="00A04EC5" w:rsidRDefault="00C81161">
            <w:pPr>
              <w:spacing w:before="60" w:after="60"/>
              <w:ind w:right="57"/>
              <w:rPr>
                <w:rFonts w:eastAsia="Arial" w:cs="Arial"/>
                <w:sz w:val="20"/>
              </w:rPr>
            </w:pPr>
            <w:r>
              <w:rPr>
                <w:rFonts w:eastAsia="Arial" w:cs="Arial"/>
                <w:sz w:val="20"/>
              </w:rPr>
              <w:t xml:space="preserve">Frequency of monitoring: </w:t>
            </w:r>
            <w:r w:rsidRPr="00A04EC5">
              <w:rPr>
                <w:rFonts w:eastAsia="Arial" w:cs="Arial"/>
                <w:sz w:val="20"/>
              </w:rPr>
              <w:t>Once for a one-month duration during the first monitoring period of the crediting period</w:t>
            </w:r>
          </w:p>
        </w:tc>
      </w:tr>
      <w:tr w:rsidR="005B411E" w14:paraId="323107B8" w14:textId="77777777">
        <w:tc>
          <w:tcPr>
            <w:tcW w:w="2348" w:type="dxa"/>
            <w:shd w:val="clear" w:color="auto" w:fill="E6E6E6"/>
          </w:tcPr>
          <w:p w14:paraId="058C02DB"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vAlign w:val="center"/>
          </w:tcPr>
          <w:p w14:paraId="67564840" w14:textId="77777777" w:rsidR="005B411E" w:rsidRDefault="005B411E">
            <w:pPr>
              <w:spacing w:before="60" w:after="60"/>
              <w:ind w:right="57"/>
              <w:rPr>
                <w:rFonts w:eastAsia="Arial" w:cs="Arial"/>
                <w:sz w:val="20"/>
              </w:rPr>
            </w:pPr>
            <w:r w:rsidRPr="00A04EC5">
              <w:rPr>
                <w:rFonts w:eastAsia="Arial" w:cs="Arial"/>
                <w:sz w:val="20"/>
              </w:rPr>
              <w:t>Installation of SUMs on a representative sample of project technology cookstoves</w:t>
            </w:r>
            <w:r>
              <w:rPr>
                <w:rFonts w:eastAsia="Arial" w:cs="Arial"/>
                <w:sz w:val="20"/>
              </w:rPr>
              <w:t>.</w:t>
            </w:r>
          </w:p>
          <w:p w14:paraId="741E9E08" w14:textId="77777777" w:rsidR="005B411E" w:rsidRDefault="005B411E">
            <w:pPr>
              <w:spacing w:before="60" w:after="60"/>
              <w:ind w:right="57"/>
              <w:rPr>
                <w:rFonts w:eastAsia="Arial" w:cs="Arial"/>
                <w:sz w:val="20"/>
              </w:rPr>
            </w:pPr>
          </w:p>
          <w:p w14:paraId="55A1907E" w14:textId="77777777" w:rsidR="005B411E" w:rsidRDefault="005B411E">
            <w:pPr>
              <w:spacing w:before="60" w:after="60"/>
              <w:ind w:right="57"/>
              <w:rPr>
                <w:rFonts w:eastAsia="Arial" w:cs="Arial"/>
                <w:sz w:val="20"/>
              </w:rPr>
            </w:pPr>
            <w:r w:rsidRPr="00A04EC5">
              <w:rPr>
                <w:rFonts w:eastAsia="Arial" w:cs="Arial"/>
                <w:sz w:val="20"/>
              </w:rPr>
              <w:t>SUMs sampling protocols (installation, placement, downloading) and algorithms used to convert raw data into cooking events must not change between sampling during KPTs and sampling during ongoing project operation.</w:t>
            </w:r>
          </w:p>
        </w:tc>
      </w:tr>
      <w:tr w:rsidR="005B411E" w14:paraId="651BD31F" w14:textId="77777777">
        <w:trPr>
          <w:trHeight w:val="107"/>
        </w:trPr>
        <w:tc>
          <w:tcPr>
            <w:tcW w:w="2348" w:type="dxa"/>
            <w:shd w:val="clear" w:color="auto" w:fill="E6E6E6"/>
          </w:tcPr>
          <w:p w14:paraId="1E01DE6F" w14:textId="77777777" w:rsidR="005B411E" w:rsidRDefault="005B411E" w:rsidP="00BF24D4">
            <w:pPr>
              <w:spacing w:before="60" w:after="60"/>
              <w:ind w:right="57"/>
              <w:jc w:val="left"/>
              <w:rPr>
                <w:rFonts w:eastAsia="Arial" w:cs="Arial"/>
                <w:sz w:val="20"/>
              </w:rPr>
            </w:pPr>
            <w:r>
              <w:rPr>
                <w:rFonts w:eastAsia="Arial" w:cs="Arial"/>
                <w:sz w:val="20"/>
              </w:rPr>
              <w:lastRenderedPageBreak/>
              <w:t>Entity/person responsible for the measurement</w:t>
            </w:r>
          </w:p>
        </w:tc>
        <w:tc>
          <w:tcPr>
            <w:tcW w:w="7224" w:type="dxa"/>
            <w:gridSpan w:val="4"/>
            <w:tcBorders>
              <w:top w:val="single" w:sz="4" w:space="0" w:color="000000" w:themeColor="text1"/>
            </w:tcBorders>
          </w:tcPr>
          <w:p w14:paraId="48BF11D4"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4EE23406" w14:textId="77777777">
        <w:trPr>
          <w:trHeight w:val="107"/>
        </w:trPr>
        <w:tc>
          <w:tcPr>
            <w:tcW w:w="2348" w:type="dxa"/>
            <w:vMerge w:val="restart"/>
            <w:shd w:val="clear" w:color="auto" w:fill="E6E6E6"/>
          </w:tcPr>
          <w:p w14:paraId="777F35AF"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663B6A37"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1066B2B3" w14:textId="77777777" w:rsidR="005B411E" w:rsidRDefault="005B411E">
            <w:pPr>
              <w:spacing w:before="60" w:after="60"/>
              <w:ind w:right="57"/>
              <w:rPr>
                <w:rFonts w:eastAsia="Arial" w:cs="Arial"/>
                <w:sz w:val="20"/>
              </w:rPr>
            </w:pPr>
            <w:r>
              <w:rPr>
                <w:rFonts w:eastAsia="Arial" w:cs="Arial"/>
                <w:sz w:val="20"/>
              </w:rPr>
              <w:t>SUMs</w:t>
            </w:r>
          </w:p>
        </w:tc>
      </w:tr>
      <w:tr w:rsidR="005B411E" w14:paraId="28A9595C" w14:textId="77777777">
        <w:trPr>
          <w:trHeight w:val="104"/>
        </w:trPr>
        <w:tc>
          <w:tcPr>
            <w:tcW w:w="2348" w:type="dxa"/>
            <w:vMerge/>
          </w:tcPr>
          <w:p w14:paraId="56F2B075"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37685005"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37D2AFA7" w14:textId="3D604AF5" w:rsidR="005B411E" w:rsidRDefault="005B411E">
            <w:pPr>
              <w:spacing w:before="60" w:after="60"/>
              <w:ind w:right="57"/>
              <w:rPr>
                <w:rFonts w:eastAsia="Arial" w:cs="Arial"/>
                <w:sz w:val="20"/>
              </w:rPr>
            </w:pPr>
            <w:r>
              <w:rPr>
                <w:rFonts w:eastAsia="Arial" w:cs="Arial"/>
                <w:sz w:val="20"/>
              </w:rPr>
              <w:t xml:space="preserve">See </w:t>
            </w:r>
            <w:r w:rsidR="008C45FA">
              <w:rPr>
                <w:rFonts w:eastAsia="Arial" w:cs="Arial"/>
                <w:sz w:val="20"/>
              </w:rPr>
              <w:t>Treatment of uncertainty</w:t>
            </w:r>
          </w:p>
        </w:tc>
      </w:tr>
      <w:tr w:rsidR="005B411E" w14:paraId="581F4E0D" w14:textId="77777777">
        <w:trPr>
          <w:trHeight w:val="104"/>
        </w:trPr>
        <w:tc>
          <w:tcPr>
            <w:tcW w:w="2348" w:type="dxa"/>
            <w:vMerge/>
          </w:tcPr>
          <w:p w14:paraId="03D5E10A"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3F26DC1A"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50D6B65F" w14:textId="77777777" w:rsidR="005B411E" w:rsidRDefault="005B411E">
            <w:pPr>
              <w:tabs>
                <w:tab w:val="left" w:pos="567"/>
              </w:tabs>
              <w:spacing w:before="20" w:after="20"/>
              <w:ind w:left="569" w:right="161"/>
              <w:rPr>
                <w:rFonts w:ascii="Calibri" w:eastAsia="Calibri" w:hAnsi="Calibri" w:cs="Calibri"/>
                <w:i/>
                <w:szCs w:val="22"/>
              </w:rPr>
            </w:pPr>
            <w:r>
              <w:rPr>
                <w:sz w:val="20"/>
              </w:rPr>
              <w:t>-</w:t>
            </w:r>
          </w:p>
        </w:tc>
      </w:tr>
      <w:tr w:rsidR="005B411E" w14:paraId="299ED1BE" w14:textId="77777777">
        <w:trPr>
          <w:trHeight w:val="104"/>
        </w:trPr>
        <w:tc>
          <w:tcPr>
            <w:tcW w:w="2348" w:type="dxa"/>
            <w:vMerge/>
          </w:tcPr>
          <w:p w14:paraId="44022602"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2178FA0A"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391D06E8"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7FA3DCE5" w14:textId="77777777">
        <w:tc>
          <w:tcPr>
            <w:tcW w:w="2348" w:type="dxa"/>
            <w:shd w:val="clear" w:color="auto" w:fill="E6E6E6"/>
          </w:tcPr>
          <w:p w14:paraId="6B9885C1"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55502B8E" w14:textId="5DB88664" w:rsidR="005B411E" w:rsidRPr="00A04EC5" w:rsidRDefault="00F6014C">
            <w:pPr>
              <w:spacing w:before="60" w:after="60"/>
              <w:ind w:right="57"/>
              <w:rPr>
                <w:rFonts w:eastAsia="Arial" w:cs="Arial"/>
                <w:sz w:val="20"/>
              </w:rPr>
            </w:pPr>
            <w:r w:rsidRPr="7D956FC6">
              <w:rPr>
                <w:rFonts w:cs="Arial"/>
                <w:color w:val="000000" w:themeColor="text1"/>
                <w:sz w:val="20"/>
              </w:rPr>
              <w:t xml:space="preserve">SUMs must be consistently installed and placed following protocol, algorithms validated and publicly disclosed with sample data, and photographs of device placement retained for </w:t>
            </w:r>
            <w:r w:rsidR="5DC8F4C9" w:rsidRPr="7D956FC6">
              <w:rPr>
                <w:rFonts w:cs="Arial"/>
                <w:color w:val="000000" w:themeColor="text1"/>
                <w:sz w:val="20"/>
              </w:rPr>
              <w:t>verification</w:t>
            </w:r>
            <w:r w:rsidR="07580EAF" w:rsidRPr="7D956FC6">
              <w:rPr>
                <w:rFonts w:cs="Arial"/>
                <w:color w:val="000000" w:themeColor="text1"/>
                <w:sz w:val="20"/>
              </w:rPr>
              <w:t>.</w:t>
            </w:r>
          </w:p>
        </w:tc>
      </w:tr>
      <w:tr w:rsidR="00712587" w14:paraId="3D981E14" w14:textId="77777777">
        <w:tc>
          <w:tcPr>
            <w:tcW w:w="2348" w:type="dxa"/>
            <w:shd w:val="clear" w:color="auto" w:fill="E6E6E6"/>
          </w:tcPr>
          <w:p w14:paraId="381353FD" w14:textId="1E2D08A7"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5889E80D" w14:textId="0298AC3D" w:rsidR="00712587" w:rsidRPr="00BF24D4" w:rsidRDefault="008C45FA" w:rsidP="008569FE">
            <w:pPr>
              <w:tabs>
                <w:tab w:val="left" w:pos="567"/>
              </w:tabs>
              <w:spacing w:before="20" w:after="20" w:line="259" w:lineRule="auto"/>
              <w:ind w:right="159"/>
              <w:rPr>
                <w:rFonts w:cs="Arial"/>
                <w:i/>
                <w:iCs/>
                <w:color w:val="4F81BD" w:themeColor="accent1"/>
                <w:sz w:val="20"/>
              </w:rPr>
            </w:pPr>
            <w:r w:rsidRPr="00A04EC5">
              <w:rPr>
                <w:rFonts w:eastAsia="Arial" w:cs="Arial"/>
                <w:sz w:val="20"/>
              </w:rPr>
              <w:t xml:space="preserve">The </w:t>
            </w:r>
            <w:r w:rsidR="00B5D161" w:rsidRPr="7D956FC6">
              <w:rPr>
                <w:rFonts w:eastAsia="Arial" w:cs="Arial"/>
                <w:sz w:val="20"/>
              </w:rPr>
              <w:t>moni</w:t>
            </w:r>
            <w:r w:rsidR="00E84291">
              <w:rPr>
                <w:rFonts w:eastAsia="Arial" w:cs="Arial"/>
                <w:sz w:val="20"/>
              </w:rPr>
              <w:t>t</w:t>
            </w:r>
            <w:r w:rsidR="00B5D161" w:rsidRPr="7D956FC6">
              <w:rPr>
                <w:rFonts w:eastAsia="Arial" w:cs="Arial"/>
                <w:sz w:val="20"/>
              </w:rPr>
              <w:t>oring</w:t>
            </w:r>
            <w:r w:rsidRPr="00A04EC5">
              <w:rPr>
                <w:rFonts w:eastAsia="Arial" w:cs="Arial"/>
                <w:sz w:val="20"/>
              </w:rPr>
              <w:t xml:space="preserve"> must meet the minimum confidence and precision of 95/10 for the target parameter of average cooking events per day per project technology cookstoves. If the target precision is not met, the project proponent shall take the conservative bound</w:t>
            </w:r>
            <w:r>
              <w:rPr>
                <w:rFonts w:eastAsia="Arial" w:cs="Arial"/>
                <w:sz w:val="20"/>
              </w:rPr>
              <w:t>s</w:t>
            </w:r>
            <w:r w:rsidRPr="00A04EC5">
              <w:rPr>
                <w:rFonts w:eastAsia="Arial" w:cs="Arial"/>
                <w:sz w:val="20"/>
              </w:rPr>
              <w:t xml:space="preserve"> of the confidence interval</w:t>
            </w:r>
            <w:r>
              <w:rPr>
                <w:rFonts w:eastAsia="Arial" w:cs="Arial"/>
                <w:sz w:val="20"/>
              </w:rPr>
              <w:t>s</w:t>
            </w:r>
            <w:r w:rsidRPr="00A04EC5">
              <w:rPr>
                <w:rFonts w:eastAsia="Arial" w:cs="Arial"/>
                <w:sz w:val="20"/>
              </w:rPr>
              <w:t xml:space="preserve"> as the parameter value. The conservative bound</w:t>
            </w:r>
            <w:r>
              <w:rPr>
                <w:rFonts w:eastAsia="Arial" w:cs="Arial"/>
                <w:sz w:val="20"/>
              </w:rPr>
              <w:t>s</w:t>
            </w:r>
            <w:r w:rsidRPr="00A04EC5">
              <w:rPr>
                <w:rFonts w:eastAsia="Arial" w:cs="Arial"/>
                <w:sz w:val="20"/>
              </w:rPr>
              <w:t xml:space="preserve"> </w:t>
            </w:r>
            <w:r>
              <w:rPr>
                <w:rFonts w:eastAsia="Arial" w:cs="Arial"/>
                <w:sz w:val="20"/>
              </w:rPr>
              <w:t>are those</w:t>
            </w:r>
            <w:r w:rsidRPr="00A04EC5">
              <w:rPr>
                <w:rFonts w:eastAsia="Arial" w:cs="Arial"/>
                <w:sz w:val="20"/>
              </w:rPr>
              <w:t xml:space="preserve"> </w:t>
            </w:r>
            <w:r>
              <w:rPr>
                <w:rFonts w:eastAsia="Arial" w:cs="Arial"/>
                <w:sz w:val="20"/>
              </w:rPr>
              <w:t>that</w:t>
            </w:r>
            <w:r w:rsidRPr="00A04EC5">
              <w:rPr>
                <w:rFonts w:eastAsia="Arial" w:cs="Arial"/>
                <w:sz w:val="20"/>
              </w:rPr>
              <w:t xml:space="preserve"> tend to underestimate project technology cooking events.</w:t>
            </w:r>
          </w:p>
        </w:tc>
      </w:tr>
      <w:tr w:rsidR="005B411E" w14:paraId="5DD8F285" w14:textId="77777777">
        <w:tc>
          <w:tcPr>
            <w:tcW w:w="2348" w:type="dxa"/>
            <w:shd w:val="clear" w:color="auto" w:fill="E6E6E6"/>
          </w:tcPr>
          <w:p w14:paraId="4C5E3620"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554F4A0F" w14:textId="77777777" w:rsidR="005B411E" w:rsidRDefault="005B411E">
            <w:pPr>
              <w:spacing w:before="60" w:after="60"/>
              <w:ind w:right="57"/>
              <w:rPr>
                <w:rFonts w:eastAsia="Arial" w:cs="Arial"/>
                <w:sz w:val="20"/>
              </w:rPr>
            </w:pPr>
            <w:r w:rsidRPr="00A04EC5">
              <w:rPr>
                <w:rFonts w:eastAsia="Arial" w:cs="Arial"/>
                <w:sz w:val="20"/>
              </w:rPr>
              <w:t>User</w:t>
            </w:r>
            <w:r>
              <w:rPr>
                <w:rFonts w:eastAsia="Arial" w:cs="Arial"/>
                <w:sz w:val="20"/>
              </w:rPr>
              <w:t xml:space="preserve"> household</w:t>
            </w:r>
            <w:r w:rsidRPr="00A04EC5">
              <w:rPr>
                <w:rFonts w:eastAsia="Arial" w:cs="Arial"/>
                <w:sz w:val="20"/>
              </w:rPr>
              <w:t>s in the SUMs sample shall not receive any support different or additional to those not in the sample.</w:t>
            </w:r>
          </w:p>
        </w:tc>
      </w:tr>
    </w:tbl>
    <w:p w14:paraId="66DCC6AF"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0251CDF2" w14:textId="77777777">
        <w:tc>
          <w:tcPr>
            <w:tcW w:w="2348" w:type="dxa"/>
            <w:shd w:val="clear" w:color="auto" w:fill="E6E6E6"/>
          </w:tcPr>
          <w:p w14:paraId="3EBF16C5"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43D94C52" w14:textId="77777777" w:rsidR="005B411E" w:rsidRPr="00A04EC5"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PTC</m:t>
                    </m:r>
                  </m:e>
                  <m:sub>
                    <m:r>
                      <w:rPr>
                        <w:rFonts w:ascii="Cambria Math" w:eastAsia="Cambria Math" w:hAnsi="Cambria Math" w:cs="Cambria Math"/>
                      </w:rPr>
                      <m:t>KPT</m:t>
                    </m:r>
                  </m:sub>
                </m:sSub>
              </m:oMath>
            </m:oMathPara>
          </w:p>
        </w:tc>
      </w:tr>
      <w:tr w:rsidR="005B411E" w14:paraId="331EAF7A" w14:textId="77777777">
        <w:tc>
          <w:tcPr>
            <w:tcW w:w="2348" w:type="dxa"/>
            <w:shd w:val="clear" w:color="auto" w:fill="E6E6E6"/>
          </w:tcPr>
          <w:p w14:paraId="17565C76"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6725E067" w14:textId="77777777" w:rsidR="005B411E" w:rsidRDefault="005B411E">
            <w:pPr>
              <w:spacing w:before="60" w:after="60"/>
              <w:ind w:right="57"/>
              <w:rPr>
                <w:rFonts w:eastAsia="Arial" w:cs="Arial"/>
                <w:sz w:val="20"/>
              </w:rPr>
            </w:pPr>
            <w:r w:rsidRPr="00A04EC5">
              <w:rPr>
                <w:rFonts w:eastAsia="Arial" w:cs="Arial"/>
                <w:sz w:val="20"/>
              </w:rPr>
              <w:t>Average project technology cooking events per day over the project KPT from SUMs measurements</w:t>
            </w:r>
          </w:p>
        </w:tc>
      </w:tr>
      <w:tr w:rsidR="005B411E" w14:paraId="75261AB7" w14:textId="77777777">
        <w:tc>
          <w:tcPr>
            <w:tcW w:w="2348" w:type="dxa"/>
            <w:shd w:val="clear" w:color="auto" w:fill="E6E6E6"/>
          </w:tcPr>
          <w:p w14:paraId="3B3EAFEA"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6EEF809E" w14:textId="77777777" w:rsidR="005B411E" w:rsidRPr="00A04EC5" w:rsidRDefault="005B411E">
            <w:pPr>
              <w:rPr>
                <w:rFonts w:cs="Arial"/>
                <w:color w:val="000000"/>
                <w:sz w:val="20"/>
              </w:rPr>
            </w:pPr>
            <w:r>
              <w:rPr>
                <w:rFonts w:cs="Arial"/>
                <w:color w:val="000000"/>
                <w:sz w:val="20"/>
              </w:rPr>
              <w:t>Cooking events/day (Number)</w:t>
            </w:r>
          </w:p>
        </w:tc>
      </w:tr>
      <w:tr w:rsidR="005B411E" w14:paraId="70A4C645" w14:textId="77777777">
        <w:tc>
          <w:tcPr>
            <w:tcW w:w="2348" w:type="dxa"/>
            <w:shd w:val="clear" w:color="auto" w:fill="E6E6E6"/>
          </w:tcPr>
          <w:p w14:paraId="51DBDF48"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7B11B048" w14:textId="43B859D1" w:rsidR="005B411E" w:rsidRDefault="005B411E">
            <w:pPr>
              <w:spacing w:before="60" w:after="60"/>
              <w:ind w:right="57"/>
              <w:rPr>
                <w:rFonts w:eastAsia="Arial" w:cs="Arial"/>
                <w:sz w:val="20"/>
              </w:rPr>
            </w:pPr>
            <w:hyperlink w:anchor="e26" w:history="1">
              <w:r w:rsidRPr="00224FE8">
                <w:rPr>
                  <w:rStyle w:val="Hyperlink"/>
                  <w:rFonts w:eastAsia="Arial" w:cs="Arial"/>
                  <w:sz w:val="20"/>
                </w:rPr>
                <w:t>Eq. 26</w:t>
              </w:r>
            </w:hyperlink>
          </w:p>
        </w:tc>
      </w:tr>
      <w:tr w:rsidR="005B411E" w14:paraId="1B980322" w14:textId="77777777">
        <w:tc>
          <w:tcPr>
            <w:tcW w:w="2348" w:type="dxa"/>
            <w:vMerge w:val="restart"/>
            <w:shd w:val="clear" w:color="auto" w:fill="E6E6E6"/>
          </w:tcPr>
          <w:p w14:paraId="7C5738AD"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39264F8A"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F07226">
              <w:rPr>
                <w:rFonts w:cs="Arial"/>
                <w:sz w:val="20"/>
              </w:rPr>
              <w:t xml:space="preserve"> Baseline emissions / removals</w:t>
            </w:r>
          </w:p>
        </w:tc>
        <w:tc>
          <w:tcPr>
            <w:tcW w:w="2406" w:type="dxa"/>
            <w:tcBorders>
              <w:left w:val="nil"/>
              <w:bottom w:val="nil"/>
              <w:right w:val="nil"/>
            </w:tcBorders>
          </w:tcPr>
          <w:p w14:paraId="0DC6435E"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F07226">
              <w:rPr>
                <w:rFonts w:cs="Arial"/>
                <w:sz w:val="20"/>
              </w:rPr>
              <w:t xml:space="preserve"> Project emissions / removals</w:t>
            </w:r>
          </w:p>
        </w:tc>
        <w:tc>
          <w:tcPr>
            <w:tcW w:w="2410" w:type="dxa"/>
            <w:tcBorders>
              <w:left w:val="nil"/>
              <w:bottom w:val="nil"/>
            </w:tcBorders>
          </w:tcPr>
          <w:p w14:paraId="0A1325A6"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F07226">
              <w:rPr>
                <w:rFonts w:cs="Arial"/>
                <w:sz w:val="20"/>
              </w:rPr>
              <w:t xml:space="preserve"> Leakage emissions</w:t>
            </w:r>
          </w:p>
        </w:tc>
      </w:tr>
      <w:tr w:rsidR="005B411E" w14:paraId="2C2AAF0C" w14:textId="77777777">
        <w:tc>
          <w:tcPr>
            <w:tcW w:w="2348" w:type="dxa"/>
            <w:vMerge/>
          </w:tcPr>
          <w:p w14:paraId="31BD012D"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3AE2DC50" w14:textId="77777777" w:rsidR="005B411E" w:rsidRDefault="005B411E">
            <w:pPr>
              <w:spacing w:before="60" w:after="60"/>
              <w:ind w:right="57"/>
              <w:rPr>
                <w:rFonts w:eastAsia="Arial" w:cs="Arial"/>
                <w:i/>
                <w:sz w:val="20"/>
              </w:rPr>
            </w:pPr>
          </w:p>
        </w:tc>
      </w:tr>
      <w:tr w:rsidR="00C81161" w14:paraId="44D911CD" w14:textId="77777777">
        <w:tc>
          <w:tcPr>
            <w:tcW w:w="2348" w:type="dxa"/>
            <w:shd w:val="clear" w:color="auto" w:fill="E6E6E6"/>
          </w:tcPr>
          <w:p w14:paraId="2EF7D54A" w14:textId="44164831"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vAlign w:val="center"/>
          </w:tcPr>
          <w:p w14:paraId="74BE553E" w14:textId="14A67D0E" w:rsidR="00C81161" w:rsidRPr="00A04EC5" w:rsidRDefault="00C81161">
            <w:pPr>
              <w:spacing w:before="60" w:after="60"/>
              <w:ind w:right="57"/>
              <w:rPr>
                <w:rFonts w:eastAsia="Arial" w:cs="Arial"/>
                <w:sz w:val="20"/>
              </w:rPr>
            </w:pPr>
            <w:r>
              <w:rPr>
                <w:rFonts w:eastAsia="Arial" w:cs="Arial"/>
                <w:sz w:val="20"/>
              </w:rPr>
              <w:t xml:space="preserve">Frequency of monitoring: </w:t>
            </w:r>
            <w:r>
              <w:rPr>
                <w:rFonts w:cs="Arial"/>
                <w:color w:val="000000"/>
                <w:sz w:val="20"/>
              </w:rPr>
              <w:t>Once during the project KPT</w:t>
            </w:r>
          </w:p>
        </w:tc>
      </w:tr>
      <w:tr w:rsidR="005B411E" w14:paraId="563AC6A7" w14:textId="77777777">
        <w:tc>
          <w:tcPr>
            <w:tcW w:w="2348" w:type="dxa"/>
            <w:shd w:val="clear" w:color="auto" w:fill="E6E6E6"/>
          </w:tcPr>
          <w:p w14:paraId="7C8A2BDC"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vAlign w:val="center"/>
          </w:tcPr>
          <w:p w14:paraId="5BC18238" w14:textId="77777777" w:rsidR="005B411E" w:rsidRDefault="005B411E">
            <w:pPr>
              <w:spacing w:before="60" w:after="60"/>
              <w:ind w:right="57"/>
              <w:rPr>
                <w:rFonts w:eastAsia="Arial" w:cs="Arial"/>
                <w:sz w:val="20"/>
              </w:rPr>
            </w:pPr>
            <w:r w:rsidRPr="00A04EC5">
              <w:rPr>
                <w:rFonts w:eastAsia="Arial" w:cs="Arial"/>
                <w:sz w:val="20"/>
              </w:rPr>
              <w:t>Installation of SUMs on the project technology cookstoves during the project KPT</w:t>
            </w:r>
            <w:r>
              <w:rPr>
                <w:rFonts w:eastAsia="Arial" w:cs="Arial"/>
                <w:sz w:val="20"/>
              </w:rPr>
              <w:t>.</w:t>
            </w:r>
          </w:p>
          <w:p w14:paraId="29AD7C61" w14:textId="77777777" w:rsidR="005B411E" w:rsidRDefault="005B411E">
            <w:pPr>
              <w:spacing w:before="60" w:after="60"/>
              <w:ind w:right="57"/>
              <w:rPr>
                <w:rFonts w:eastAsia="Arial" w:cs="Arial"/>
                <w:sz w:val="20"/>
              </w:rPr>
            </w:pPr>
          </w:p>
          <w:p w14:paraId="7F896D80" w14:textId="77777777" w:rsidR="005B411E" w:rsidRDefault="005B411E">
            <w:pPr>
              <w:spacing w:before="60" w:after="60"/>
              <w:ind w:right="57"/>
              <w:rPr>
                <w:rFonts w:eastAsia="Arial" w:cs="Arial"/>
                <w:sz w:val="20"/>
              </w:rPr>
            </w:pPr>
            <w:r>
              <w:rPr>
                <w:rFonts w:cs="Arial"/>
                <w:color w:val="000000"/>
                <w:sz w:val="20"/>
              </w:rPr>
              <w:t>SUMs sampling protocols (installation, placement, downloading) and algorithms used to convert raw data into cooking events must not change between sampling during KPTs and sampling during ongoing project operation.</w:t>
            </w:r>
          </w:p>
        </w:tc>
      </w:tr>
      <w:tr w:rsidR="005B411E" w14:paraId="3ACDC92B" w14:textId="77777777">
        <w:trPr>
          <w:trHeight w:val="107"/>
        </w:trPr>
        <w:tc>
          <w:tcPr>
            <w:tcW w:w="2348" w:type="dxa"/>
            <w:shd w:val="clear" w:color="auto" w:fill="E6E6E6"/>
          </w:tcPr>
          <w:p w14:paraId="27E3D7F3"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6AE0529A"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21E8B69B" w14:textId="77777777">
        <w:trPr>
          <w:trHeight w:val="107"/>
        </w:trPr>
        <w:tc>
          <w:tcPr>
            <w:tcW w:w="2348" w:type="dxa"/>
            <w:vMerge w:val="restart"/>
            <w:shd w:val="clear" w:color="auto" w:fill="E6E6E6"/>
          </w:tcPr>
          <w:p w14:paraId="03AB4DC4"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5DD31531"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05E0F376" w14:textId="77777777" w:rsidR="005B411E" w:rsidRDefault="005B411E">
            <w:pPr>
              <w:spacing w:before="60" w:after="60"/>
              <w:ind w:right="57"/>
              <w:rPr>
                <w:rFonts w:eastAsia="Arial" w:cs="Arial"/>
                <w:sz w:val="20"/>
              </w:rPr>
            </w:pPr>
            <w:r>
              <w:rPr>
                <w:rFonts w:eastAsia="Arial" w:cs="Arial"/>
                <w:sz w:val="20"/>
              </w:rPr>
              <w:t>SUMs</w:t>
            </w:r>
          </w:p>
        </w:tc>
      </w:tr>
      <w:tr w:rsidR="005B411E" w14:paraId="17A39F99" w14:textId="77777777">
        <w:trPr>
          <w:trHeight w:val="104"/>
        </w:trPr>
        <w:tc>
          <w:tcPr>
            <w:tcW w:w="2348" w:type="dxa"/>
            <w:vMerge/>
          </w:tcPr>
          <w:p w14:paraId="77B22FBF"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09DEB19E"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3F50BE5C" w14:textId="520E4D20" w:rsidR="005B411E" w:rsidRDefault="005B411E">
            <w:pPr>
              <w:spacing w:before="60" w:after="60"/>
              <w:ind w:right="57"/>
              <w:rPr>
                <w:rFonts w:eastAsia="Arial" w:cs="Arial"/>
                <w:sz w:val="20"/>
              </w:rPr>
            </w:pPr>
            <w:r>
              <w:rPr>
                <w:rFonts w:eastAsia="Arial" w:cs="Arial"/>
                <w:sz w:val="20"/>
              </w:rPr>
              <w:t xml:space="preserve">See </w:t>
            </w:r>
            <w:r w:rsidR="008C45FA">
              <w:rPr>
                <w:rFonts w:eastAsia="Arial" w:cs="Arial"/>
                <w:sz w:val="20"/>
              </w:rPr>
              <w:t>Treatment of uncertainty</w:t>
            </w:r>
          </w:p>
        </w:tc>
      </w:tr>
      <w:tr w:rsidR="005B411E" w14:paraId="00DEECCD" w14:textId="77777777">
        <w:trPr>
          <w:trHeight w:val="104"/>
        </w:trPr>
        <w:tc>
          <w:tcPr>
            <w:tcW w:w="2348" w:type="dxa"/>
            <w:vMerge/>
          </w:tcPr>
          <w:p w14:paraId="7B2E71B1"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3FCC8D96"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256077C1" w14:textId="77777777" w:rsidR="005B411E" w:rsidRDefault="005B411E">
            <w:pPr>
              <w:tabs>
                <w:tab w:val="left" w:pos="567"/>
              </w:tabs>
              <w:spacing w:before="20" w:after="20"/>
              <w:ind w:left="569" w:right="161"/>
              <w:rPr>
                <w:rFonts w:ascii="Calibri" w:eastAsia="Calibri" w:hAnsi="Calibri" w:cs="Calibri"/>
                <w:i/>
                <w:szCs w:val="22"/>
              </w:rPr>
            </w:pPr>
            <w:r>
              <w:rPr>
                <w:sz w:val="20"/>
              </w:rPr>
              <w:t>-</w:t>
            </w:r>
          </w:p>
        </w:tc>
      </w:tr>
      <w:tr w:rsidR="005B411E" w14:paraId="12FD18D4" w14:textId="77777777">
        <w:trPr>
          <w:trHeight w:val="104"/>
        </w:trPr>
        <w:tc>
          <w:tcPr>
            <w:tcW w:w="2348" w:type="dxa"/>
            <w:vMerge/>
          </w:tcPr>
          <w:p w14:paraId="032F251B"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42AF2BDD"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5532A552"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177BE49F" w14:textId="77777777">
        <w:tc>
          <w:tcPr>
            <w:tcW w:w="2348" w:type="dxa"/>
            <w:shd w:val="clear" w:color="auto" w:fill="E6E6E6"/>
          </w:tcPr>
          <w:p w14:paraId="640E09CD"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099AECD2" w14:textId="2712E7FE" w:rsidR="005B411E" w:rsidRPr="00A04EC5" w:rsidRDefault="00441820">
            <w:pPr>
              <w:rPr>
                <w:rFonts w:cs="Arial"/>
                <w:color w:val="000000"/>
                <w:sz w:val="20"/>
              </w:rPr>
            </w:pPr>
            <w:r w:rsidRPr="7D956FC6">
              <w:rPr>
                <w:rFonts w:cs="Arial"/>
                <w:color w:val="000000" w:themeColor="text1"/>
                <w:sz w:val="20"/>
              </w:rPr>
              <w:t xml:space="preserve">SUMs must be consistently installed and placed following protocol, algorithms validated and publicly disclosed with sample data, and photographs of device placement retained for </w:t>
            </w:r>
            <w:r w:rsidR="31F627F2" w:rsidRPr="7D956FC6">
              <w:rPr>
                <w:rFonts w:cs="Arial"/>
                <w:color w:val="000000" w:themeColor="text1"/>
                <w:sz w:val="20"/>
              </w:rPr>
              <w:t>verification</w:t>
            </w:r>
            <w:r w:rsidR="6E44CBB9" w:rsidRPr="7D956FC6">
              <w:rPr>
                <w:rFonts w:cs="Arial"/>
                <w:color w:val="000000" w:themeColor="text1"/>
                <w:sz w:val="20"/>
              </w:rPr>
              <w:t>.</w:t>
            </w:r>
          </w:p>
        </w:tc>
      </w:tr>
      <w:tr w:rsidR="00712587" w14:paraId="06DBEF70" w14:textId="77777777">
        <w:tc>
          <w:tcPr>
            <w:tcW w:w="2348" w:type="dxa"/>
            <w:shd w:val="clear" w:color="auto" w:fill="E6E6E6"/>
          </w:tcPr>
          <w:p w14:paraId="2FC1EC2A" w14:textId="6D0CCE63"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3D8DE020" w14:textId="3601C558" w:rsidR="00712587" w:rsidRPr="00BF24D4" w:rsidRDefault="008C45FA" w:rsidP="00BF24D4">
            <w:pPr>
              <w:tabs>
                <w:tab w:val="left" w:pos="567"/>
              </w:tabs>
              <w:spacing w:before="20" w:after="20"/>
              <w:ind w:right="159"/>
              <w:rPr>
                <w:rFonts w:cs="Arial"/>
                <w:i/>
                <w:iCs/>
                <w:color w:val="4F81BD" w:themeColor="accent1"/>
                <w:sz w:val="20"/>
              </w:rPr>
            </w:pPr>
            <w:r w:rsidRPr="7D956FC6">
              <w:rPr>
                <w:rFonts w:cs="Arial"/>
                <w:color w:val="000000" w:themeColor="text1"/>
                <w:sz w:val="20"/>
              </w:rPr>
              <w:t xml:space="preserve">The </w:t>
            </w:r>
            <w:r w:rsidR="178C4F06" w:rsidRPr="7D956FC6">
              <w:rPr>
                <w:rFonts w:cs="Arial"/>
                <w:color w:val="000000" w:themeColor="text1"/>
                <w:sz w:val="20"/>
              </w:rPr>
              <w:t>monitoring</w:t>
            </w:r>
            <w:r w:rsidRPr="7D956FC6">
              <w:rPr>
                <w:rFonts w:cs="Arial"/>
                <w:color w:val="000000" w:themeColor="text1"/>
                <w:sz w:val="20"/>
              </w:rPr>
              <w:t xml:space="preserve"> must meet the minimum confidence and precision of 95/10 for the target parameter of average cooking events per day per project technology cookstoves. If the target precision is not met, the project proponent shall take the conservative bounds of the confidence intervals as the parameter value. The conservative bounds are those that tend to underestimate project technology cooking events.</w:t>
            </w:r>
          </w:p>
        </w:tc>
      </w:tr>
      <w:tr w:rsidR="005B411E" w14:paraId="44B0B9EA" w14:textId="77777777">
        <w:tc>
          <w:tcPr>
            <w:tcW w:w="2348" w:type="dxa"/>
            <w:shd w:val="clear" w:color="auto" w:fill="E6E6E6"/>
          </w:tcPr>
          <w:p w14:paraId="06FE614F"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67E7DA5B" w14:textId="77777777" w:rsidR="005B411E" w:rsidRDefault="005B411E">
            <w:pPr>
              <w:spacing w:before="60" w:after="60"/>
              <w:ind w:right="57"/>
              <w:rPr>
                <w:rFonts w:eastAsia="Arial" w:cs="Arial"/>
                <w:sz w:val="20"/>
              </w:rPr>
            </w:pPr>
            <w:r>
              <w:rPr>
                <w:rFonts w:eastAsia="Arial" w:cs="Arial"/>
                <w:sz w:val="20"/>
              </w:rPr>
              <w:t>-</w:t>
            </w:r>
          </w:p>
        </w:tc>
      </w:tr>
    </w:tbl>
    <w:p w14:paraId="4AD90C37" w14:textId="77777777" w:rsidR="005B411E" w:rsidRDefault="005B411E" w:rsidP="005B411E">
      <w:pPr>
        <w:spacing w:before="60" w:after="60"/>
        <w:ind w:right="159"/>
      </w:pPr>
    </w:p>
    <w:p w14:paraId="03B67B64" w14:textId="77777777" w:rsidR="005B411E" w:rsidRDefault="005B411E" w:rsidP="005B411E">
      <w:pPr>
        <w:rPr>
          <w:rFonts w:eastAsia="Arial" w:cs="Arial"/>
          <w:b/>
          <w:sz w:val="20"/>
        </w:rPr>
      </w:pPr>
    </w:p>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0E6B332F" w14:textId="77777777">
        <w:tc>
          <w:tcPr>
            <w:tcW w:w="2348" w:type="dxa"/>
            <w:shd w:val="clear" w:color="auto" w:fill="E6E6E6"/>
          </w:tcPr>
          <w:p w14:paraId="0AA863E7"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790D4DB6" w14:textId="77777777" w:rsidR="005B411E" w:rsidRPr="00E43FA3"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Montserrat" w:hAnsi="Cambria Math" w:cs="Montserrat"/>
                      </w:rPr>
                      <m:t>SC</m:t>
                    </m:r>
                  </m:e>
                  <m:sub>
                    <m:r>
                      <w:rPr>
                        <w:rFonts w:ascii="Cambria Math" w:eastAsia="Cambria Math" w:hAnsi="Cambria Math" w:cs="Cambria Math"/>
                      </w:rPr>
                      <m:t>b,i</m:t>
                    </m:r>
                  </m:sub>
                </m:sSub>
              </m:oMath>
            </m:oMathPara>
          </w:p>
        </w:tc>
      </w:tr>
      <w:tr w:rsidR="005B411E" w14:paraId="484F313E" w14:textId="77777777">
        <w:tc>
          <w:tcPr>
            <w:tcW w:w="2348" w:type="dxa"/>
            <w:shd w:val="clear" w:color="auto" w:fill="E6E6E6"/>
          </w:tcPr>
          <w:p w14:paraId="4197537D"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656AABD7" w14:textId="77777777" w:rsidR="005B411E" w:rsidRDefault="005B411E">
            <w:pPr>
              <w:spacing w:before="60" w:after="60"/>
              <w:ind w:right="57"/>
              <w:rPr>
                <w:rFonts w:eastAsia="Arial" w:cs="Arial"/>
                <w:sz w:val="20"/>
              </w:rPr>
            </w:pPr>
            <w:r w:rsidRPr="18C4CD90">
              <w:rPr>
                <w:rFonts w:eastAsia="Arial" w:cs="Arial"/>
                <w:color w:val="000000" w:themeColor="text1"/>
                <w:sz w:val="20"/>
              </w:rPr>
              <w:t>Specific energy consumption of a baseline cookstove using fuel</w:t>
            </w:r>
            <w:r w:rsidRPr="008D0AF8">
              <w:rPr>
                <w:rFonts w:eastAsia="Arial" w:cs="Arial"/>
                <w:i/>
                <w:color w:val="000000" w:themeColor="text1"/>
                <w:sz w:val="20"/>
              </w:rPr>
              <w:t xml:space="preserve"> </w:t>
            </w:r>
            <w:proofErr w:type="spellStart"/>
            <w:r w:rsidRPr="008D0AF8">
              <w:rPr>
                <w:rFonts w:eastAsia="Arial" w:cs="Arial"/>
                <w:i/>
                <w:color w:val="000000" w:themeColor="text1"/>
                <w:sz w:val="20"/>
              </w:rPr>
              <w:t>i</w:t>
            </w:r>
            <w:proofErr w:type="spellEnd"/>
            <w:r w:rsidRPr="18C4CD90">
              <w:rPr>
                <w:rFonts w:eastAsia="Arial" w:cs="Arial"/>
                <w:color w:val="000000" w:themeColor="text1"/>
                <w:sz w:val="20"/>
              </w:rPr>
              <w:t xml:space="preserve"> to cook a given amount of food</w:t>
            </w:r>
          </w:p>
        </w:tc>
      </w:tr>
      <w:tr w:rsidR="005B411E" w14:paraId="5A9D8123" w14:textId="77777777">
        <w:tc>
          <w:tcPr>
            <w:tcW w:w="2348" w:type="dxa"/>
            <w:shd w:val="clear" w:color="auto" w:fill="E6E6E6"/>
          </w:tcPr>
          <w:p w14:paraId="21210512"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0ACC4C73" w14:textId="77777777" w:rsidR="005B411E" w:rsidRDefault="005B411E">
            <w:pPr>
              <w:spacing w:before="60" w:after="60"/>
              <w:ind w:right="57"/>
              <w:rPr>
                <w:rFonts w:eastAsia="Arial" w:cs="Arial"/>
                <w:sz w:val="20"/>
              </w:rPr>
            </w:pPr>
            <w:r w:rsidRPr="18C4CD90">
              <w:rPr>
                <w:rFonts w:eastAsia="Arial" w:cs="Arial"/>
                <w:color w:val="000000" w:themeColor="text1"/>
                <w:sz w:val="20"/>
              </w:rPr>
              <w:t>MJ / kg food</w:t>
            </w:r>
          </w:p>
        </w:tc>
      </w:tr>
      <w:tr w:rsidR="005B411E" w14:paraId="4560707F" w14:textId="77777777">
        <w:tc>
          <w:tcPr>
            <w:tcW w:w="2348" w:type="dxa"/>
            <w:shd w:val="clear" w:color="auto" w:fill="E6E6E6"/>
          </w:tcPr>
          <w:p w14:paraId="676FFFBE"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4EB308AB" w14:textId="77B2F3CA" w:rsidR="005B411E" w:rsidRDefault="005B411E">
            <w:pPr>
              <w:spacing w:before="60" w:after="60"/>
              <w:ind w:right="57"/>
              <w:rPr>
                <w:rFonts w:eastAsia="Arial" w:cs="Arial"/>
                <w:sz w:val="20"/>
              </w:rPr>
            </w:pPr>
            <w:hyperlink w:anchor="e3" w:history="1">
              <w:r w:rsidRPr="00224FE8">
                <w:rPr>
                  <w:rStyle w:val="Hyperlink"/>
                  <w:rFonts w:eastAsia="Arial" w:cs="Arial"/>
                  <w:sz w:val="20"/>
                </w:rPr>
                <w:t>Eq. 3</w:t>
              </w:r>
            </w:hyperlink>
          </w:p>
        </w:tc>
      </w:tr>
      <w:tr w:rsidR="005B411E" w14:paraId="483FC156" w14:textId="77777777">
        <w:tc>
          <w:tcPr>
            <w:tcW w:w="2348" w:type="dxa"/>
            <w:vMerge w:val="restart"/>
            <w:shd w:val="clear" w:color="auto" w:fill="E6E6E6"/>
          </w:tcPr>
          <w:p w14:paraId="1FC892F4"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6CBA53CF"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D1175B">
              <w:rPr>
                <w:rFonts w:cs="Arial"/>
                <w:sz w:val="20"/>
              </w:rPr>
              <w:t xml:space="preserve"> Baseline emissions / removals</w:t>
            </w:r>
          </w:p>
        </w:tc>
        <w:tc>
          <w:tcPr>
            <w:tcW w:w="2406" w:type="dxa"/>
            <w:tcBorders>
              <w:left w:val="nil"/>
              <w:bottom w:val="nil"/>
              <w:right w:val="nil"/>
            </w:tcBorders>
          </w:tcPr>
          <w:p w14:paraId="432E1CBE"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Project emissions / removals</w:t>
            </w:r>
          </w:p>
        </w:tc>
        <w:tc>
          <w:tcPr>
            <w:tcW w:w="2410" w:type="dxa"/>
            <w:tcBorders>
              <w:left w:val="nil"/>
              <w:bottom w:val="nil"/>
            </w:tcBorders>
          </w:tcPr>
          <w:p w14:paraId="5B117844"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Leakage emissions</w:t>
            </w:r>
          </w:p>
        </w:tc>
      </w:tr>
      <w:tr w:rsidR="005B411E" w14:paraId="3E7DC3A7" w14:textId="77777777">
        <w:tc>
          <w:tcPr>
            <w:tcW w:w="2348" w:type="dxa"/>
            <w:vMerge/>
          </w:tcPr>
          <w:p w14:paraId="50E8EB04"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tcPr>
          <w:p w14:paraId="128CCC14" w14:textId="77777777" w:rsidR="005B411E" w:rsidRPr="008E6545" w:rsidRDefault="005B411E">
            <w:pPr>
              <w:spacing w:before="60" w:after="60"/>
              <w:ind w:right="57"/>
              <w:rPr>
                <w:rFonts w:eastAsia="Arial" w:cs="Arial"/>
                <w:iCs/>
                <w:sz w:val="20"/>
              </w:rPr>
            </w:pPr>
            <w:r w:rsidRPr="18C4CD90">
              <w:rPr>
                <w:rFonts w:eastAsia="Arial" w:cs="Arial"/>
                <w:color w:val="000000" w:themeColor="text1"/>
                <w:sz w:val="20"/>
              </w:rPr>
              <w:t>Back-calculation of baseline fuel consumption for CTEC projects using the back-calculation approach for displaced baseline energy consumption</w:t>
            </w:r>
          </w:p>
        </w:tc>
      </w:tr>
      <w:tr w:rsidR="00C81161" w14:paraId="0A1D0AB2" w14:textId="77777777">
        <w:tc>
          <w:tcPr>
            <w:tcW w:w="2348" w:type="dxa"/>
            <w:shd w:val="clear" w:color="auto" w:fill="E6E6E6"/>
          </w:tcPr>
          <w:p w14:paraId="6FA51621" w14:textId="173001C5"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tcPr>
          <w:p w14:paraId="2B4ED3B8" w14:textId="33F1CDD3" w:rsidR="00C81161" w:rsidRPr="18C4CD90" w:rsidRDefault="00C81161">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Frequency of monitoring: Before validation</w:t>
            </w:r>
          </w:p>
        </w:tc>
      </w:tr>
      <w:tr w:rsidR="005B411E" w14:paraId="7CFD39FB" w14:textId="77777777">
        <w:tc>
          <w:tcPr>
            <w:tcW w:w="2348" w:type="dxa"/>
            <w:shd w:val="clear" w:color="auto" w:fill="E6E6E6"/>
          </w:tcPr>
          <w:p w14:paraId="79C7B3D5"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tcPr>
          <w:p w14:paraId="7D4AEE3B" w14:textId="77777777" w:rsidR="005B411E" w:rsidRPr="00F05D8C" w:rsidRDefault="005B411E">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Most recent version of the CCT protocol available at this link: </w:t>
            </w:r>
            <w:hyperlink r:id="rId58" w:history="1">
              <w:r w:rsidRPr="18C4CD90">
                <w:rPr>
                  <w:rStyle w:val="Hyperlink"/>
                  <w:rFonts w:eastAsia="Arial" w:cs="Arial"/>
                  <w:sz w:val="20"/>
                </w:rPr>
                <w:t>https://cleancooking.org/protocols/</w:t>
              </w:r>
            </w:hyperlink>
            <w:r w:rsidRPr="18C4CD90">
              <w:rPr>
                <w:rFonts w:eastAsia="Arial" w:cs="Arial"/>
                <w:color w:val="000000" w:themeColor="text1"/>
                <w:sz w:val="20"/>
              </w:rPr>
              <w:t xml:space="preserve"> </w:t>
            </w:r>
          </w:p>
          <w:p w14:paraId="3EA25761" w14:textId="77777777" w:rsidR="005B411E" w:rsidRDefault="005B411E">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Description of measurement methods are provided in the CCT protocol.</w:t>
            </w:r>
          </w:p>
          <w:p w14:paraId="74FEE725" w14:textId="77777777" w:rsidR="005B411E" w:rsidRDefault="005B411E">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 xml:space="preserve">QA/QC procedures: Requirements per the CCT protocol. Additionally: </w:t>
            </w:r>
          </w:p>
          <w:p w14:paraId="71F67E82" w14:textId="77777777" w:rsidR="005B411E" w:rsidRDefault="005B411E" w:rsidP="00620061">
            <w:pPr>
              <w:pStyle w:val="ListParagraph"/>
              <w:numPr>
                <w:ilvl w:val="0"/>
                <w:numId w:val="27"/>
              </w:numPr>
              <w:pBdr>
                <w:top w:val="nil"/>
                <w:left w:val="nil"/>
                <w:bottom w:val="nil"/>
                <w:right w:val="nil"/>
                <w:between w:val="nil"/>
              </w:pBdr>
              <w:tabs>
                <w:tab w:val="left" w:pos="510"/>
              </w:tabs>
              <w:spacing w:before="60" w:after="60" w:line="276" w:lineRule="auto"/>
              <w:ind w:right="57"/>
              <w:contextualSpacing w:val="0"/>
              <w:jc w:val="left"/>
              <w:rPr>
                <w:rFonts w:eastAsia="Arial" w:cs="Arial"/>
                <w:color w:val="000000" w:themeColor="text1"/>
                <w:sz w:val="20"/>
              </w:rPr>
            </w:pPr>
            <w:r w:rsidRPr="18C4CD90">
              <w:rPr>
                <w:rFonts w:eastAsia="Arial" w:cs="Arial"/>
                <w:color w:val="000000" w:themeColor="text1"/>
                <w:sz w:val="20"/>
              </w:rPr>
              <w:t xml:space="preserve">A minimum of 15 CCTs by 5 different cooks (3 repeats per cook) must be conducted per cookstove type. </w:t>
            </w:r>
          </w:p>
          <w:p w14:paraId="18603C09" w14:textId="77777777" w:rsidR="005B411E" w:rsidRPr="008E1988" w:rsidRDefault="005B411E" w:rsidP="00620061">
            <w:pPr>
              <w:pStyle w:val="ListParagraph"/>
              <w:numPr>
                <w:ilvl w:val="0"/>
                <w:numId w:val="27"/>
              </w:numPr>
              <w:pBdr>
                <w:top w:val="nil"/>
                <w:left w:val="nil"/>
                <w:bottom w:val="nil"/>
                <w:right w:val="nil"/>
                <w:between w:val="nil"/>
              </w:pBdr>
              <w:tabs>
                <w:tab w:val="left" w:pos="510"/>
              </w:tabs>
              <w:spacing w:before="60" w:after="60" w:line="276" w:lineRule="auto"/>
              <w:ind w:right="57"/>
              <w:contextualSpacing w:val="0"/>
              <w:jc w:val="left"/>
            </w:pPr>
            <w:r w:rsidRPr="008E1988">
              <w:rPr>
                <w:rFonts w:eastAsia="Arial" w:cs="Arial"/>
                <w:color w:val="000000" w:themeColor="text1"/>
                <w:sz w:val="20"/>
              </w:rPr>
              <w:t xml:space="preserve">The CCTs must be alternated between the baseline and project cookstoves to limit potential bias in increased cook efficiency over repeats. </w:t>
            </w:r>
          </w:p>
          <w:p w14:paraId="3EEBF405" w14:textId="77777777" w:rsidR="005B411E" w:rsidRPr="008D0AF8" w:rsidRDefault="005B411E" w:rsidP="00620061">
            <w:pPr>
              <w:pStyle w:val="ListParagraph"/>
              <w:numPr>
                <w:ilvl w:val="0"/>
                <w:numId w:val="27"/>
              </w:numPr>
              <w:pBdr>
                <w:top w:val="nil"/>
                <w:left w:val="nil"/>
                <w:bottom w:val="nil"/>
                <w:right w:val="nil"/>
                <w:between w:val="nil"/>
              </w:pBdr>
              <w:tabs>
                <w:tab w:val="left" w:pos="510"/>
              </w:tabs>
              <w:spacing w:before="60" w:after="60" w:line="276" w:lineRule="auto"/>
              <w:ind w:right="57"/>
              <w:contextualSpacing w:val="0"/>
              <w:jc w:val="left"/>
              <w:rPr>
                <w:rFonts w:eastAsia="Montserrat"/>
              </w:rPr>
            </w:pPr>
            <w:r w:rsidRPr="008E1988">
              <w:rPr>
                <w:rFonts w:eastAsia="Arial" w:cs="Arial"/>
                <w:color w:val="000000" w:themeColor="text1"/>
                <w:sz w:val="20"/>
              </w:rPr>
              <w:t xml:space="preserve">For artisanal cookstoves, at least three </w:t>
            </w:r>
            <w:proofErr w:type="gramStart"/>
            <w:r w:rsidRPr="008E1988">
              <w:rPr>
                <w:rFonts w:eastAsia="Arial" w:cs="Arial"/>
                <w:color w:val="000000" w:themeColor="text1"/>
                <w:sz w:val="20"/>
              </w:rPr>
              <w:t>randomly-selected</w:t>
            </w:r>
            <w:proofErr w:type="gramEnd"/>
            <w:r w:rsidRPr="008E1988">
              <w:rPr>
                <w:rFonts w:eastAsia="Arial" w:cs="Arial"/>
                <w:color w:val="000000" w:themeColor="text1"/>
                <w:sz w:val="20"/>
              </w:rPr>
              <w:t xml:space="preserve"> samples of each cookstove model must be tested.</w:t>
            </w:r>
          </w:p>
        </w:tc>
      </w:tr>
      <w:tr w:rsidR="005B411E" w14:paraId="2F2A35D1" w14:textId="77777777">
        <w:trPr>
          <w:trHeight w:val="107"/>
        </w:trPr>
        <w:tc>
          <w:tcPr>
            <w:tcW w:w="2348" w:type="dxa"/>
            <w:shd w:val="clear" w:color="auto" w:fill="E6E6E6"/>
          </w:tcPr>
          <w:p w14:paraId="19A64E0B"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1C0CB937"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67234953" w14:textId="77777777">
        <w:trPr>
          <w:trHeight w:val="107"/>
        </w:trPr>
        <w:tc>
          <w:tcPr>
            <w:tcW w:w="2348" w:type="dxa"/>
            <w:vMerge w:val="restart"/>
            <w:shd w:val="clear" w:color="auto" w:fill="E6E6E6"/>
          </w:tcPr>
          <w:p w14:paraId="015F6DAB"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44FEEB53"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02969D75" w14:textId="77777777" w:rsidR="005B411E" w:rsidRDefault="005B411E">
            <w:pPr>
              <w:spacing w:before="60" w:after="60"/>
              <w:ind w:right="57"/>
              <w:rPr>
                <w:rFonts w:eastAsia="Arial" w:cs="Arial"/>
                <w:sz w:val="20"/>
              </w:rPr>
            </w:pPr>
            <w:r>
              <w:rPr>
                <w:rFonts w:eastAsia="Arial" w:cs="Arial"/>
                <w:sz w:val="20"/>
              </w:rPr>
              <w:t>CCT</w:t>
            </w:r>
          </w:p>
        </w:tc>
      </w:tr>
      <w:tr w:rsidR="005B411E" w14:paraId="68A26473" w14:textId="77777777">
        <w:trPr>
          <w:trHeight w:val="104"/>
        </w:trPr>
        <w:tc>
          <w:tcPr>
            <w:tcW w:w="2348" w:type="dxa"/>
            <w:vMerge/>
          </w:tcPr>
          <w:p w14:paraId="4FC0DB5B"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34AC199C"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495F508F" w14:textId="4A58EB21" w:rsidR="005B411E" w:rsidRDefault="005B411E">
            <w:pPr>
              <w:spacing w:before="60" w:after="60"/>
              <w:ind w:right="57"/>
              <w:rPr>
                <w:rFonts w:eastAsia="Arial" w:cs="Arial"/>
                <w:sz w:val="20"/>
              </w:rPr>
            </w:pPr>
            <w:r>
              <w:rPr>
                <w:rFonts w:eastAsia="Arial" w:cs="Arial"/>
                <w:sz w:val="20"/>
              </w:rPr>
              <w:t xml:space="preserve">See </w:t>
            </w:r>
            <w:r w:rsidR="008C45FA">
              <w:rPr>
                <w:rFonts w:eastAsia="Arial" w:cs="Arial"/>
                <w:sz w:val="20"/>
              </w:rPr>
              <w:t>Treatment of uncertainty</w:t>
            </w:r>
          </w:p>
        </w:tc>
      </w:tr>
      <w:tr w:rsidR="005B411E" w14:paraId="0C9E6DFA" w14:textId="77777777">
        <w:trPr>
          <w:trHeight w:val="104"/>
        </w:trPr>
        <w:tc>
          <w:tcPr>
            <w:tcW w:w="2348" w:type="dxa"/>
            <w:vMerge/>
          </w:tcPr>
          <w:p w14:paraId="38F47C33"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164D8400"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36CDB4D0" w14:textId="77777777" w:rsidR="005B411E" w:rsidRPr="008E6545" w:rsidRDefault="005B411E">
            <w:pPr>
              <w:tabs>
                <w:tab w:val="left" w:pos="567"/>
              </w:tabs>
              <w:spacing w:before="20" w:after="20"/>
              <w:ind w:right="161"/>
              <w:rPr>
                <w:rFonts w:ascii="Calibri" w:eastAsia="Calibri" w:hAnsi="Calibri" w:cs="Calibri"/>
                <w:iCs/>
                <w:szCs w:val="22"/>
              </w:rPr>
            </w:pPr>
            <w:r>
              <w:rPr>
                <w:rFonts w:ascii="Calibri" w:eastAsia="Calibri" w:hAnsi="Calibri" w:cs="Calibri"/>
                <w:iCs/>
                <w:szCs w:val="22"/>
              </w:rPr>
              <w:t>-</w:t>
            </w:r>
          </w:p>
        </w:tc>
      </w:tr>
      <w:tr w:rsidR="005B411E" w14:paraId="46C41E4C" w14:textId="77777777">
        <w:trPr>
          <w:trHeight w:val="104"/>
        </w:trPr>
        <w:tc>
          <w:tcPr>
            <w:tcW w:w="2348" w:type="dxa"/>
            <w:vMerge/>
          </w:tcPr>
          <w:p w14:paraId="34EDBE34"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1FA69514"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54B1DEFB"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7BA620EF" w14:textId="77777777">
        <w:tc>
          <w:tcPr>
            <w:tcW w:w="2348" w:type="dxa"/>
            <w:shd w:val="clear" w:color="auto" w:fill="E6E6E6"/>
          </w:tcPr>
          <w:p w14:paraId="7291779C"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51A680C0" w14:textId="51F1F96E" w:rsidR="005B411E" w:rsidRDefault="001F2607">
            <w:pPr>
              <w:tabs>
                <w:tab w:val="left" w:pos="567"/>
              </w:tabs>
              <w:spacing w:before="20" w:after="20"/>
              <w:ind w:right="159"/>
              <w:rPr>
                <w:rFonts w:ascii="Calibri" w:eastAsia="Calibri" w:hAnsi="Calibri" w:cs="Calibri"/>
                <w:i/>
                <w:szCs w:val="22"/>
              </w:rPr>
            </w:pPr>
            <w:r>
              <w:rPr>
                <w:rFonts w:cs="Arial"/>
                <w:color w:val="000000"/>
                <w:sz w:val="20"/>
              </w:rPr>
              <w:t>See measurement methods and procedures</w:t>
            </w:r>
          </w:p>
        </w:tc>
      </w:tr>
      <w:tr w:rsidR="00712587" w14:paraId="138191AF" w14:textId="77777777">
        <w:tc>
          <w:tcPr>
            <w:tcW w:w="2348" w:type="dxa"/>
            <w:shd w:val="clear" w:color="auto" w:fill="E6E6E6"/>
          </w:tcPr>
          <w:p w14:paraId="282F3350" w14:textId="52ABB004"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35D04F5E" w14:textId="53BC5924" w:rsidR="00712587" w:rsidRPr="00BF24D4" w:rsidRDefault="00931432" w:rsidP="00BF24D4">
            <w:pPr>
              <w:tabs>
                <w:tab w:val="left" w:pos="567"/>
              </w:tabs>
              <w:spacing w:before="20" w:after="20"/>
              <w:ind w:right="159"/>
              <w:rPr>
                <w:rFonts w:cs="Arial"/>
                <w:i/>
                <w:iCs/>
                <w:color w:val="4F81BD" w:themeColor="accent1"/>
                <w:sz w:val="20"/>
              </w:rPr>
            </w:pPr>
            <w:r w:rsidRPr="00931432">
              <w:rPr>
                <w:rFonts w:cs="Arial"/>
                <w:color w:val="000000" w:themeColor="text1"/>
                <w:sz w:val="20"/>
              </w:rPr>
              <w:t>The mean value for this parameter can only be used when the text results meet the minimum confidence and precision of 95/10.</w:t>
            </w:r>
            <w:r w:rsidR="00C5237F" w:rsidRPr="7D956FC6" w:rsidDel="00C5237F">
              <w:rPr>
                <w:rFonts w:cs="Arial"/>
                <w:color w:val="000000" w:themeColor="text1"/>
                <w:sz w:val="20"/>
              </w:rPr>
              <w:t xml:space="preserve"> </w:t>
            </w:r>
            <w:r w:rsidR="008C45FA" w:rsidRPr="7D956FC6">
              <w:rPr>
                <w:rFonts w:cs="Arial"/>
                <w:color w:val="000000" w:themeColor="text1"/>
                <w:sz w:val="20"/>
              </w:rPr>
              <w:t>If the target precision is not met, the project proponent shall apply the conservative bounds of the confidence intervals as the parameter value. The conservative bounds are those that produce a lower CO</w:t>
            </w:r>
            <w:r w:rsidR="008C45FA" w:rsidRPr="7D956FC6">
              <w:rPr>
                <w:rFonts w:cs="Arial"/>
                <w:color w:val="000000" w:themeColor="text1"/>
                <w:sz w:val="20"/>
                <w:vertAlign w:val="subscript"/>
              </w:rPr>
              <w:t>2</w:t>
            </w:r>
            <w:r w:rsidR="008C45FA" w:rsidRPr="7D956FC6">
              <w:rPr>
                <w:rFonts w:cs="Arial"/>
                <w:color w:val="000000" w:themeColor="text1"/>
                <w:sz w:val="20"/>
              </w:rPr>
              <w:t>e emissions reduction estimate.</w:t>
            </w:r>
          </w:p>
        </w:tc>
      </w:tr>
      <w:tr w:rsidR="005B411E" w14:paraId="61EC7533" w14:textId="77777777">
        <w:tc>
          <w:tcPr>
            <w:tcW w:w="2348" w:type="dxa"/>
            <w:shd w:val="clear" w:color="auto" w:fill="E6E6E6"/>
          </w:tcPr>
          <w:p w14:paraId="2F4A7333"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56324777" w14:textId="77777777" w:rsidR="005B411E" w:rsidRDefault="005B411E">
            <w:pPr>
              <w:spacing w:before="60" w:after="60"/>
              <w:ind w:right="57"/>
              <w:rPr>
                <w:rFonts w:eastAsia="Arial" w:cs="Arial"/>
                <w:sz w:val="20"/>
              </w:rPr>
            </w:pPr>
            <w:r>
              <w:rPr>
                <w:rFonts w:eastAsia="Arial" w:cs="Arial"/>
                <w:sz w:val="20"/>
              </w:rPr>
              <w:t>-</w:t>
            </w:r>
          </w:p>
        </w:tc>
      </w:tr>
    </w:tbl>
    <w:p w14:paraId="4758FE9E" w14:textId="77777777" w:rsidR="005B411E" w:rsidRDefault="005B411E" w:rsidP="005B411E"/>
    <w:p w14:paraId="3C2CCC1D"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573332C0" w14:textId="77777777">
        <w:tc>
          <w:tcPr>
            <w:tcW w:w="2348" w:type="dxa"/>
            <w:shd w:val="clear" w:color="auto" w:fill="E6E6E6"/>
          </w:tcPr>
          <w:p w14:paraId="1D9F50C6"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03EA866A" w14:textId="77777777" w:rsidR="005B411E" w:rsidRDefault="00000000">
            <w:pPr>
              <w:spacing w:before="60" w:after="60"/>
              <w:ind w:right="57"/>
              <w:rPr>
                <w:rFonts w:eastAsia="Arial" w:cs="Arial"/>
                <w:b/>
                <w:sz w:val="20"/>
              </w:rPr>
            </w:pPr>
            <w:sdt>
              <w:sdtPr>
                <w:tag w:val="goog_rdk_112"/>
                <w:id w:val="1852292240"/>
              </w:sdtPr>
              <w:sdtContent/>
            </w:sdt>
            <w:sdt>
              <w:sdtPr>
                <w:tag w:val="goog_rdk_113"/>
                <w:id w:val="915748107"/>
              </w:sdtPr>
              <w:sdtContent/>
            </w:sdt>
            <m:oMath>
              <m:sSub>
                <m:sSubPr>
                  <m:ctrlPr>
                    <w:rPr>
                      <w:rFonts w:ascii="Cambria Math" w:eastAsia="Cambria Math" w:hAnsi="Cambria Math" w:cs="Cambria Math"/>
                    </w:rPr>
                  </m:ctrlPr>
                </m:sSubPr>
                <m:e>
                  <m:r>
                    <w:rPr>
                      <w:rFonts w:ascii="Cambria Math" w:eastAsia="Montserrat" w:hAnsi="Cambria Math" w:cs="Montserrat"/>
                    </w:rPr>
                    <m:t>SC</m:t>
                  </m:r>
                </m:e>
                <m:sub>
                  <m:r>
                    <w:rPr>
                      <w:rFonts w:ascii="Cambria Math" w:eastAsia="Cambria Math" w:hAnsi="Cambria Math" w:cs="Cambria Math"/>
                    </w:rPr>
                    <m:t>p,j</m:t>
                  </m:r>
                </m:sub>
              </m:sSub>
            </m:oMath>
          </w:p>
        </w:tc>
      </w:tr>
      <w:tr w:rsidR="005B411E" w14:paraId="796E60E2" w14:textId="77777777">
        <w:tc>
          <w:tcPr>
            <w:tcW w:w="2348" w:type="dxa"/>
            <w:shd w:val="clear" w:color="auto" w:fill="E6E6E6"/>
          </w:tcPr>
          <w:p w14:paraId="622EC9F6"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3806D6E2" w14:textId="77777777" w:rsidR="005B411E" w:rsidRPr="009A00B7" w:rsidRDefault="005B411E">
            <w:pPr>
              <w:rPr>
                <w:rFonts w:cs="Arial"/>
                <w:color w:val="000000"/>
                <w:sz w:val="20"/>
              </w:rPr>
            </w:pPr>
            <w:r>
              <w:rPr>
                <w:rFonts w:cs="Arial"/>
                <w:color w:val="000000"/>
                <w:sz w:val="20"/>
              </w:rPr>
              <w:t xml:space="preserve">Specific energy consumption of a project cookstove using fuel </w:t>
            </w:r>
            <w:r w:rsidRPr="008D0AF8">
              <w:rPr>
                <w:rFonts w:cs="Arial"/>
                <w:i/>
                <w:color w:val="000000"/>
                <w:sz w:val="20"/>
              </w:rPr>
              <w:t xml:space="preserve">j </w:t>
            </w:r>
            <w:r>
              <w:rPr>
                <w:rFonts w:cs="Arial"/>
                <w:color w:val="000000"/>
                <w:sz w:val="20"/>
              </w:rPr>
              <w:t xml:space="preserve">to cook a given amount of food </w:t>
            </w:r>
          </w:p>
        </w:tc>
      </w:tr>
      <w:tr w:rsidR="005B411E" w14:paraId="645BA833" w14:textId="77777777">
        <w:tc>
          <w:tcPr>
            <w:tcW w:w="2348" w:type="dxa"/>
            <w:shd w:val="clear" w:color="auto" w:fill="E6E6E6"/>
          </w:tcPr>
          <w:p w14:paraId="1A87B491"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6326D8E5" w14:textId="77777777" w:rsidR="005B411E" w:rsidRPr="009A00B7" w:rsidRDefault="005B411E">
            <w:pPr>
              <w:rPr>
                <w:rFonts w:cs="Arial"/>
                <w:color w:val="000000"/>
                <w:sz w:val="20"/>
              </w:rPr>
            </w:pPr>
            <w:r>
              <w:rPr>
                <w:rFonts w:cs="Arial"/>
                <w:color w:val="000000"/>
                <w:sz w:val="20"/>
              </w:rPr>
              <w:t>MJ / kg food</w:t>
            </w:r>
          </w:p>
        </w:tc>
      </w:tr>
      <w:tr w:rsidR="005B411E" w14:paraId="067F48C0" w14:textId="77777777">
        <w:tc>
          <w:tcPr>
            <w:tcW w:w="2348" w:type="dxa"/>
            <w:shd w:val="clear" w:color="auto" w:fill="E6E6E6"/>
          </w:tcPr>
          <w:p w14:paraId="2B5092A8"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4D17009C" w14:textId="26E2C8D8" w:rsidR="005B411E" w:rsidRDefault="005B411E">
            <w:pPr>
              <w:spacing w:before="60" w:after="60"/>
              <w:ind w:right="57"/>
              <w:rPr>
                <w:rFonts w:eastAsia="Arial" w:cs="Arial"/>
                <w:sz w:val="20"/>
              </w:rPr>
            </w:pPr>
            <w:hyperlink w:anchor="e3" w:history="1">
              <w:r w:rsidRPr="00224FE8">
                <w:rPr>
                  <w:rStyle w:val="Hyperlink"/>
                  <w:rFonts w:eastAsia="Arial" w:cs="Arial"/>
                  <w:sz w:val="20"/>
                </w:rPr>
                <w:t>Eq. 3</w:t>
              </w:r>
            </w:hyperlink>
          </w:p>
        </w:tc>
      </w:tr>
      <w:tr w:rsidR="005B411E" w14:paraId="1412BC40" w14:textId="77777777">
        <w:tc>
          <w:tcPr>
            <w:tcW w:w="2348" w:type="dxa"/>
            <w:vMerge w:val="restart"/>
            <w:shd w:val="clear" w:color="auto" w:fill="E6E6E6"/>
          </w:tcPr>
          <w:p w14:paraId="5C16ACB0"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6CEBCBF4"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D1175B">
              <w:rPr>
                <w:rFonts w:cs="Arial"/>
                <w:sz w:val="20"/>
              </w:rPr>
              <w:t xml:space="preserve"> Baseline emissions / removals</w:t>
            </w:r>
          </w:p>
        </w:tc>
        <w:tc>
          <w:tcPr>
            <w:tcW w:w="2406" w:type="dxa"/>
            <w:tcBorders>
              <w:left w:val="nil"/>
              <w:bottom w:val="nil"/>
              <w:right w:val="nil"/>
            </w:tcBorders>
          </w:tcPr>
          <w:p w14:paraId="2CFC3EB0"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Project emissions / removals</w:t>
            </w:r>
          </w:p>
        </w:tc>
        <w:tc>
          <w:tcPr>
            <w:tcW w:w="2410" w:type="dxa"/>
            <w:tcBorders>
              <w:left w:val="nil"/>
              <w:bottom w:val="nil"/>
            </w:tcBorders>
          </w:tcPr>
          <w:p w14:paraId="63FDA0E7"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Leakage emissions</w:t>
            </w:r>
          </w:p>
        </w:tc>
      </w:tr>
      <w:tr w:rsidR="005B411E" w14:paraId="342C5523" w14:textId="77777777">
        <w:tc>
          <w:tcPr>
            <w:tcW w:w="2348" w:type="dxa"/>
            <w:vMerge/>
          </w:tcPr>
          <w:p w14:paraId="2DCCA02B"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1E295EF3" w14:textId="77777777" w:rsidR="005B411E" w:rsidRDefault="005B411E">
            <w:pPr>
              <w:spacing w:before="60" w:after="60"/>
              <w:ind w:right="57"/>
              <w:rPr>
                <w:rFonts w:eastAsia="Arial" w:cs="Arial"/>
                <w:i/>
                <w:sz w:val="20"/>
              </w:rPr>
            </w:pPr>
            <w:r w:rsidRPr="2869FAF0">
              <w:rPr>
                <w:rFonts w:eastAsia="Arial" w:cs="Arial"/>
                <w:color w:val="000000" w:themeColor="text1"/>
                <w:sz w:val="20"/>
              </w:rPr>
              <w:t>Back-calculation of baseline fuel consumption for CTEC projects using the back-calculation approach for displaced baseline energy consumption.</w:t>
            </w:r>
          </w:p>
        </w:tc>
      </w:tr>
      <w:tr w:rsidR="00C81161" w14:paraId="788B28C5" w14:textId="77777777">
        <w:tc>
          <w:tcPr>
            <w:tcW w:w="2348" w:type="dxa"/>
            <w:shd w:val="clear" w:color="auto" w:fill="E6E6E6"/>
          </w:tcPr>
          <w:p w14:paraId="414722F5" w14:textId="0DA8059B"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tcPr>
          <w:p w14:paraId="6114DDBB" w14:textId="6A128277" w:rsidR="00C81161" w:rsidRPr="18C4CD90" w:rsidRDefault="00C81161">
            <w:pPr>
              <w:pBdr>
                <w:top w:val="nil"/>
                <w:left w:val="nil"/>
                <w:bottom w:val="nil"/>
                <w:right w:val="nil"/>
                <w:between w:val="nil"/>
              </w:pBdr>
              <w:tabs>
                <w:tab w:val="left" w:pos="510"/>
              </w:tabs>
              <w:spacing w:before="60" w:after="60"/>
              <w:ind w:right="57"/>
              <w:rPr>
                <w:rFonts w:eastAsia="Arial" w:cs="Arial"/>
                <w:color w:val="000000" w:themeColor="text1"/>
                <w:sz w:val="20"/>
              </w:rPr>
            </w:pPr>
            <w:r>
              <w:rPr>
                <w:rFonts w:eastAsia="Arial" w:cs="Arial"/>
                <w:sz w:val="20"/>
              </w:rPr>
              <w:t xml:space="preserve">Frequency of monitoring: </w:t>
            </w:r>
            <w:r w:rsidRPr="000A0411">
              <w:rPr>
                <w:rFonts w:eastAsia="Arial" w:cs="Arial"/>
                <w:sz w:val="20"/>
              </w:rPr>
              <w:t>Before validation, and every 2 years thereafter</w:t>
            </w:r>
          </w:p>
        </w:tc>
      </w:tr>
      <w:tr w:rsidR="005B411E" w14:paraId="74E24DAE" w14:textId="77777777">
        <w:tc>
          <w:tcPr>
            <w:tcW w:w="2348" w:type="dxa"/>
            <w:shd w:val="clear" w:color="auto" w:fill="E6E6E6"/>
          </w:tcPr>
          <w:p w14:paraId="23CAF6C9"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tcPr>
          <w:p w14:paraId="3C6A330B" w14:textId="77777777" w:rsidR="005B411E" w:rsidRPr="00F05D8C" w:rsidRDefault="005B411E">
            <w:pPr>
              <w:pBdr>
                <w:top w:val="nil"/>
                <w:left w:val="nil"/>
                <w:bottom w:val="nil"/>
                <w:right w:val="nil"/>
                <w:between w:val="nil"/>
              </w:pBdr>
              <w:tabs>
                <w:tab w:val="left" w:pos="510"/>
              </w:tabs>
              <w:spacing w:before="60" w:after="60"/>
              <w:ind w:right="57"/>
              <w:rPr>
                <w:rFonts w:eastAsia="Arial" w:cs="Arial"/>
                <w:color w:val="000000"/>
                <w:sz w:val="20"/>
              </w:rPr>
            </w:pPr>
            <w:r w:rsidRPr="18C4CD90">
              <w:rPr>
                <w:rFonts w:eastAsia="Arial" w:cs="Arial"/>
                <w:color w:val="000000" w:themeColor="text1"/>
                <w:sz w:val="20"/>
              </w:rPr>
              <w:t xml:space="preserve">Most recent version of the CCT protocol available at this link: </w:t>
            </w:r>
            <w:hyperlink r:id="rId59" w:history="1">
              <w:r w:rsidRPr="18C4CD90">
                <w:rPr>
                  <w:rStyle w:val="Hyperlink"/>
                  <w:rFonts w:eastAsia="Arial" w:cs="Arial"/>
                  <w:sz w:val="20"/>
                </w:rPr>
                <w:t>https://cleancooking.org/protocols/</w:t>
              </w:r>
            </w:hyperlink>
            <w:r w:rsidRPr="18C4CD90">
              <w:rPr>
                <w:rFonts w:eastAsia="Arial" w:cs="Arial"/>
                <w:color w:val="000000" w:themeColor="text1"/>
                <w:sz w:val="20"/>
              </w:rPr>
              <w:t xml:space="preserve"> </w:t>
            </w:r>
          </w:p>
          <w:p w14:paraId="51350569" w14:textId="77777777" w:rsidR="005B411E" w:rsidRDefault="005B411E">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Description of measurement methods are provided in the CCT protocol.</w:t>
            </w:r>
          </w:p>
          <w:p w14:paraId="7A1D73DE" w14:textId="77777777" w:rsidR="005B411E" w:rsidRDefault="005B411E">
            <w:pPr>
              <w:pBdr>
                <w:top w:val="nil"/>
                <w:left w:val="nil"/>
                <w:bottom w:val="nil"/>
                <w:right w:val="nil"/>
                <w:between w:val="nil"/>
              </w:pBdr>
              <w:tabs>
                <w:tab w:val="left" w:pos="510"/>
              </w:tabs>
              <w:spacing w:before="60" w:after="60"/>
              <w:ind w:right="57"/>
              <w:rPr>
                <w:rFonts w:eastAsia="Arial" w:cs="Arial"/>
                <w:color w:val="000000" w:themeColor="text1"/>
                <w:sz w:val="20"/>
              </w:rPr>
            </w:pPr>
            <w:r w:rsidRPr="18C4CD90">
              <w:rPr>
                <w:rFonts w:eastAsia="Arial" w:cs="Arial"/>
                <w:color w:val="000000" w:themeColor="text1"/>
                <w:sz w:val="20"/>
              </w:rPr>
              <w:t xml:space="preserve">QA/QC procedures: Requirements per the CCT protocol. Additionally: </w:t>
            </w:r>
          </w:p>
          <w:p w14:paraId="56F30CF9" w14:textId="77777777" w:rsidR="005B411E" w:rsidRDefault="005B411E" w:rsidP="00620061">
            <w:pPr>
              <w:pStyle w:val="ListParagraph"/>
              <w:numPr>
                <w:ilvl w:val="0"/>
                <w:numId w:val="27"/>
              </w:numPr>
              <w:pBdr>
                <w:top w:val="nil"/>
                <w:left w:val="nil"/>
                <w:bottom w:val="nil"/>
                <w:right w:val="nil"/>
                <w:between w:val="nil"/>
              </w:pBdr>
              <w:tabs>
                <w:tab w:val="left" w:pos="510"/>
              </w:tabs>
              <w:spacing w:before="60" w:after="60" w:line="276" w:lineRule="auto"/>
              <w:ind w:right="57"/>
              <w:contextualSpacing w:val="0"/>
              <w:jc w:val="left"/>
              <w:rPr>
                <w:rFonts w:eastAsia="Arial" w:cs="Arial"/>
                <w:color w:val="000000" w:themeColor="text1"/>
                <w:sz w:val="20"/>
              </w:rPr>
            </w:pPr>
            <w:r w:rsidRPr="18C4CD90">
              <w:rPr>
                <w:rFonts w:eastAsia="Arial" w:cs="Arial"/>
                <w:color w:val="000000" w:themeColor="text1"/>
                <w:sz w:val="20"/>
              </w:rPr>
              <w:t xml:space="preserve">A minimum of 15 CCTs by 5 different cooks (3 repeats per cook) must be conducted per cookstove type. </w:t>
            </w:r>
          </w:p>
          <w:p w14:paraId="45459A14" w14:textId="77777777" w:rsidR="005B411E" w:rsidRPr="008E1988" w:rsidRDefault="005B411E" w:rsidP="00620061">
            <w:pPr>
              <w:pStyle w:val="ListParagraph"/>
              <w:numPr>
                <w:ilvl w:val="0"/>
                <w:numId w:val="27"/>
              </w:numPr>
              <w:pBdr>
                <w:top w:val="nil"/>
                <w:left w:val="nil"/>
                <w:bottom w:val="nil"/>
                <w:right w:val="nil"/>
                <w:between w:val="nil"/>
              </w:pBdr>
              <w:tabs>
                <w:tab w:val="left" w:pos="510"/>
              </w:tabs>
              <w:spacing w:before="60" w:after="60" w:line="276" w:lineRule="auto"/>
              <w:ind w:right="57"/>
              <w:contextualSpacing w:val="0"/>
              <w:jc w:val="left"/>
            </w:pPr>
            <w:r w:rsidRPr="008E1988">
              <w:rPr>
                <w:rFonts w:eastAsia="Arial" w:cs="Arial"/>
                <w:color w:val="000000" w:themeColor="text1"/>
                <w:sz w:val="20"/>
              </w:rPr>
              <w:t xml:space="preserve">The CCTs must be alternated between the baseline and project cookstoves to limit potential bias in increased cook efficiency over repeats. </w:t>
            </w:r>
          </w:p>
          <w:p w14:paraId="1A34C124" w14:textId="77777777" w:rsidR="005B411E" w:rsidRPr="006267EB" w:rsidRDefault="005B411E" w:rsidP="00620061">
            <w:pPr>
              <w:pStyle w:val="ListParagraph"/>
              <w:numPr>
                <w:ilvl w:val="0"/>
                <w:numId w:val="27"/>
              </w:numPr>
              <w:pBdr>
                <w:top w:val="nil"/>
                <w:left w:val="nil"/>
                <w:bottom w:val="nil"/>
                <w:right w:val="nil"/>
                <w:between w:val="nil"/>
              </w:pBdr>
              <w:tabs>
                <w:tab w:val="left" w:pos="510"/>
              </w:tabs>
              <w:spacing w:before="60" w:after="60" w:line="276" w:lineRule="auto"/>
              <w:ind w:right="57"/>
              <w:contextualSpacing w:val="0"/>
              <w:jc w:val="left"/>
              <w:rPr>
                <w:rFonts w:eastAsia="Arial"/>
              </w:rPr>
            </w:pPr>
            <w:r w:rsidRPr="008E1988">
              <w:rPr>
                <w:rFonts w:eastAsia="Arial" w:cs="Arial"/>
                <w:color w:val="000000" w:themeColor="text1"/>
                <w:sz w:val="20"/>
              </w:rPr>
              <w:t xml:space="preserve">For artisanal cookstoves, at least three </w:t>
            </w:r>
            <w:proofErr w:type="gramStart"/>
            <w:r w:rsidRPr="008E1988">
              <w:rPr>
                <w:rFonts w:eastAsia="Arial" w:cs="Arial"/>
                <w:color w:val="000000" w:themeColor="text1"/>
                <w:sz w:val="20"/>
              </w:rPr>
              <w:t>randomly-selected</w:t>
            </w:r>
            <w:proofErr w:type="gramEnd"/>
            <w:r w:rsidRPr="008E1988">
              <w:rPr>
                <w:rFonts w:eastAsia="Arial" w:cs="Arial"/>
                <w:color w:val="000000" w:themeColor="text1"/>
                <w:sz w:val="20"/>
              </w:rPr>
              <w:t xml:space="preserve"> samples of each cookstove model must be tested.</w:t>
            </w:r>
            <w:r>
              <w:rPr>
                <w:rFonts w:eastAsia="Arial" w:cs="Arial"/>
                <w:color w:val="000000" w:themeColor="text1"/>
                <w:sz w:val="20"/>
              </w:rPr>
              <w:t xml:space="preserve"> </w:t>
            </w:r>
            <w:r w:rsidRPr="00C87076">
              <w:rPr>
                <w:rFonts w:eastAsia="Arial" w:cs="Arial"/>
                <w:color w:val="000000" w:themeColor="text1"/>
                <w:sz w:val="20"/>
              </w:rPr>
              <w:t>The mean value from the three samples must be applied.</w:t>
            </w:r>
          </w:p>
        </w:tc>
      </w:tr>
      <w:tr w:rsidR="005B411E" w14:paraId="4A7618AA" w14:textId="77777777">
        <w:trPr>
          <w:trHeight w:val="107"/>
        </w:trPr>
        <w:tc>
          <w:tcPr>
            <w:tcW w:w="2348" w:type="dxa"/>
            <w:shd w:val="clear" w:color="auto" w:fill="E6E6E6"/>
          </w:tcPr>
          <w:p w14:paraId="28CAF09E"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0C7DA02A"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2DBCE54C" w14:textId="77777777">
        <w:trPr>
          <w:trHeight w:val="107"/>
        </w:trPr>
        <w:tc>
          <w:tcPr>
            <w:tcW w:w="2348" w:type="dxa"/>
            <w:vMerge w:val="restart"/>
            <w:shd w:val="clear" w:color="auto" w:fill="E6E6E6"/>
          </w:tcPr>
          <w:p w14:paraId="2F9D0E72"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373FF957"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2C4D54D9" w14:textId="77777777" w:rsidR="005B411E" w:rsidRDefault="005B411E">
            <w:pPr>
              <w:spacing w:before="60" w:after="60"/>
              <w:ind w:right="57"/>
              <w:rPr>
                <w:rFonts w:eastAsia="Arial" w:cs="Arial"/>
                <w:sz w:val="20"/>
              </w:rPr>
            </w:pPr>
            <w:r>
              <w:rPr>
                <w:rFonts w:eastAsia="Arial" w:cs="Arial"/>
                <w:sz w:val="20"/>
              </w:rPr>
              <w:t>CCT</w:t>
            </w:r>
          </w:p>
        </w:tc>
      </w:tr>
      <w:tr w:rsidR="005B411E" w14:paraId="2A3A0309" w14:textId="77777777">
        <w:trPr>
          <w:trHeight w:val="104"/>
        </w:trPr>
        <w:tc>
          <w:tcPr>
            <w:tcW w:w="2348" w:type="dxa"/>
            <w:vMerge/>
          </w:tcPr>
          <w:p w14:paraId="42B54DA1"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406FFC18"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2327000F" w14:textId="568AE118" w:rsidR="005B411E" w:rsidRDefault="005B411E">
            <w:pPr>
              <w:spacing w:before="60" w:after="60"/>
              <w:ind w:right="57"/>
              <w:rPr>
                <w:rFonts w:eastAsia="Arial" w:cs="Arial"/>
                <w:sz w:val="20"/>
              </w:rPr>
            </w:pPr>
            <w:r>
              <w:rPr>
                <w:rFonts w:eastAsia="Arial" w:cs="Arial"/>
                <w:sz w:val="20"/>
              </w:rPr>
              <w:t xml:space="preserve">See </w:t>
            </w:r>
            <w:r w:rsidR="008C45FA">
              <w:rPr>
                <w:rFonts w:eastAsia="Arial" w:cs="Arial"/>
                <w:sz w:val="20"/>
              </w:rPr>
              <w:t>Treatment of uncertainty</w:t>
            </w:r>
          </w:p>
        </w:tc>
      </w:tr>
      <w:tr w:rsidR="005B411E" w14:paraId="0795DD86" w14:textId="77777777">
        <w:trPr>
          <w:trHeight w:val="104"/>
        </w:trPr>
        <w:tc>
          <w:tcPr>
            <w:tcW w:w="2348" w:type="dxa"/>
            <w:vMerge/>
          </w:tcPr>
          <w:p w14:paraId="0E9343F8"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42A33073"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09867DD4" w14:textId="77777777" w:rsidR="005B411E" w:rsidRDefault="005B411E">
            <w:pPr>
              <w:tabs>
                <w:tab w:val="left" w:pos="567"/>
              </w:tabs>
              <w:spacing w:before="20" w:after="20"/>
              <w:ind w:right="161"/>
              <w:rPr>
                <w:rFonts w:ascii="Calibri" w:eastAsia="Calibri" w:hAnsi="Calibri" w:cs="Calibri"/>
                <w:i/>
                <w:szCs w:val="22"/>
              </w:rPr>
            </w:pPr>
            <w:r>
              <w:rPr>
                <w:sz w:val="20"/>
              </w:rPr>
              <w:t>-</w:t>
            </w:r>
          </w:p>
        </w:tc>
      </w:tr>
      <w:tr w:rsidR="005B411E" w14:paraId="7EDE8201" w14:textId="77777777">
        <w:trPr>
          <w:trHeight w:val="104"/>
        </w:trPr>
        <w:tc>
          <w:tcPr>
            <w:tcW w:w="2348" w:type="dxa"/>
            <w:vMerge/>
          </w:tcPr>
          <w:p w14:paraId="1B60174D"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506AB299"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28527851"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1BF6CB90" w14:textId="77777777">
        <w:tc>
          <w:tcPr>
            <w:tcW w:w="2348" w:type="dxa"/>
            <w:shd w:val="clear" w:color="auto" w:fill="E6E6E6"/>
          </w:tcPr>
          <w:p w14:paraId="3368BB46"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53E53A34" w14:textId="723C506B" w:rsidR="005B411E" w:rsidRDefault="00A52BDF">
            <w:pPr>
              <w:tabs>
                <w:tab w:val="left" w:pos="567"/>
              </w:tabs>
              <w:spacing w:before="20" w:after="20"/>
              <w:ind w:right="159"/>
              <w:rPr>
                <w:rFonts w:ascii="Calibri" w:eastAsia="Calibri" w:hAnsi="Calibri" w:cs="Calibri"/>
                <w:i/>
                <w:szCs w:val="22"/>
              </w:rPr>
            </w:pPr>
            <w:r>
              <w:rPr>
                <w:rFonts w:cs="Arial"/>
                <w:color w:val="000000"/>
                <w:sz w:val="20"/>
              </w:rPr>
              <w:t>See measurement methods and procedures</w:t>
            </w:r>
          </w:p>
        </w:tc>
      </w:tr>
      <w:tr w:rsidR="00712587" w14:paraId="2D4E199F" w14:textId="77777777">
        <w:tc>
          <w:tcPr>
            <w:tcW w:w="2348" w:type="dxa"/>
            <w:shd w:val="clear" w:color="auto" w:fill="E6E6E6"/>
          </w:tcPr>
          <w:p w14:paraId="37B5B3DA" w14:textId="06EA81F9"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50C193C0" w14:textId="672B4A15" w:rsidR="00712587" w:rsidRPr="00BF24D4" w:rsidRDefault="00C5237F" w:rsidP="00BF24D4">
            <w:pPr>
              <w:tabs>
                <w:tab w:val="left" w:pos="567"/>
              </w:tabs>
              <w:spacing w:before="20" w:after="20"/>
              <w:ind w:right="159"/>
              <w:rPr>
                <w:rFonts w:cs="Arial"/>
                <w:i/>
                <w:iCs/>
                <w:color w:val="4F81BD" w:themeColor="accent1"/>
                <w:sz w:val="20"/>
              </w:rPr>
            </w:pPr>
            <w:r w:rsidRPr="00C5237F">
              <w:rPr>
                <w:rFonts w:cs="Arial"/>
                <w:color w:val="000000" w:themeColor="text1"/>
                <w:sz w:val="20"/>
              </w:rPr>
              <w:t>The mean value for this parameter can only be used when the text results meet the minimum confidence and precision of 95/10.</w:t>
            </w:r>
            <w:r w:rsidR="008C45FA" w:rsidRPr="7D956FC6">
              <w:rPr>
                <w:rFonts w:cs="Arial"/>
                <w:color w:val="000000" w:themeColor="text1"/>
                <w:sz w:val="20"/>
              </w:rPr>
              <w:t xml:space="preserve"> If the target precision is not met, the project proponent shall apply the conservative bounds of the confidence intervals as the parameter value. The conservative bounds are those that produce a lower CO</w:t>
            </w:r>
            <w:r w:rsidR="008C45FA" w:rsidRPr="7D956FC6">
              <w:rPr>
                <w:rFonts w:cs="Arial"/>
                <w:color w:val="000000" w:themeColor="text1"/>
                <w:sz w:val="20"/>
                <w:vertAlign w:val="subscript"/>
              </w:rPr>
              <w:t>2</w:t>
            </w:r>
            <w:r w:rsidR="008C45FA" w:rsidRPr="7D956FC6">
              <w:rPr>
                <w:rFonts w:cs="Arial"/>
                <w:color w:val="000000" w:themeColor="text1"/>
                <w:sz w:val="20"/>
              </w:rPr>
              <w:t>e emissions reduction estimate.</w:t>
            </w:r>
          </w:p>
        </w:tc>
      </w:tr>
      <w:tr w:rsidR="005B411E" w14:paraId="15C0FDA0" w14:textId="77777777">
        <w:tc>
          <w:tcPr>
            <w:tcW w:w="2348" w:type="dxa"/>
            <w:shd w:val="clear" w:color="auto" w:fill="E6E6E6"/>
          </w:tcPr>
          <w:p w14:paraId="65EC11A7"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2C6E124E" w14:textId="77777777" w:rsidR="005B411E" w:rsidRDefault="005B411E">
            <w:pPr>
              <w:spacing w:before="60" w:after="60"/>
              <w:ind w:right="57"/>
              <w:rPr>
                <w:rFonts w:eastAsia="Arial" w:cs="Arial"/>
                <w:sz w:val="20"/>
              </w:rPr>
            </w:pPr>
            <w:r>
              <w:rPr>
                <w:rFonts w:eastAsia="Arial" w:cs="Arial"/>
                <w:sz w:val="20"/>
              </w:rPr>
              <w:t>-</w:t>
            </w:r>
          </w:p>
        </w:tc>
      </w:tr>
    </w:tbl>
    <w:p w14:paraId="27CE9AF3"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1B16A85F" w14:textId="77777777">
        <w:tc>
          <w:tcPr>
            <w:tcW w:w="2348" w:type="dxa"/>
            <w:shd w:val="clear" w:color="auto" w:fill="E6E6E6"/>
          </w:tcPr>
          <w:p w14:paraId="3C1B1C1E"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77127B71" w14:textId="77777777" w:rsidR="005B411E" w:rsidRPr="000A0411"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tEC</m:t>
                    </m:r>
                  </m:e>
                  <m:sub>
                    <m:r>
                      <w:rPr>
                        <w:rFonts w:ascii="Cambria Math" w:eastAsia="Cambria Math" w:hAnsi="Cambria Math" w:cs="Cambria Math"/>
                      </w:rPr>
                      <m:t>proj,grid,h,y</m:t>
                    </m:r>
                  </m:sub>
                </m:sSub>
              </m:oMath>
            </m:oMathPara>
          </w:p>
        </w:tc>
      </w:tr>
      <w:tr w:rsidR="005B411E" w14:paraId="1E9F3A07" w14:textId="77777777">
        <w:tc>
          <w:tcPr>
            <w:tcW w:w="2348" w:type="dxa"/>
            <w:shd w:val="clear" w:color="auto" w:fill="E6E6E6"/>
          </w:tcPr>
          <w:p w14:paraId="4F4603FA"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4C1361E4" w14:textId="77777777" w:rsidR="005B411E" w:rsidRPr="000A0411" w:rsidRDefault="005B411E">
            <w:pPr>
              <w:rPr>
                <w:rFonts w:cs="Arial"/>
                <w:color w:val="000000"/>
                <w:sz w:val="20"/>
              </w:rPr>
            </w:pPr>
            <w:r>
              <w:rPr>
                <w:rFonts w:cs="Arial"/>
                <w:color w:val="000000"/>
                <w:sz w:val="20"/>
              </w:rPr>
              <w:t xml:space="preserve">Tracked grid electricity consumed for cooking in household </w:t>
            </w:r>
            <w:r w:rsidRPr="008D0AF8">
              <w:rPr>
                <w:rFonts w:cs="Arial"/>
                <w:i/>
                <w:color w:val="000000"/>
                <w:sz w:val="20"/>
              </w:rPr>
              <w:t xml:space="preserve">h </w:t>
            </w:r>
            <w:r>
              <w:rPr>
                <w:rFonts w:cs="Arial"/>
                <w:color w:val="000000"/>
                <w:sz w:val="20"/>
              </w:rPr>
              <w:t xml:space="preserve">in year </w:t>
            </w:r>
            <w:r w:rsidRPr="008D0AF8">
              <w:rPr>
                <w:rFonts w:cs="Arial"/>
                <w:i/>
                <w:color w:val="000000"/>
                <w:sz w:val="20"/>
              </w:rPr>
              <w:t>y</w:t>
            </w:r>
          </w:p>
        </w:tc>
      </w:tr>
      <w:tr w:rsidR="005B411E" w14:paraId="2E202742" w14:textId="77777777">
        <w:tc>
          <w:tcPr>
            <w:tcW w:w="2348" w:type="dxa"/>
            <w:shd w:val="clear" w:color="auto" w:fill="E6E6E6"/>
          </w:tcPr>
          <w:p w14:paraId="5D81DBFC"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59E12A49" w14:textId="77777777" w:rsidR="005B411E" w:rsidRPr="000A0411" w:rsidRDefault="005B411E">
            <w:pPr>
              <w:rPr>
                <w:rFonts w:cs="Arial"/>
                <w:color w:val="000000"/>
                <w:sz w:val="20"/>
              </w:rPr>
            </w:pPr>
            <w:r>
              <w:rPr>
                <w:rFonts w:cs="Arial"/>
                <w:color w:val="000000"/>
                <w:sz w:val="20"/>
              </w:rPr>
              <w:t>kWh</w:t>
            </w:r>
          </w:p>
        </w:tc>
      </w:tr>
      <w:tr w:rsidR="005B411E" w14:paraId="664DD230" w14:textId="77777777">
        <w:tc>
          <w:tcPr>
            <w:tcW w:w="2348" w:type="dxa"/>
            <w:shd w:val="clear" w:color="auto" w:fill="E6E6E6"/>
          </w:tcPr>
          <w:p w14:paraId="228EE8AB"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5F80ABDB" w14:textId="28E9AFBE" w:rsidR="005B411E" w:rsidRDefault="005B411E">
            <w:pPr>
              <w:spacing w:before="60" w:after="60"/>
              <w:ind w:right="57"/>
              <w:rPr>
                <w:rFonts w:eastAsia="Arial" w:cs="Arial"/>
                <w:sz w:val="20"/>
              </w:rPr>
            </w:pPr>
            <w:hyperlink w:anchor="e10" w:history="1">
              <w:r w:rsidRPr="00224FE8">
                <w:rPr>
                  <w:rStyle w:val="Hyperlink"/>
                  <w:rFonts w:eastAsia="Arial" w:cs="Arial"/>
                  <w:sz w:val="20"/>
                </w:rPr>
                <w:t>Eq. 10</w:t>
              </w:r>
            </w:hyperlink>
          </w:p>
        </w:tc>
      </w:tr>
      <w:tr w:rsidR="005B411E" w14:paraId="14E26BB5" w14:textId="77777777">
        <w:tc>
          <w:tcPr>
            <w:tcW w:w="2348" w:type="dxa"/>
            <w:vMerge w:val="restart"/>
            <w:shd w:val="clear" w:color="auto" w:fill="E6E6E6"/>
          </w:tcPr>
          <w:p w14:paraId="52856F47"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640AC996"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Baseline emissions / removals</w:t>
            </w:r>
          </w:p>
        </w:tc>
        <w:tc>
          <w:tcPr>
            <w:tcW w:w="2406" w:type="dxa"/>
            <w:tcBorders>
              <w:left w:val="nil"/>
              <w:bottom w:val="nil"/>
              <w:right w:val="nil"/>
            </w:tcBorders>
          </w:tcPr>
          <w:p w14:paraId="0CE474AF"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D1175B">
              <w:rPr>
                <w:rFonts w:cs="Arial"/>
                <w:sz w:val="20"/>
              </w:rPr>
              <w:t xml:space="preserve"> Project emissions / removals</w:t>
            </w:r>
          </w:p>
        </w:tc>
        <w:tc>
          <w:tcPr>
            <w:tcW w:w="2410" w:type="dxa"/>
            <w:tcBorders>
              <w:left w:val="nil"/>
              <w:bottom w:val="nil"/>
            </w:tcBorders>
          </w:tcPr>
          <w:p w14:paraId="335D1459"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Leakage emissions</w:t>
            </w:r>
          </w:p>
        </w:tc>
      </w:tr>
      <w:tr w:rsidR="005B411E" w14:paraId="04F0798D" w14:textId="77777777">
        <w:tc>
          <w:tcPr>
            <w:tcW w:w="2348" w:type="dxa"/>
            <w:vMerge/>
          </w:tcPr>
          <w:p w14:paraId="4D4ABC45"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472581C7" w14:textId="77777777" w:rsidR="005B411E" w:rsidRDefault="005B411E">
            <w:pPr>
              <w:spacing w:before="60" w:after="60"/>
              <w:ind w:right="57"/>
              <w:rPr>
                <w:rFonts w:eastAsia="Arial" w:cs="Arial"/>
                <w:i/>
                <w:sz w:val="20"/>
              </w:rPr>
            </w:pPr>
          </w:p>
        </w:tc>
      </w:tr>
      <w:tr w:rsidR="00C81161" w14:paraId="21807256" w14:textId="77777777">
        <w:tc>
          <w:tcPr>
            <w:tcW w:w="2348" w:type="dxa"/>
            <w:shd w:val="clear" w:color="auto" w:fill="E6E6E6"/>
          </w:tcPr>
          <w:p w14:paraId="0561382E" w14:textId="57AF0DE7"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tcPr>
          <w:p w14:paraId="7DB4F0A2" w14:textId="0A9E46F6" w:rsidR="00C81161" w:rsidRPr="000A0411" w:rsidRDefault="00C81161">
            <w:pPr>
              <w:spacing w:before="60" w:after="60"/>
              <w:ind w:right="57"/>
              <w:rPr>
                <w:rFonts w:cs="Arial"/>
                <w:color w:val="000000"/>
                <w:sz w:val="20"/>
              </w:rPr>
            </w:pPr>
            <w:r w:rsidRPr="00BE6591">
              <w:rPr>
                <w:rFonts w:eastAsia="Arial" w:cs="Arial"/>
                <w:sz w:val="20"/>
              </w:rPr>
              <w:t>Continuous and aggregated annually</w:t>
            </w:r>
          </w:p>
        </w:tc>
      </w:tr>
      <w:tr w:rsidR="005B411E" w14:paraId="4B074F17" w14:textId="77777777">
        <w:tc>
          <w:tcPr>
            <w:tcW w:w="2348" w:type="dxa"/>
            <w:shd w:val="clear" w:color="auto" w:fill="E6E6E6"/>
          </w:tcPr>
          <w:p w14:paraId="1873C9ED"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tcPr>
          <w:p w14:paraId="2D164950" w14:textId="77777777" w:rsidR="005B411E" w:rsidRPr="000A0411" w:rsidRDefault="005B411E">
            <w:pPr>
              <w:spacing w:before="60" w:after="60"/>
              <w:ind w:right="57"/>
              <w:rPr>
                <w:rFonts w:cs="Arial"/>
                <w:color w:val="000000"/>
                <w:sz w:val="20"/>
              </w:rPr>
            </w:pPr>
            <w:r w:rsidRPr="000A0411">
              <w:rPr>
                <w:rFonts w:cs="Arial"/>
                <w:color w:val="000000"/>
                <w:sz w:val="20"/>
              </w:rPr>
              <w:t xml:space="preserve">Metered electricity </w:t>
            </w:r>
            <w:proofErr w:type="gramStart"/>
            <w:r w:rsidRPr="000A0411">
              <w:rPr>
                <w:rFonts w:cs="Arial"/>
                <w:color w:val="000000"/>
                <w:sz w:val="20"/>
              </w:rPr>
              <w:t>use</w:t>
            </w:r>
            <w:proofErr w:type="gramEnd"/>
            <w:r w:rsidRPr="000A0411">
              <w:rPr>
                <w:rFonts w:cs="Arial"/>
                <w:color w:val="000000"/>
                <w:sz w:val="20"/>
              </w:rPr>
              <w:t xml:space="preserve"> for each household</w:t>
            </w:r>
          </w:p>
        </w:tc>
      </w:tr>
      <w:tr w:rsidR="005B411E" w14:paraId="6C89EC96" w14:textId="77777777">
        <w:trPr>
          <w:trHeight w:val="107"/>
        </w:trPr>
        <w:tc>
          <w:tcPr>
            <w:tcW w:w="2348" w:type="dxa"/>
            <w:shd w:val="clear" w:color="auto" w:fill="E6E6E6"/>
          </w:tcPr>
          <w:p w14:paraId="7271F4B4"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18C584F2"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7FBD1806" w14:textId="77777777">
        <w:trPr>
          <w:trHeight w:val="107"/>
        </w:trPr>
        <w:tc>
          <w:tcPr>
            <w:tcW w:w="2348" w:type="dxa"/>
            <w:vMerge w:val="restart"/>
            <w:shd w:val="clear" w:color="auto" w:fill="E6E6E6"/>
          </w:tcPr>
          <w:p w14:paraId="02462AEF"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58E9D0CA"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1CFBB78B" w14:textId="77777777" w:rsidR="005B411E" w:rsidRDefault="005B411E">
            <w:pPr>
              <w:rPr>
                <w:rFonts w:eastAsia="Arial" w:cs="Arial"/>
                <w:sz w:val="20"/>
              </w:rPr>
            </w:pPr>
            <w:r>
              <w:rPr>
                <w:rFonts w:cs="Arial"/>
                <w:color w:val="000000"/>
                <w:sz w:val="20"/>
              </w:rPr>
              <w:t xml:space="preserve">Applies for households consuming energy from the grid.  </w:t>
            </w:r>
            <w:r>
              <w:rPr>
                <w:rFonts w:cs="Arial"/>
                <w:color w:val="000000"/>
                <w:sz w:val="20"/>
              </w:rPr>
              <w:br/>
            </w:r>
            <w:r>
              <w:rPr>
                <w:rFonts w:cs="Arial"/>
                <w:color w:val="000000"/>
                <w:sz w:val="20"/>
              </w:rPr>
              <w:br/>
              <w:t>Built-in or external data loggers may be used, where they conform with industry standards and are calibrated according to manufacturer recommendations and/or relevant national requirements as applicable.</w:t>
            </w:r>
          </w:p>
        </w:tc>
      </w:tr>
      <w:tr w:rsidR="005B411E" w14:paraId="5E48BB8F" w14:textId="77777777">
        <w:trPr>
          <w:trHeight w:val="104"/>
        </w:trPr>
        <w:tc>
          <w:tcPr>
            <w:tcW w:w="2348" w:type="dxa"/>
            <w:vMerge/>
          </w:tcPr>
          <w:p w14:paraId="144F97CB"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4C7EF2BB"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3D32BB50" w14:textId="77777777" w:rsidR="005B411E" w:rsidRDefault="005B411E">
            <w:pPr>
              <w:spacing w:before="60" w:after="60"/>
              <w:ind w:right="57"/>
              <w:rPr>
                <w:rFonts w:eastAsia="Arial" w:cs="Arial"/>
                <w:sz w:val="20"/>
              </w:rPr>
            </w:pPr>
            <w:r>
              <w:rPr>
                <w:rFonts w:eastAsia="Arial" w:cs="Arial"/>
                <w:sz w:val="20"/>
              </w:rPr>
              <w:t>See QA/QC procedures</w:t>
            </w:r>
          </w:p>
        </w:tc>
      </w:tr>
      <w:tr w:rsidR="005B411E" w14:paraId="2709B85E" w14:textId="77777777">
        <w:trPr>
          <w:trHeight w:val="104"/>
        </w:trPr>
        <w:tc>
          <w:tcPr>
            <w:tcW w:w="2348" w:type="dxa"/>
            <w:vMerge/>
          </w:tcPr>
          <w:p w14:paraId="27505270"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4F776555"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32775522" w14:textId="77777777" w:rsidR="005B411E" w:rsidRDefault="005B411E">
            <w:pPr>
              <w:tabs>
                <w:tab w:val="left" w:pos="567"/>
              </w:tabs>
              <w:spacing w:before="20" w:after="20"/>
              <w:ind w:right="161"/>
              <w:rPr>
                <w:rFonts w:ascii="Calibri" w:eastAsia="Calibri" w:hAnsi="Calibri" w:cs="Calibri"/>
                <w:i/>
                <w:szCs w:val="22"/>
              </w:rPr>
            </w:pPr>
            <w:r>
              <w:rPr>
                <w:sz w:val="20"/>
              </w:rPr>
              <w:t>-</w:t>
            </w:r>
          </w:p>
        </w:tc>
      </w:tr>
      <w:tr w:rsidR="005B411E" w14:paraId="4505429A" w14:textId="77777777">
        <w:trPr>
          <w:trHeight w:val="104"/>
        </w:trPr>
        <w:tc>
          <w:tcPr>
            <w:tcW w:w="2348" w:type="dxa"/>
            <w:vMerge/>
          </w:tcPr>
          <w:p w14:paraId="3AF2BEC6"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0D8D767E"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07077AF8"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50B844F0" w14:textId="77777777">
        <w:tc>
          <w:tcPr>
            <w:tcW w:w="2348" w:type="dxa"/>
            <w:shd w:val="clear" w:color="auto" w:fill="E6E6E6"/>
          </w:tcPr>
          <w:p w14:paraId="0E8C727E"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3D11034C" w14:textId="77777777" w:rsidR="005B411E" w:rsidRPr="000A0411" w:rsidRDefault="005B411E">
            <w:pPr>
              <w:rPr>
                <w:rFonts w:cs="Arial"/>
                <w:color w:val="000000"/>
                <w:sz w:val="20"/>
              </w:rPr>
            </w:pPr>
            <w:r>
              <w:rPr>
                <w:rFonts w:cs="Arial"/>
                <w:color w:val="000000"/>
                <w:sz w:val="20"/>
              </w:rPr>
              <w:t>Measured project technology electricity use shall be cross checked with the wattage of the project technology and the estimated operating hours for a sample of project-technology units.</w:t>
            </w:r>
          </w:p>
        </w:tc>
      </w:tr>
      <w:tr w:rsidR="00712587" w14:paraId="4287551C" w14:textId="77777777">
        <w:tc>
          <w:tcPr>
            <w:tcW w:w="2348" w:type="dxa"/>
            <w:shd w:val="clear" w:color="auto" w:fill="E6E6E6"/>
          </w:tcPr>
          <w:p w14:paraId="7605E80D" w14:textId="4051BC72"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5BA420B3" w14:textId="49FBC470" w:rsidR="00712587" w:rsidRPr="00BF24D4" w:rsidRDefault="00FB4901" w:rsidP="00BF24D4">
            <w:pPr>
              <w:tabs>
                <w:tab w:val="left" w:pos="567"/>
              </w:tabs>
              <w:spacing w:before="20" w:after="20"/>
              <w:ind w:right="159"/>
              <w:rPr>
                <w:rFonts w:cs="Arial"/>
                <w:i/>
                <w:iCs/>
                <w:color w:val="4F81BD" w:themeColor="accent1"/>
                <w:sz w:val="20"/>
              </w:rPr>
            </w:pPr>
            <w:r w:rsidRPr="00A51774">
              <w:rPr>
                <w:rFonts w:cs="Arial"/>
                <w:color w:val="000000"/>
                <w:sz w:val="20"/>
              </w:rPr>
              <w:t>Controlled through meter accuracy and calibration</w:t>
            </w:r>
          </w:p>
        </w:tc>
      </w:tr>
      <w:tr w:rsidR="005B411E" w14:paraId="3FD4DFE0" w14:textId="77777777">
        <w:tc>
          <w:tcPr>
            <w:tcW w:w="2348" w:type="dxa"/>
            <w:shd w:val="clear" w:color="auto" w:fill="E6E6E6"/>
          </w:tcPr>
          <w:p w14:paraId="48398C38"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62C522CC" w14:textId="77777777" w:rsidR="005B411E" w:rsidRDefault="005B411E">
            <w:pPr>
              <w:spacing w:before="60" w:after="60"/>
              <w:ind w:right="57"/>
              <w:rPr>
                <w:rFonts w:eastAsia="Arial" w:cs="Arial"/>
                <w:sz w:val="20"/>
              </w:rPr>
            </w:pPr>
            <w:r>
              <w:rPr>
                <w:rFonts w:eastAsia="Arial" w:cs="Arial"/>
                <w:sz w:val="20"/>
              </w:rPr>
              <w:t>-</w:t>
            </w:r>
          </w:p>
        </w:tc>
      </w:tr>
    </w:tbl>
    <w:p w14:paraId="649D6033"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4DF1C4C2" w14:textId="77777777">
        <w:tc>
          <w:tcPr>
            <w:tcW w:w="2348" w:type="dxa"/>
            <w:shd w:val="clear" w:color="auto" w:fill="E6E6E6"/>
          </w:tcPr>
          <w:p w14:paraId="04807DD7"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50685781" w14:textId="77777777" w:rsidR="005B411E" w:rsidRPr="00A52BDF"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Arial"/>
                        <w:sz w:val="20"/>
                      </w:rPr>
                    </m:ctrlPr>
                  </m:sSubPr>
                  <m:e>
                    <m:r>
                      <w:rPr>
                        <w:rFonts w:ascii="Cambria Math" w:eastAsia="Cambria Math" w:hAnsi="Cambria Math" w:cs="Arial"/>
                        <w:sz w:val="20"/>
                      </w:rPr>
                      <m:t>tEC</m:t>
                    </m:r>
                  </m:e>
                  <m:sub>
                    <m:r>
                      <w:rPr>
                        <w:rFonts w:ascii="Cambria Math" w:eastAsia="Cambria Math" w:hAnsi="Cambria Math" w:cs="Arial"/>
                        <w:sz w:val="20"/>
                      </w:rPr>
                      <m:t>proj</m:t>
                    </m:r>
                    <m:r>
                      <m:rPr>
                        <m:sty m:val="p"/>
                      </m:rPr>
                      <w:rPr>
                        <w:rFonts w:ascii="Cambria Math" w:eastAsia="Cambria Math" w:hAnsi="Cambria Math" w:cs="Arial"/>
                        <w:sz w:val="20"/>
                      </w:rPr>
                      <m:t>,</m:t>
                    </m:r>
                    <m:r>
                      <w:rPr>
                        <w:rFonts w:ascii="Cambria Math" w:eastAsia="Cambria Math" w:hAnsi="Cambria Math" w:cs="Arial"/>
                        <w:sz w:val="20"/>
                      </w:rPr>
                      <m:t>KPT</m:t>
                    </m:r>
                    <m:r>
                      <m:rPr>
                        <m:sty m:val="p"/>
                      </m:rPr>
                      <w:rPr>
                        <w:rFonts w:ascii="Cambria Math" w:eastAsia="Cambria Math" w:hAnsi="Cambria Math" w:cs="Arial"/>
                        <w:sz w:val="20"/>
                      </w:rPr>
                      <m:t>,</m:t>
                    </m:r>
                    <m:r>
                      <w:rPr>
                        <w:rFonts w:ascii="Cambria Math" w:eastAsia="Cambria Math" w:hAnsi="Cambria Math" w:cs="Arial"/>
                        <w:sz w:val="20"/>
                      </w:rPr>
                      <m:t>j</m:t>
                    </m:r>
                  </m:sub>
                </m:sSub>
              </m:oMath>
            </m:oMathPara>
          </w:p>
        </w:tc>
      </w:tr>
      <w:tr w:rsidR="005B411E" w14:paraId="172A1EBC" w14:textId="77777777">
        <w:tc>
          <w:tcPr>
            <w:tcW w:w="2348" w:type="dxa"/>
            <w:shd w:val="clear" w:color="auto" w:fill="E6E6E6"/>
          </w:tcPr>
          <w:p w14:paraId="4F161899" w14:textId="77777777" w:rsidR="005B411E" w:rsidRDefault="005B411E">
            <w:pPr>
              <w:spacing w:before="60" w:after="60"/>
              <w:ind w:right="57"/>
              <w:rPr>
                <w:rFonts w:eastAsia="Arial" w:cs="Arial"/>
                <w:sz w:val="20"/>
              </w:rPr>
            </w:pPr>
            <w:r>
              <w:rPr>
                <w:rFonts w:eastAsia="Arial" w:cs="Arial"/>
                <w:sz w:val="20"/>
              </w:rPr>
              <w:lastRenderedPageBreak/>
              <w:t>Description</w:t>
            </w:r>
          </w:p>
        </w:tc>
        <w:tc>
          <w:tcPr>
            <w:tcW w:w="7224" w:type="dxa"/>
            <w:gridSpan w:val="4"/>
          </w:tcPr>
          <w:p w14:paraId="1DBA826C" w14:textId="77777777" w:rsidR="005B411E" w:rsidRPr="001C7682" w:rsidRDefault="005B411E">
            <w:pPr>
              <w:rPr>
                <w:rFonts w:cs="Arial"/>
                <w:color w:val="000000"/>
                <w:sz w:val="20"/>
              </w:rPr>
            </w:pPr>
            <w:r w:rsidRPr="001C7682">
              <w:rPr>
                <w:rFonts w:eastAsia="Montserrat" w:cs="Arial"/>
                <w:sz w:val="20"/>
              </w:rPr>
              <w:t>Energy consumption of each fuel</w:t>
            </w:r>
            <w:r w:rsidRPr="00584530">
              <w:rPr>
                <w:rFonts w:eastAsia="Montserrat" w:cs="Arial"/>
                <w:i/>
                <w:sz w:val="20"/>
              </w:rPr>
              <w:t xml:space="preserve"> j</w:t>
            </w:r>
            <w:r w:rsidRPr="00016B87">
              <w:rPr>
                <w:rFonts w:eastAsia="Montserrat" w:cs="Arial"/>
                <w:sz w:val="20"/>
              </w:rPr>
              <w:t xml:space="preserve"> used in project households</w:t>
            </w:r>
            <w:r w:rsidRPr="00016B87">
              <w:rPr>
                <w:rFonts w:eastAsia="Montserrat" w:cs="Arial"/>
                <w:i/>
                <w:sz w:val="20"/>
              </w:rPr>
              <w:t xml:space="preserve"> </w:t>
            </w:r>
            <w:r w:rsidRPr="00016B87">
              <w:rPr>
                <w:rFonts w:eastAsia="Montserrat" w:cs="Arial"/>
                <w:sz w:val="20"/>
              </w:rPr>
              <w:t xml:space="preserve">from project KPT for CTEC projects. </w:t>
            </w:r>
          </w:p>
        </w:tc>
      </w:tr>
      <w:tr w:rsidR="005B411E" w14:paraId="3B7C70A1" w14:textId="77777777">
        <w:tc>
          <w:tcPr>
            <w:tcW w:w="2348" w:type="dxa"/>
            <w:shd w:val="clear" w:color="auto" w:fill="E6E6E6"/>
          </w:tcPr>
          <w:p w14:paraId="45E9E04C"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384EA0D2" w14:textId="77777777" w:rsidR="005B411E" w:rsidRPr="00BE6591" w:rsidRDefault="005B411E">
            <w:pPr>
              <w:rPr>
                <w:rFonts w:cs="Arial"/>
                <w:color w:val="000000"/>
                <w:sz w:val="20"/>
              </w:rPr>
            </w:pPr>
            <w:r>
              <w:rPr>
                <w:rFonts w:cs="Arial"/>
                <w:color w:val="000000"/>
                <w:sz w:val="20"/>
              </w:rPr>
              <w:t>TJ/(person*year)</w:t>
            </w:r>
          </w:p>
        </w:tc>
      </w:tr>
      <w:tr w:rsidR="005B411E" w14:paraId="1401FA31" w14:textId="77777777">
        <w:tc>
          <w:tcPr>
            <w:tcW w:w="2348" w:type="dxa"/>
            <w:shd w:val="clear" w:color="auto" w:fill="E6E6E6"/>
          </w:tcPr>
          <w:p w14:paraId="2FF9B03F"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18EB3FF9" w14:textId="789F151E" w:rsidR="005B411E" w:rsidRDefault="005B411E">
            <w:pPr>
              <w:spacing w:before="60" w:after="60"/>
              <w:ind w:right="57"/>
              <w:rPr>
                <w:rFonts w:eastAsia="Arial" w:cs="Arial"/>
                <w:sz w:val="20"/>
              </w:rPr>
            </w:pPr>
            <w:r>
              <w:rPr>
                <w:rFonts w:eastAsia="Arial" w:cs="Arial"/>
                <w:sz w:val="20"/>
              </w:rPr>
              <w:t xml:space="preserve">Eq. </w:t>
            </w:r>
            <w:hyperlink w:anchor="e13" w:history="1">
              <w:r w:rsidRPr="00224FE8">
                <w:rPr>
                  <w:rStyle w:val="Hyperlink"/>
                  <w:rFonts w:eastAsia="Arial" w:cs="Arial"/>
                  <w:sz w:val="20"/>
                </w:rPr>
                <w:t>13</w:t>
              </w:r>
            </w:hyperlink>
            <w:r w:rsidRPr="00584530">
              <w:rPr>
                <w:rFonts w:eastAsia="Arial" w:cs="Arial"/>
                <w:sz w:val="20"/>
              </w:rPr>
              <w:t xml:space="preserve"> and </w:t>
            </w:r>
            <w:hyperlink w:anchor="e15" w:history="1">
              <w:r w:rsidRPr="001A42C0">
                <w:rPr>
                  <w:rStyle w:val="Hyperlink"/>
                  <w:rFonts w:eastAsia="Arial" w:cs="Arial"/>
                  <w:sz w:val="20"/>
                </w:rPr>
                <w:t>15</w:t>
              </w:r>
            </w:hyperlink>
          </w:p>
        </w:tc>
      </w:tr>
      <w:tr w:rsidR="005B411E" w14:paraId="1CD16F39" w14:textId="77777777">
        <w:tc>
          <w:tcPr>
            <w:tcW w:w="2348" w:type="dxa"/>
            <w:vMerge w:val="restart"/>
            <w:shd w:val="clear" w:color="auto" w:fill="E6E6E6"/>
          </w:tcPr>
          <w:p w14:paraId="2AE7EF43"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1ED29F6E"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D1175B">
              <w:rPr>
                <w:rFonts w:cs="Arial"/>
                <w:sz w:val="20"/>
              </w:rPr>
              <w:t xml:space="preserve"> Baseline emissions / removals</w:t>
            </w:r>
          </w:p>
        </w:tc>
        <w:tc>
          <w:tcPr>
            <w:tcW w:w="2406" w:type="dxa"/>
            <w:tcBorders>
              <w:left w:val="nil"/>
              <w:bottom w:val="nil"/>
              <w:right w:val="nil"/>
            </w:tcBorders>
          </w:tcPr>
          <w:p w14:paraId="113AFA62"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D1175B">
              <w:rPr>
                <w:rFonts w:cs="Arial"/>
                <w:sz w:val="20"/>
              </w:rPr>
              <w:t xml:space="preserve"> Project emissions / removals</w:t>
            </w:r>
          </w:p>
        </w:tc>
        <w:tc>
          <w:tcPr>
            <w:tcW w:w="2410" w:type="dxa"/>
            <w:tcBorders>
              <w:left w:val="nil"/>
              <w:bottom w:val="nil"/>
            </w:tcBorders>
          </w:tcPr>
          <w:p w14:paraId="1EA436A7"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Leakage emissions</w:t>
            </w:r>
          </w:p>
        </w:tc>
      </w:tr>
      <w:tr w:rsidR="005B411E" w14:paraId="4D705AC6" w14:textId="77777777">
        <w:tc>
          <w:tcPr>
            <w:tcW w:w="2348" w:type="dxa"/>
            <w:vMerge/>
          </w:tcPr>
          <w:p w14:paraId="29A4AD48"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2D987940" w14:textId="77777777" w:rsidR="005B411E" w:rsidRDefault="005B411E">
            <w:pPr>
              <w:spacing w:before="60" w:after="60"/>
              <w:ind w:right="57"/>
              <w:rPr>
                <w:rFonts w:eastAsia="Arial" w:cs="Arial"/>
                <w:i/>
                <w:sz w:val="20"/>
              </w:rPr>
            </w:pPr>
          </w:p>
        </w:tc>
      </w:tr>
      <w:tr w:rsidR="00C81161" w14:paraId="17A70724" w14:textId="77777777">
        <w:tc>
          <w:tcPr>
            <w:tcW w:w="2348" w:type="dxa"/>
            <w:shd w:val="clear" w:color="auto" w:fill="E6E6E6"/>
          </w:tcPr>
          <w:p w14:paraId="0A0C7433" w14:textId="7DC9B948"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tcPr>
          <w:p w14:paraId="1AD27A35" w14:textId="468639F8" w:rsidR="00C81161" w:rsidRPr="007A135E" w:rsidRDefault="00C81161">
            <w:pPr>
              <w:rPr>
                <w:rFonts w:eastAsia="Montserrat" w:cs="Arial"/>
                <w:sz w:val="20"/>
              </w:rPr>
            </w:pPr>
            <w:r>
              <w:rPr>
                <w:rFonts w:eastAsia="Arial" w:cs="Arial"/>
                <w:sz w:val="20"/>
              </w:rPr>
              <w:t xml:space="preserve">Frequency of monitoring: </w:t>
            </w:r>
            <w:r>
              <w:rPr>
                <w:rFonts w:cs="Arial"/>
                <w:color w:val="000000"/>
                <w:sz w:val="20"/>
              </w:rPr>
              <w:t>Once per crediting period</w:t>
            </w:r>
          </w:p>
        </w:tc>
      </w:tr>
      <w:tr w:rsidR="005B411E" w14:paraId="7012E36E" w14:textId="77777777">
        <w:tc>
          <w:tcPr>
            <w:tcW w:w="2348" w:type="dxa"/>
            <w:shd w:val="clear" w:color="auto" w:fill="E6E6E6"/>
          </w:tcPr>
          <w:p w14:paraId="6A57458E"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tcPr>
          <w:p w14:paraId="31143A72" w14:textId="77777777" w:rsidR="005B411E" w:rsidRPr="00BE6591" w:rsidRDefault="005B411E">
            <w:pPr>
              <w:rPr>
                <w:rFonts w:eastAsia="Arial" w:cs="Arial"/>
                <w:sz w:val="18"/>
                <w:szCs w:val="18"/>
              </w:rPr>
            </w:pPr>
            <w:r w:rsidRPr="007A135E">
              <w:rPr>
                <w:rFonts w:eastAsia="Montserrat" w:cs="Arial"/>
                <w:sz w:val="20"/>
              </w:rPr>
              <w:t xml:space="preserve">CTEC projects that use tracked energy consumption and KPTs must collect data on all cookstoves operating in parallel with the project cookstove, from a representative sample of households and following the most recent version of the KPT protocol available at this link: </w:t>
            </w:r>
            <w:hyperlink r:id="rId60" w:history="1">
              <w:r w:rsidRPr="007A135E">
                <w:rPr>
                  <w:rStyle w:val="Hyperlink"/>
                  <w:rFonts w:eastAsia="Montserrat" w:cs="Arial"/>
                  <w:color w:val="0000FF" w:themeColor="hyperlink"/>
                  <w:sz w:val="20"/>
                </w:rPr>
                <w:t>https://cleancooking.org/</w:t>
              </w:r>
              <w:r w:rsidRPr="007A135E" w:rsidDel="00520606">
                <w:rPr>
                  <w:rStyle w:val="Hyperlink"/>
                  <w:rFonts w:eastAsia="Montserrat" w:cs="Arial"/>
                  <w:color w:val="0000FF" w:themeColor="hyperlink"/>
                  <w:sz w:val="20"/>
                </w:rPr>
                <w:t xml:space="preserve"> </w:t>
              </w:r>
              <w:r w:rsidRPr="007A135E">
                <w:rPr>
                  <w:rStyle w:val="Hyperlink"/>
                  <w:rFonts w:eastAsia="Montserrat" w:cs="Arial"/>
                  <w:color w:val="0000FF" w:themeColor="hyperlink"/>
                  <w:sz w:val="20"/>
                </w:rPr>
                <w:t>protocols/</w:t>
              </w:r>
            </w:hyperlink>
            <w:r w:rsidRPr="007A135E">
              <w:rPr>
                <w:rFonts w:eastAsia="Montserrat" w:cs="Arial"/>
                <w:color w:val="1163C1"/>
                <w:sz w:val="20"/>
              </w:rPr>
              <w:t xml:space="preserve"> </w:t>
            </w:r>
          </w:p>
        </w:tc>
      </w:tr>
      <w:tr w:rsidR="005B411E" w14:paraId="5375592B" w14:textId="77777777">
        <w:trPr>
          <w:trHeight w:val="107"/>
        </w:trPr>
        <w:tc>
          <w:tcPr>
            <w:tcW w:w="2348" w:type="dxa"/>
            <w:shd w:val="clear" w:color="auto" w:fill="E6E6E6"/>
          </w:tcPr>
          <w:p w14:paraId="1FABDFC2"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1FB3E56D"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40037F58" w14:textId="77777777">
        <w:trPr>
          <w:trHeight w:val="107"/>
        </w:trPr>
        <w:tc>
          <w:tcPr>
            <w:tcW w:w="2348" w:type="dxa"/>
            <w:vMerge w:val="restart"/>
            <w:shd w:val="clear" w:color="auto" w:fill="E6E6E6"/>
          </w:tcPr>
          <w:p w14:paraId="57EAA6E7"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6011D56A"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27353A1F" w14:textId="77777777" w:rsidR="005B411E" w:rsidRDefault="005B411E">
            <w:pPr>
              <w:spacing w:before="60" w:after="60"/>
              <w:ind w:right="57"/>
              <w:rPr>
                <w:rFonts w:eastAsia="Arial" w:cs="Arial"/>
                <w:sz w:val="20"/>
              </w:rPr>
            </w:pPr>
            <w:r>
              <w:rPr>
                <w:rFonts w:eastAsia="Arial" w:cs="Arial"/>
                <w:sz w:val="20"/>
              </w:rPr>
              <w:t>KPTs</w:t>
            </w:r>
          </w:p>
        </w:tc>
      </w:tr>
      <w:tr w:rsidR="005B411E" w14:paraId="4FF7D879" w14:textId="77777777">
        <w:trPr>
          <w:trHeight w:val="104"/>
        </w:trPr>
        <w:tc>
          <w:tcPr>
            <w:tcW w:w="2348" w:type="dxa"/>
            <w:vMerge/>
          </w:tcPr>
          <w:p w14:paraId="613922C4"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67F7A433"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2263210E" w14:textId="5AABD732" w:rsidR="005B411E" w:rsidRDefault="005B411E">
            <w:pPr>
              <w:spacing w:before="60" w:after="60"/>
              <w:ind w:right="57"/>
              <w:rPr>
                <w:rFonts w:eastAsia="Arial" w:cs="Arial"/>
                <w:sz w:val="20"/>
              </w:rPr>
            </w:pPr>
            <w:r>
              <w:rPr>
                <w:rFonts w:eastAsia="Arial" w:cs="Arial"/>
                <w:sz w:val="20"/>
              </w:rPr>
              <w:t xml:space="preserve">See </w:t>
            </w:r>
            <w:r w:rsidR="00FB4901">
              <w:rPr>
                <w:rFonts w:eastAsia="Arial" w:cs="Arial"/>
                <w:sz w:val="20"/>
              </w:rPr>
              <w:t>Treatment of uncertainty</w:t>
            </w:r>
          </w:p>
        </w:tc>
      </w:tr>
      <w:tr w:rsidR="005B411E" w14:paraId="3CC037C4" w14:textId="77777777">
        <w:trPr>
          <w:trHeight w:val="104"/>
        </w:trPr>
        <w:tc>
          <w:tcPr>
            <w:tcW w:w="2348" w:type="dxa"/>
            <w:vMerge/>
          </w:tcPr>
          <w:p w14:paraId="7238713F"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7A5D6F2D"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6D7F03C3" w14:textId="77777777" w:rsidR="005B411E" w:rsidRDefault="005B411E">
            <w:pPr>
              <w:tabs>
                <w:tab w:val="left" w:pos="567"/>
              </w:tabs>
              <w:spacing w:before="20" w:after="20"/>
              <w:ind w:right="161"/>
              <w:rPr>
                <w:rFonts w:ascii="Calibri" w:eastAsia="Calibri" w:hAnsi="Calibri" w:cs="Calibri"/>
                <w:i/>
                <w:szCs w:val="22"/>
              </w:rPr>
            </w:pPr>
            <w:r>
              <w:rPr>
                <w:sz w:val="20"/>
              </w:rPr>
              <w:t>-</w:t>
            </w:r>
          </w:p>
        </w:tc>
      </w:tr>
      <w:tr w:rsidR="005B411E" w14:paraId="4825D154" w14:textId="77777777">
        <w:trPr>
          <w:trHeight w:val="104"/>
        </w:trPr>
        <w:tc>
          <w:tcPr>
            <w:tcW w:w="2348" w:type="dxa"/>
            <w:vMerge/>
          </w:tcPr>
          <w:p w14:paraId="352831A5"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62055FCE"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03394C03"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34144D52" w14:textId="77777777">
        <w:tc>
          <w:tcPr>
            <w:tcW w:w="2348" w:type="dxa"/>
            <w:shd w:val="clear" w:color="auto" w:fill="E6E6E6"/>
          </w:tcPr>
          <w:p w14:paraId="434A1613"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0C3DA5F5" w14:textId="63AC2608" w:rsidR="005B411E" w:rsidRPr="00BE6591" w:rsidRDefault="004A6201">
            <w:pPr>
              <w:tabs>
                <w:tab w:val="left" w:pos="567"/>
              </w:tabs>
              <w:spacing w:before="20" w:after="20"/>
              <w:ind w:right="159"/>
              <w:rPr>
                <w:rFonts w:eastAsia="Calibri" w:cs="Arial"/>
                <w:i/>
                <w:sz w:val="20"/>
              </w:rPr>
            </w:pPr>
            <w:r w:rsidRPr="004A6201">
              <w:rPr>
                <w:rFonts w:cs="Arial"/>
                <w:color w:val="000000"/>
                <w:sz w:val="20"/>
              </w:rPr>
              <w:t>Weekly scale calibration (±1%), documented outlier handling, and inclusion only of households with ≥3 valid days of data collected within two weeks.</w:t>
            </w:r>
          </w:p>
        </w:tc>
      </w:tr>
      <w:tr w:rsidR="00712587" w14:paraId="09E5E63D" w14:textId="77777777">
        <w:tc>
          <w:tcPr>
            <w:tcW w:w="2348" w:type="dxa"/>
            <w:shd w:val="clear" w:color="auto" w:fill="E6E6E6"/>
          </w:tcPr>
          <w:p w14:paraId="04A3A23F" w14:textId="139117FB" w:rsidR="00712587" w:rsidRDefault="00BF24D4" w:rsidP="00BF24D4">
            <w:pPr>
              <w:spacing w:before="60" w:after="60"/>
              <w:ind w:right="57"/>
              <w:jc w:val="left"/>
              <w:rPr>
                <w:rFonts w:eastAsia="Arial" w:cs="Arial"/>
                <w:sz w:val="20"/>
              </w:rPr>
            </w:pPr>
            <w:r w:rsidRPr="00BF24D4">
              <w:rPr>
                <w:rFonts w:eastAsia="Arial" w:cs="Arial"/>
                <w:sz w:val="20"/>
              </w:rPr>
              <w:t>Treatment of uncertainty</w:t>
            </w:r>
          </w:p>
        </w:tc>
        <w:tc>
          <w:tcPr>
            <w:tcW w:w="7224" w:type="dxa"/>
            <w:gridSpan w:val="4"/>
          </w:tcPr>
          <w:p w14:paraId="1493EC88" w14:textId="0F73D2DA" w:rsidR="00712587" w:rsidRPr="00BF24D4" w:rsidRDefault="00FB4901" w:rsidP="00BF24D4">
            <w:pPr>
              <w:tabs>
                <w:tab w:val="left" w:pos="567"/>
              </w:tabs>
              <w:spacing w:before="20" w:after="20"/>
              <w:ind w:right="159"/>
              <w:rPr>
                <w:rFonts w:cs="Arial"/>
                <w:i/>
                <w:iCs/>
                <w:color w:val="4F81BD" w:themeColor="accent1"/>
                <w:sz w:val="20"/>
              </w:rPr>
            </w:pPr>
            <w:r w:rsidRPr="7D956FC6">
              <w:rPr>
                <w:rFonts w:cs="Arial"/>
                <w:color w:val="000000" w:themeColor="text1"/>
                <w:sz w:val="20"/>
              </w:rPr>
              <w:t xml:space="preserve">The </w:t>
            </w:r>
            <w:r w:rsidR="5A02CEAB" w:rsidRPr="7D956FC6">
              <w:rPr>
                <w:rFonts w:cs="Arial"/>
                <w:color w:val="000000" w:themeColor="text1"/>
                <w:sz w:val="20"/>
              </w:rPr>
              <w:t>monitoring</w:t>
            </w:r>
            <w:r w:rsidRPr="7D956FC6">
              <w:rPr>
                <w:rFonts w:cs="Arial"/>
                <w:color w:val="000000" w:themeColor="text1"/>
                <w:sz w:val="20"/>
              </w:rPr>
              <w:t xml:space="preserve"> must meet the minimum confidence and precision of 95/10 for the target parameter of average annual energy consumption per person. The 95/10 rule is applied to the sum of energy consumption across fuels </w:t>
            </w:r>
            <w:r w:rsidRPr="00BE6591">
              <w:rPr>
                <w:rFonts w:eastAsia="Montserrat" w:cs="Arial"/>
                <w:sz w:val="20"/>
              </w:rPr>
              <w:t xml:space="preserve">(see parameter </w:t>
            </w:r>
            <w:r w:rsidRPr="00BE6591">
              <w:rPr>
                <w:rFonts w:eastAsia="Montserrat" w:cs="Arial"/>
                <w:color w:val="000000" w:themeColor="text1"/>
                <w:sz w:val="20"/>
              </w:rPr>
              <w:t xml:space="preserve">∑ </w:t>
            </w:r>
            <m:oMath>
              <m:sSub>
                <m:sSubPr>
                  <m:ctrlPr>
                    <w:rPr>
                      <w:rFonts w:ascii="Cambria Math" w:eastAsia="Cambria Math" w:hAnsi="Cambria Math" w:cs="Cambria Math"/>
                    </w:rPr>
                  </m:ctrlPr>
                </m:sSubPr>
                <m:e>
                  <m:r>
                    <w:rPr>
                      <w:rFonts w:ascii="Cambria Math" w:eastAsia="Cambria Math" w:hAnsi="Cambria Math" w:cs="Cambria Math"/>
                    </w:rPr>
                    <m:t>tEC</m:t>
                  </m:r>
                </m:e>
                <m:sub>
                  <m:r>
                    <w:rPr>
                      <w:rFonts w:ascii="Cambria Math" w:eastAsia="Cambria Math" w:hAnsi="Cambria Math" w:cs="Cambria Math"/>
                    </w:rPr>
                    <m:t>base,KPT,i</m:t>
                  </m:r>
                </m:sub>
              </m:sSub>
            </m:oMath>
            <w:r>
              <w:rPr>
                <w:rFonts w:eastAsia="Montserrat" w:cs="Arial"/>
              </w:rPr>
              <w:t xml:space="preserve"> </w:t>
            </w:r>
            <w:r w:rsidRPr="009E42A3">
              <w:rPr>
                <w:rFonts w:eastAsia="Montserrat" w:cs="Arial"/>
                <w:color w:val="000000" w:themeColor="text1"/>
                <w:sz w:val="20"/>
              </w:rPr>
              <w:t xml:space="preserve">in </w:t>
            </w:r>
            <w:hyperlink w:anchor="A10" w:history="1">
              <w:r w:rsidRPr="009E42A3">
                <w:rPr>
                  <w:rStyle w:val="Hyperlink"/>
                  <w:rFonts w:eastAsia="Montserrat" w:cs="Arial"/>
                  <w:sz w:val="20"/>
                </w:rPr>
                <w:t>Appendix 10</w:t>
              </w:r>
            </w:hyperlink>
            <w:r w:rsidRPr="009E42A3">
              <w:rPr>
                <w:rFonts w:eastAsia="Montserrat" w:cs="Arial"/>
                <w:sz w:val="20"/>
              </w:rPr>
              <w:t>, which</w:t>
            </w:r>
            <w:r w:rsidRPr="00BE6591">
              <w:rPr>
                <w:rFonts w:eastAsia="Montserrat" w:cs="Arial"/>
                <w:sz w:val="20"/>
              </w:rPr>
              <w:t xml:space="preserve"> subsumes this parameter).</w:t>
            </w:r>
            <w:r w:rsidRPr="7D956FC6">
              <w:rPr>
                <w:rFonts w:cs="Arial"/>
                <w:color w:val="000000" w:themeColor="text1"/>
                <w:sz w:val="20"/>
              </w:rPr>
              <w:t xml:space="preserve"> If the target precision is not met, the project proponent shall take the conservative bounds of the confidence intervals as the parameter value, proportionately applied across all the fuels used. The conservative bounds are those that produce a lower CO</w:t>
            </w:r>
            <w:r w:rsidRPr="7D956FC6">
              <w:rPr>
                <w:rFonts w:cs="Arial"/>
                <w:color w:val="000000" w:themeColor="text1"/>
                <w:sz w:val="20"/>
                <w:vertAlign w:val="subscript"/>
              </w:rPr>
              <w:t>2</w:t>
            </w:r>
            <w:r w:rsidRPr="7D956FC6">
              <w:rPr>
                <w:rFonts w:cs="Arial"/>
                <w:color w:val="000000" w:themeColor="text1"/>
                <w:sz w:val="20"/>
              </w:rPr>
              <w:t>e emissions reduction estimate.</w:t>
            </w:r>
          </w:p>
        </w:tc>
      </w:tr>
      <w:tr w:rsidR="005B411E" w14:paraId="7D14E6AD" w14:textId="77777777">
        <w:tc>
          <w:tcPr>
            <w:tcW w:w="2348" w:type="dxa"/>
            <w:shd w:val="clear" w:color="auto" w:fill="E6E6E6"/>
          </w:tcPr>
          <w:p w14:paraId="09E707CD"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7F23021C" w14:textId="77777777" w:rsidR="005B411E" w:rsidRDefault="005B411E">
            <w:pPr>
              <w:spacing w:before="60" w:after="60"/>
              <w:ind w:right="57"/>
              <w:rPr>
                <w:rFonts w:eastAsia="Arial" w:cs="Arial"/>
                <w:sz w:val="20"/>
              </w:rPr>
            </w:pPr>
            <w:r>
              <w:rPr>
                <w:rFonts w:eastAsia="Arial" w:cs="Arial"/>
                <w:sz w:val="20"/>
              </w:rPr>
              <w:t>-</w:t>
            </w:r>
          </w:p>
        </w:tc>
      </w:tr>
    </w:tbl>
    <w:p w14:paraId="25E27A74"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5F56B345" w14:textId="77777777">
        <w:tc>
          <w:tcPr>
            <w:tcW w:w="2348" w:type="dxa"/>
            <w:shd w:val="clear" w:color="auto" w:fill="E6E6E6"/>
          </w:tcPr>
          <w:p w14:paraId="7C807480"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670253D3" w14:textId="77777777" w:rsidR="005B411E" w:rsidRPr="00384152"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Arial"/>
                        <w:sz w:val="20"/>
                      </w:rPr>
                    </m:ctrlPr>
                  </m:sSubPr>
                  <m:e>
                    <m:r>
                      <w:rPr>
                        <w:rFonts w:ascii="Cambria Math" w:eastAsia="Cambria Math" w:hAnsi="Cambria Math" w:cs="Arial"/>
                        <w:sz w:val="20"/>
                      </w:rPr>
                      <m:t>tEC</m:t>
                    </m:r>
                  </m:e>
                  <m:sub>
                    <m:r>
                      <w:rPr>
                        <w:rFonts w:ascii="Cambria Math" w:eastAsia="Cambria Math" w:hAnsi="Cambria Math" w:cs="Arial"/>
                        <w:sz w:val="20"/>
                      </w:rPr>
                      <m:t>proj,KPT,j-project</m:t>
                    </m:r>
                  </m:sub>
                </m:sSub>
              </m:oMath>
            </m:oMathPara>
          </w:p>
        </w:tc>
      </w:tr>
      <w:tr w:rsidR="005B411E" w14:paraId="23057E98" w14:textId="77777777">
        <w:tc>
          <w:tcPr>
            <w:tcW w:w="2348" w:type="dxa"/>
            <w:shd w:val="clear" w:color="auto" w:fill="E6E6E6"/>
          </w:tcPr>
          <w:p w14:paraId="1C28544E"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5236FFF0" w14:textId="77777777" w:rsidR="005B411E" w:rsidRPr="00BE6591" w:rsidRDefault="005B411E">
            <w:pPr>
              <w:rPr>
                <w:rFonts w:cs="Arial"/>
                <w:color w:val="000000"/>
                <w:sz w:val="20"/>
              </w:rPr>
            </w:pPr>
            <w:r w:rsidRPr="00584530">
              <w:rPr>
                <w:rFonts w:eastAsia="Montserrat" w:cs="Arial"/>
                <w:sz w:val="21"/>
                <w:szCs w:val="21"/>
              </w:rPr>
              <w:t xml:space="preserve">Tracked energy consumption of project fuel </w:t>
            </w:r>
            <w:r w:rsidRPr="00584530">
              <w:rPr>
                <w:rFonts w:eastAsia="Montserrat" w:cs="Arial"/>
                <w:i/>
                <w:iCs/>
                <w:sz w:val="21"/>
                <w:szCs w:val="21"/>
              </w:rPr>
              <w:t>j</w:t>
            </w:r>
            <w:r w:rsidRPr="00584530">
              <w:rPr>
                <w:rFonts w:eastAsia="Montserrat" w:cs="Arial"/>
                <w:sz w:val="21"/>
                <w:szCs w:val="21"/>
              </w:rPr>
              <w:t xml:space="preserve"> for project cookstove only based on project KPT</w:t>
            </w:r>
          </w:p>
        </w:tc>
      </w:tr>
      <w:tr w:rsidR="005B411E" w14:paraId="0EBB2455" w14:textId="77777777">
        <w:tc>
          <w:tcPr>
            <w:tcW w:w="2348" w:type="dxa"/>
            <w:shd w:val="clear" w:color="auto" w:fill="E6E6E6"/>
          </w:tcPr>
          <w:p w14:paraId="24D64FFB"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4CC723F4" w14:textId="77777777" w:rsidR="005B411E" w:rsidRPr="00BE6591" w:rsidRDefault="005B411E">
            <w:pPr>
              <w:rPr>
                <w:rFonts w:cs="Arial"/>
                <w:color w:val="000000"/>
                <w:sz w:val="20"/>
              </w:rPr>
            </w:pPr>
            <w:r>
              <w:rPr>
                <w:rFonts w:cs="Arial"/>
                <w:color w:val="000000"/>
                <w:sz w:val="20"/>
              </w:rPr>
              <w:t>TJ/(person*year) or (in the case of electricity) kWh/(person*year)</w:t>
            </w:r>
          </w:p>
        </w:tc>
      </w:tr>
      <w:tr w:rsidR="005B411E" w14:paraId="2BB1E2B6" w14:textId="77777777">
        <w:tc>
          <w:tcPr>
            <w:tcW w:w="2348" w:type="dxa"/>
            <w:shd w:val="clear" w:color="auto" w:fill="E6E6E6"/>
          </w:tcPr>
          <w:p w14:paraId="3C6D7871"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4EB25D4B" w14:textId="76BE3531" w:rsidR="005B411E" w:rsidRDefault="005B411E">
            <w:pPr>
              <w:spacing w:before="60" w:after="60"/>
              <w:ind w:right="57"/>
              <w:rPr>
                <w:rFonts w:eastAsia="Arial" w:cs="Arial"/>
                <w:sz w:val="20"/>
              </w:rPr>
            </w:pPr>
            <w:r>
              <w:rPr>
                <w:rFonts w:eastAsia="Arial" w:cs="Arial"/>
                <w:sz w:val="20"/>
              </w:rPr>
              <w:t xml:space="preserve">Eq. </w:t>
            </w:r>
            <w:hyperlink w:anchor="e10" w:history="1">
              <w:r w:rsidRPr="001A42C0">
                <w:rPr>
                  <w:rStyle w:val="Hyperlink"/>
                  <w:rFonts w:eastAsia="Arial" w:cs="Arial"/>
                  <w:sz w:val="20"/>
                </w:rPr>
                <w:t>10</w:t>
              </w:r>
            </w:hyperlink>
            <w:r w:rsidRPr="00584530">
              <w:rPr>
                <w:rFonts w:eastAsia="Arial" w:cs="Arial"/>
                <w:sz w:val="20"/>
              </w:rPr>
              <w:t xml:space="preserve"> and </w:t>
            </w:r>
            <w:hyperlink w:anchor="e12" w:history="1">
              <w:r w:rsidRPr="001A42C0">
                <w:rPr>
                  <w:rStyle w:val="Hyperlink"/>
                  <w:rFonts w:eastAsia="Arial" w:cs="Arial"/>
                  <w:sz w:val="20"/>
                </w:rPr>
                <w:t>12</w:t>
              </w:r>
            </w:hyperlink>
          </w:p>
        </w:tc>
      </w:tr>
      <w:tr w:rsidR="005B411E" w14:paraId="3C87B719" w14:textId="77777777">
        <w:tc>
          <w:tcPr>
            <w:tcW w:w="2348" w:type="dxa"/>
            <w:vMerge w:val="restart"/>
            <w:shd w:val="clear" w:color="auto" w:fill="E6E6E6"/>
          </w:tcPr>
          <w:p w14:paraId="62531923"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28F83652"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D1175B">
              <w:rPr>
                <w:rFonts w:cs="Arial"/>
                <w:sz w:val="20"/>
              </w:rPr>
              <w:t xml:space="preserve"> Baseline emissions / removals</w:t>
            </w:r>
          </w:p>
        </w:tc>
        <w:tc>
          <w:tcPr>
            <w:tcW w:w="2406" w:type="dxa"/>
            <w:tcBorders>
              <w:left w:val="nil"/>
              <w:bottom w:val="nil"/>
              <w:right w:val="nil"/>
            </w:tcBorders>
          </w:tcPr>
          <w:p w14:paraId="5548C320"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D1175B">
              <w:rPr>
                <w:rFonts w:cs="Arial"/>
                <w:sz w:val="20"/>
              </w:rPr>
              <w:t xml:space="preserve"> Project emissions / removals</w:t>
            </w:r>
          </w:p>
        </w:tc>
        <w:tc>
          <w:tcPr>
            <w:tcW w:w="2410" w:type="dxa"/>
            <w:tcBorders>
              <w:left w:val="nil"/>
              <w:bottom w:val="nil"/>
            </w:tcBorders>
          </w:tcPr>
          <w:p w14:paraId="63728C92"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D1175B">
              <w:rPr>
                <w:rFonts w:cs="Arial"/>
                <w:sz w:val="20"/>
              </w:rPr>
              <w:t xml:space="preserve"> Leakage emissions</w:t>
            </w:r>
          </w:p>
        </w:tc>
      </w:tr>
      <w:tr w:rsidR="005B411E" w14:paraId="6454AD2F" w14:textId="77777777">
        <w:tc>
          <w:tcPr>
            <w:tcW w:w="2348" w:type="dxa"/>
            <w:vMerge/>
          </w:tcPr>
          <w:p w14:paraId="3D880FCD"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27D2FD85" w14:textId="77777777" w:rsidR="005B411E" w:rsidRDefault="005B411E">
            <w:pPr>
              <w:spacing w:before="60" w:after="60"/>
              <w:ind w:right="57"/>
              <w:rPr>
                <w:rFonts w:eastAsia="Arial" w:cs="Arial"/>
                <w:i/>
                <w:sz w:val="20"/>
              </w:rPr>
            </w:pPr>
          </w:p>
        </w:tc>
      </w:tr>
      <w:tr w:rsidR="00C81161" w14:paraId="74B274B1" w14:textId="77777777">
        <w:tc>
          <w:tcPr>
            <w:tcW w:w="2348" w:type="dxa"/>
            <w:shd w:val="clear" w:color="auto" w:fill="E6E6E6"/>
          </w:tcPr>
          <w:p w14:paraId="14ECC0D0" w14:textId="7D33900D" w:rsidR="00C81161" w:rsidRDefault="00C81161" w:rsidP="00BF24D4">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tcPr>
          <w:p w14:paraId="59AD9ED0" w14:textId="47438F5B" w:rsidR="00C81161" w:rsidRPr="007A135E" w:rsidRDefault="00C81161">
            <w:pPr>
              <w:rPr>
                <w:rFonts w:eastAsia="Montserrat" w:cs="Arial"/>
                <w:sz w:val="20"/>
              </w:rPr>
            </w:pPr>
            <w:r>
              <w:rPr>
                <w:rFonts w:eastAsia="Arial" w:cs="Arial"/>
                <w:sz w:val="20"/>
              </w:rPr>
              <w:t xml:space="preserve">Frequency of monitoring: </w:t>
            </w:r>
            <w:r>
              <w:rPr>
                <w:rFonts w:cs="Arial"/>
                <w:color w:val="000000"/>
                <w:sz w:val="20"/>
              </w:rPr>
              <w:t>Once per crediting period</w:t>
            </w:r>
          </w:p>
        </w:tc>
      </w:tr>
      <w:tr w:rsidR="005B411E" w14:paraId="05E17D00" w14:textId="77777777">
        <w:tc>
          <w:tcPr>
            <w:tcW w:w="2348" w:type="dxa"/>
            <w:shd w:val="clear" w:color="auto" w:fill="E6E6E6"/>
          </w:tcPr>
          <w:p w14:paraId="1F84C40F" w14:textId="77777777" w:rsidR="005B411E" w:rsidRDefault="005B411E" w:rsidP="00BF24D4">
            <w:pPr>
              <w:spacing w:before="60" w:after="60"/>
              <w:ind w:right="57"/>
              <w:jc w:val="left"/>
              <w:rPr>
                <w:rFonts w:eastAsia="Arial" w:cs="Arial"/>
                <w:sz w:val="20"/>
              </w:rPr>
            </w:pPr>
            <w:r>
              <w:rPr>
                <w:rFonts w:eastAsia="Arial" w:cs="Arial"/>
                <w:sz w:val="20"/>
              </w:rPr>
              <w:lastRenderedPageBreak/>
              <w:t>Measurement methods and procedures</w:t>
            </w:r>
          </w:p>
        </w:tc>
        <w:tc>
          <w:tcPr>
            <w:tcW w:w="7224" w:type="dxa"/>
            <w:gridSpan w:val="4"/>
            <w:tcBorders>
              <w:bottom w:val="single" w:sz="4" w:space="0" w:color="000000" w:themeColor="text1"/>
            </w:tcBorders>
          </w:tcPr>
          <w:p w14:paraId="43624113" w14:textId="77777777" w:rsidR="005B411E" w:rsidRPr="007A135E" w:rsidRDefault="005B411E">
            <w:pPr>
              <w:rPr>
                <w:rFonts w:eastAsia="Montserrat" w:cs="Arial"/>
                <w:sz w:val="20"/>
              </w:rPr>
            </w:pPr>
            <w:r w:rsidRPr="007A135E">
              <w:rPr>
                <w:rFonts w:eastAsia="Montserrat" w:cs="Arial"/>
                <w:sz w:val="20"/>
              </w:rPr>
              <w:t xml:space="preserve">CTEC projects that use tracked energy consumption and KPTs must collect data on all cookstoves operating in parallel with the project cookstove, from a representative sample of households and following the most recent version of the KPT protocol available at this link: </w:t>
            </w:r>
            <w:hyperlink r:id="rId61" w:history="1">
              <w:r w:rsidRPr="007A135E">
                <w:rPr>
                  <w:rStyle w:val="Hyperlink"/>
                  <w:rFonts w:eastAsia="Montserrat" w:cs="Arial"/>
                  <w:color w:val="0000FF" w:themeColor="hyperlink"/>
                  <w:sz w:val="20"/>
                </w:rPr>
                <w:t>https://cleancooking.org/</w:t>
              </w:r>
              <w:r w:rsidRPr="007A135E" w:rsidDel="00520606">
                <w:rPr>
                  <w:rStyle w:val="Hyperlink"/>
                  <w:rFonts w:eastAsia="Montserrat" w:cs="Arial"/>
                  <w:color w:val="0000FF" w:themeColor="hyperlink"/>
                  <w:sz w:val="20"/>
                </w:rPr>
                <w:t xml:space="preserve"> </w:t>
              </w:r>
              <w:r w:rsidRPr="007A135E">
                <w:rPr>
                  <w:rStyle w:val="Hyperlink"/>
                  <w:rFonts w:eastAsia="Montserrat" w:cs="Arial"/>
                  <w:color w:val="0000FF" w:themeColor="hyperlink"/>
                  <w:sz w:val="20"/>
                </w:rPr>
                <w:t>protocols/</w:t>
              </w:r>
            </w:hyperlink>
            <w:r w:rsidRPr="007A135E">
              <w:rPr>
                <w:rFonts w:eastAsia="Montserrat" w:cs="Arial"/>
                <w:color w:val="1163C1"/>
                <w:sz w:val="20"/>
              </w:rPr>
              <w:t xml:space="preserve"> </w:t>
            </w:r>
          </w:p>
          <w:p w14:paraId="2B6756A3" w14:textId="77777777" w:rsidR="005B411E" w:rsidRPr="007A135E" w:rsidRDefault="005B411E">
            <w:pPr>
              <w:rPr>
                <w:rFonts w:eastAsia="Montserrat" w:cs="Arial"/>
                <w:sz w:val="20"/>
              </w:rPr>
            </w:pPr>
          </w:p>
          <w:p w14:paraId="367371CC" w14:textId="77777777" w:rsidR="005B411E" w:rsidRPr="00BE6591" w:rsidRDefault="00000000">
            <w:pPr>
              <w:spacing w:before="60" w:after="60"/>
              <w:ind w:right="57"/>
              <w:rPr>
                <w:rFonts w:eastAsia="Arial" w:cs="Arial"/>
                <w:sz w:val="18"/>
                <w:szCs w:val="18"/>
              </w:rPr>
            </w:pPr>
            <m:oMath>
              <m:sSub>
                <m:sSubPr>
                  <m:ctrlPr>
                    <w:rPr>
                      <w:rFonts w:ascii="Cambria Math" w:eastAsia="Cambria Math" w:hAnsi="Cambria Math" w:cs="Arial"/>
                      <w:sz w:val="20"/>
                    </w:rPr>
                  </m:ctrlPr>
                </m:sSubPr>
                <m:e>
                  <m:r>
                    <w:rPr>
                      <w:rFonts w:ascii="Cambria Math" w:eastAsia="Cambria Math" w:hAnsi="Cambria Math" w:cs="Arial"/>
                      <w:sz w:val="20"/>
                    </w:rPr>
                    <m:t>EC</m:t>
                  </m:r>
                </m:e>
                <m:sub>
                  <m:r>
                    <w:rPr>
                      <w:rFonts w:ascii="Cambria Math" w:eastAsia="Cambria Math" w:hAnsi="Cambria Math" w:cs="Arial"/>
                      <w:sz w:val="20"/>
                    </w:rPr>
                    <m:t>proj,KPT,j-project</m:t>
                  </m:r>
                </m:sub>
              </m:sSub>
            </m:oMath>
            <w:r w:rsidR="005B411E" w:rsidRPr="007A135E">
              <w:rPr>
                <w:rFonts w:eastAsia="Montserrat" w:cs="Arial"/>
                <w:sz w:val="20"/>
              </w:rPr>
              <w:t xml:space="preserve"> is extracted from the same measurements </w:t>
            </w:r>
            <w:r w:rsidR="005B411E">
              <w:rPr>
                <w:rFonts w:eastAsia="Montserrat" w:cs="Arial"/>
                <w:sz w:val="20"/>
              </w:rPr>
              <w:t xml:space="preserve">as the ones used to obtain </w:t>
            </w:r>
            <m:oMath>
              <m:sSub>
                <m:sSubPr>
                  <m:ctrlPr>
                    <w:rPr>
                      <w:rFonts w:ascii="Cambria Math" w:eastAsia="Cambria Math" w:hAnsi="Cambria Math" w:cs="Arial"/>
                      <w:sz w:val="20"/>
                    </w:rPr>
                  </m:ctrlPr>
                </m:sSubPr>
                <m:e>
                  <m:r>
                    <w:rPr>
                      <w:rFonts w:ascii="Cambria Math" w:eastAsia="Cambria Math" w:hAnsi="Cambria Math" w:cs="Arial"/>
                      <w:sz w:val="20"/>
                    </w:rPr>
                    <m:t>EC</m:t>
                  </m:r>
                </m:e>
                <m:sub>
                  <m:r>
                    <w:rPr>
                      <w:rFonts w:ascii="Cambria Math" w:eastAsia="Cambria Math" w:hAnsi="Cambria Math" w:cs="Arial"/>
                      <w:sz w:val="20"/>
                    </w:rPr>
                    <m:t>proj,KPT,j</m:t>
                  </m:r>
                </m:sub>
              </m:sSub>
            </m:oMath>
            <w:r w:rsidR="005B411E">
              <w:rPr>
                <w:rFonts w:eastAsia="Montserrat" w:cs="Arial"/>
                <w:sz w:val="20"/>
              </w:rPr>
              <w:t xml:space="preserve"> </w:t>
            </w:r>
            <w:r w:rsidR="005B411E" w:rsidRPr="007A135E">
              <w:rPr>
                <w:rFonts w:eastAsia="Montserrat" w:cs="Arial"/>
                <w:sz w:val="20"/>
              </w:rPr>
              <w:t xml:space="preserve">and comprises energy consumption of project fuel </w:t>
            </w:r>
            <w:r w:rsidR="005B411E" w:rsidRPr="007A135E">
              <w:rPr>
                <w:rFonts w:eastAsia="Montserrat" w:cs="Arial"/>
                <w:i/>
                <w:sz w:val="20"/>
              </w:rPr>
              <w:t>j</w:t>
            </w:r>
            <w:r w:rsidR="005B411E" w:rsidRPr="007A135E">
              <w:rPr>
                <w:rFonts w:eastAsia="Montserrat" w:cs="Arial"/>
                <w:sz w:val="20"/>
              </w:rPr>
              <w:t xml:space="preserve"> for projec</w:t>
            </w:r>
            <w:r w:rsidR="005B411E" w:rsidRPr="007A135E">
              <w:rPr>
                <w:rFonts w:eastAsia="Montserrat" w:cs="Arial"/>
                <w:i/>
                <w:sz w:val="20"/>
              </w:rPr>
              <w:t>t</w:t>
            </w:r>
            <w:r w:rsidR="005B411E" w:rsidRPr="007A135E">
              <w:rPr>
                <w:rFonts w:eastAsia="Montserrat" w:cs="Arial"/>
                <w:sz w:val="20"/>
              </w:rPr>
              <w:t xml:space="preserve"> cookstove only. It also may be expressed in kWh/(person*year) if the project-technology consumes electricity.</w:t>
            </w:r>
          </w:p>
        </w:tc>
      </w:tr>
      <w:tr w:rsidR="005B411E" w14:paraId="60745B4B" w14:textId="77777777">
        <w:trPr>
          <w:trHeight w:val="107"/>
        </w:trPr>
        <w:tc>
          <w:tcPr>
            <w:tcW w:w="2348" w:type="dxa"/>
            <w:shd w:val="clear" w:color="auto" w:fill="E6E6E6"/>
          </w:tcPr>
          <w:p w14:paraId="36850CF7"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294F40C4"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23909030" w14:textId="77777777">
        <w:trPr>
          <w:trHeight w:val="107"/>
        </w:trPr>
        <w:tc>
          <w:tcPr>
            <w:tcW w:w="2348" w:type="dxa"/>
            <w:vMerge w:val="restart"/>
            <w:shd w:val="clear" w:color="auto" w:fill="E6E6E6"/>
          </w:tcPr>
          <w:p w14:paraId="6ADF4002"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11A77EEC"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61BCD051" w14:textId="77777777" w:rsidR="005B411E" w:rsidRDefault="005B411E">
            <w:pPr>
              <w:spacing w:before="60" w:after="60"/>
              <w:ind w:right="57"/>
              <w:rPr>
                <w:rFonts w:eastAsia="Arial" w:cs="Arial"/>
                <w:sz w:val="20"/>
              </w:rPr>
            </w:pPr>
            <w:r>
              <w:rPr>
                <w:rFonts w:eastAsia="Arial" w:cs="Arial"/>
                <w:sz w:val="20"/>
              </w:rPr>
              <w:t>KPTs</w:t>
            </w:r>
          </w:p>
        </w:tc>
      </w:tr>
      <w:tr w:rsidR="005B411E" w14:paraId="7F2ECE9A" w14:textId="77777777">
        <w:trPr>
          <w:trHeight w:val="104"/>
        </w:trPr>
        <w:tc>
          <w:tcPr>
            <w:tcW w:w="2348" w:type="dxa"/>
            <w:vMerge/>
          </w:tcPr>
          <w:p w14:paraId="7BF85654"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0114CD01"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160955D7" w14:textId="12FEC0F6" w:rsidR="005B411E" w:rsidRDefault="005B411E">
            <w:pPr>
              <w:spacing w:before="60" w:after="60"/>
              <w:ind w:right="57"/>
              <w:rPr>
                <w:rFonts w:eastAsia="Arial" w:cs="Arial"/>
                <w:sz w:val="20"/>
              </w:rPr>
            </w:pPr>
            <w:r>
              <w:rPr>
                <w:rFonts w:eastAsia="Arial" w:cs="Arial"/>
                <w:sz w:val="20"/>
              </w:rPr>
              <w:t xml:space="preserve">See </w:t>
            </w:r>
            <w:r w:rsidR="00FB4901">
              <w:rPr>
                <w:rFonts w:eastAsia="Arial" w:cs="Arial"/>
                <w:sz w:val="20"/>
              </w:rPr>
              <w:t>Treatment of uncertainty</w:t>
            </w:r>
          </w:p>
        </w:tc>
      </w:tr>
      <w:tr w:rsidR="005B411E" w14:paraId="319BB444" w14:textId="77777777">
        <w:trPr>
          <w:trHeight w:val="104"/>
        </w:trPr>
        <w:tc>
          <w:tcPr>
            <w:tcW w:w="2348" w:type="dxa"/>
            <w:vMerge/>
          </w:tcPr>
          <w:p w14:paraId="41B8E9D0"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6DEE962B"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7503E601" w14:textId="77777777" w:rsidR="005B411E" w:rsidRDefault="005B411E">
            <w:pPr>
              <w:tabs>
                <w:tab w:val="left" w:pos="567"/>
              </w:tabs>
              <w:spacing w:before="20" w:after="20"/>
              <w:ind w:right="161"/>
              <w:rPr>
                <w:rFonts w:ascii="Calibri" w:eastAsia="Calibri" w:hAnsi="Calibri" w:cs="Calibri"/>
                <w:i/>
                <w:szCs w:val="22"/>
              </w:rPr>
            </w:pPr>
            <w:r>
              <w:rPr>
                <w:sz w:val="20"/>
              </w:rPr>
              <w:t>-</w:t>
            </w:r>
          </w:p>
        </w:tc>
      </w:tr>
      <w:tr w:rsidR="005B411E" w14:paraId="218202CE" w14:textId="77777777">
        <w:trPr>
          <w:trHeight w:val="104"/>
        </w:trPr>
        <w:tc>
          <w:tcPr>
            <w:tcW w:w="2348" w:type="dxa"/>
            <w:vMerge/>
          </w:tcPr>
          <w:p w14:paraId="3D5F70F1"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117C9808"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73E13382"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660C65C2" w14:textId="77777777">
        <w:tc>
          <w:tcPr>
            <w:tcW w:w="2348" w:type="dxa"/>
            <w:shd w:val="clear" w:color="auto" w:fill="E6E6E6"/>
          </w:tcPr>
          <w:p w14:paraId="4056C159"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5B444B5F" w14:textId="505FF62B" w:rsidR="005B411E" w:rsidRPr="00BE6591" w:rsidRDefault="004A6201">
            <w:pPr>
              <w:tabs>
                <w:tab w:val="left" w:pos="567"/>
              </w:tabs>
              <w:spacing w:before="20" w:after="20"/>
              <w:ind w:right="159"/>
              <w:rPr>
                <w:rFonts w:eastAsia="Calibri" w:cs="Arial"/>
                <w:i/>
                <w:sz w:val="20"/>
              </w:rPr>
            </w:pPr>
            <w:r w:rsidRPr="004A6201">
              <w:rPr>
                <w:rFonts w:cs="Arial"/>
                <w:color w:val="000000"/>
                <w:sz w:val="20"/>
              </w:rPr>
              <w:t>Weekly scale calibration (±1%), documented outlier handling, and inclusion only of households with ≥3 valid days of data collected within two weeks.</w:t>
            </w:r>
          </w:p>
        </w:tc>
      </w:tr>
      <w:tr w:rsidR="00712587" w14:paraId="41F8CA91" w14:textId="77777777">
        <w:tc>
          <w:tcPr>
            <w:tcW w:w="2348" w:type="dxa"/>
            <w:shd w:val="clear" w:color="auto" w:fill="E6E6E6"/>
          </w:tcPr>
          <w:p w14:paraId="011629CF" w14:textId="7FB2EE1E"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4A4E895E" w14:textId="748AD26B" w:rsidR="00712587" w:rsidRPr="00BF24D4" w:rsidRDefault="00FB4901" w:rsidP="00BF24D4">
            <w:pPr>
              <w:tabs>
                <w:tab w:val="left" w:pos="567"/>
              </w:tabs>
              <w:spacing w:before="20" w:after="20"/>
              <w:ind w:right="159"/>
              <w:rPr>
                <w:rFonts w:cs="Arial"/>
                <w:i/>
                <w:iCs/>
                <w:color w:val="4F81BD" w:themeColor="accent1"/>
                <w:sz w:val="20"/>
              </w:rPr>
            </w:pPr>
            <w:r w:rsidRPr="7D956FC6">
              <w:rPr>
                <w:rFonts w:cs="Arial"/>
                <w:color w:val="000000" w:themeColor="text1"/>
                <w:sz w:val="20"/>
              </w:rPr>
              <w:t xml:space="preserve">The </w:t>
            </w:r>
            <w:r w:rsidR="1D22EB3F" w:rsidRPr="7D956FC6">
              <w:rPr>
                <w:rFonts w:cs="Arial"/>
                <w:color w:val="000000" w:themeColor="text1"/>
                <w:sz w:val="20"/>
              </w:rPr>
              <w:t>monitoring</w:t>
            </w:r>
            <w:r w:rsidRPr="7D956FC6">
              <w:rPr>
                <w:rFonts w:cs="Arial"/>
                <w:color w:val="000000" w:themeColor="text1"/>
                <w:sz w:val="20"/>
              </w:rPr>
              <w:t xml:space="preserve"> must meet the minimum confidence and precision of 95/10 for the target parameter of average annual energy consumption per person. The 95/10 rule is applied to the sum of energy consumption across fuels </w:t>
            </w:r>
            <w:r w:rsidRPr="00BE6591">
              <w:rPr>
                <w:rFonts w:eastAsia="Montserrat" w:cs="Arial"/>
                <w:sz w:val="20"/>
              </w:rPr>
              <w:t xml:space="preserve">(see parameter </w:t>
            </w:r>
            <w:r w:rsidRPr="00BE6591">
              <w:rPr>
                <w:rFonts w:eastAsia="Montserrat" w:cs="Arial"/>
                <w:color w:val="000000" w:themeColor="text1"/>
                <w:sz w:val="20"/>
              </w:rPr>
              <w:t xml:space="preserve">∑ </w:t>
            </w:r>
            <m:oMath>
              <m:sSub>
                <m:sSubPr>
                  <m:ctrlPr>
                    <w:rPr>
                      <w:rFonts w:ascii="Cambria Math" w:eastAsia="Cambria Math" w:hAnsi="Cambria Math" w:cs="Cambria Math"/>
                    </w:rPr>
                  </m:ctrlPr>
                </m:sSubPr>
                <m:e>
                  <m:r>
                    <w:rPr>
                      <w:rFonts w:ascii="Cambria Math" w:eastAsia="Cambria Math" w:hAnsi="Cambria Math" w:cs="Cambria Math"/>
                    </w:rPr>
                    <m:t>tEC</m:t>
                  </m:r>
                </m:e>
                <m:sub>
                  <m:r>
                    <w:rPr>
                      <w:rFonts w:ascii="Cambria Math" w:eastAsia="Cambria Math" w:hAnsi="Cambria Math" w:cs="Cambria Math"/>
                    </w:rPr>
                    <m:t>base,KPT,i</m:t>
                  </m:r>
                </m:sub>
              </m:sSub>
            </m:oMath>
            <w:r>
              <w:rPr>
                <w:rFonts w:eastAsia="Montserrat" w:cs="Arial"/>
              </w:rPr>
              <w:t xml:space="preserve"> </w:t>
            </w:r>
            <w:r w:rsidRPr="009E42A3">
              <w:rPr>
                <w:rFonts w:eastAsia="Montserrat" w:cs="Arial"/>
                <w:color w:val="000000" w:themeColor="text1"/>
                <w:sz w:val="20"/>
              </w:rPr>
              <w:t xml:space="preserve">in </w:t>
            </w:r>
            <w:hyperlink w:anchor="A10" w:history="1">
              <w:r w:rsidRPr="009E42A3">
                <w:rPr>
                  <w:rStyle w:val="Hyperlink"/>
                  <w:rFonts w:eastAsia="Montserrat" w:cs="Arial"/>
                  <w:sz w:val="20"/>
                </w:rPr>
                <w:t>Appendix 10</w:t>
              </w:r>
            </w:hyperlink>
            <w:r w:rsidRPr="009E42A3">
              <w:rPr>
                <w:rFonts w:eastAsia="Montserrat" w:cs="Arial"/>
                <w:sz w:val="20"/>
              </w:rPr>
              <w:t>, which</w:t>
            </w:r>
            <w:r w:rsidRPr="00BE6591">
              <w:rPr>
                <w:rFonts w:eastAsia="Montserrat" w:cs="Arial"/>
                <w:sz w:val="20"/>
              </w:rPr>
              <w:t xml:space="preserve"> subsumes this parameter).</w:t>
            </w:r>
            <w:r w:rsidRPr="7D956FC6">
              <w:rPr>
                <w:rFonts w:cs="Arial"/>
                <w:color w:val="000000" w:themeColor="text1"/>
                <w:sz w:val="20"/>
              </w:rPr>
              <w:t xml:space="preserve"> If the target precision is not met, the project proponent shall take the conservative bounds of the confidence intervals as the parameter value, proportionately applied across all the fuels used. The conservative bounds are those that produce a lower CO</w:t>
            </w:r>
            <w:r w:rsidRPr="7D956FC6">
              <w:rPr>
                <w:rFonts w:cs="Arial"/>
                <w:color w:val="000000" w:themeColor="text1"/>
                <w:sz w:val="20"/>
                <w:vertAlign w:val="subscript"/>
              </w:rPr>
              <w:t>2</w:t>
            </w:r>
            <w:r w:rsidRPr="7D956FC6">
              <w:rPr>
                <w:rFonts w:cs="Arial"/>
                <w:color w:val="000000" w:themeColor="text1"/>
                <w:sz w:val="20"/>
              </w:rPr>
              <w:t>e emissions reduction estimate.</w:t>
            </w:r>
          </w:p>
        </w:tc>
      </w:tr>
      <w:tr w:rsidR="005B411E" w14:paraId="5A8FD2C3" w14:textId="77777777">
        <w:tc>
          <w:tcPr>
            <w:tcW w:w="2348" w:type="dxa"/>
            <w:shd w:val="clear" w:color="auto" w:fill="E6E6E6"/>
          </w:tcPr>
          <w:p w14:paraId="04A8B30C"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56E99898" w14:textId="77777777" w:rsidR="005B411E" w:rsidRDefault="005B411E">
            <w:pPr>
              <w:spacing w:before="60" w:after="60"/>
              <w:ind w:right="57"/>
              <w:rPr>
                <w:rFonts w:eastAsia="Arial" w:cs="Arial"/>
                <w:sz w:val="20"/>
              </w:rPr>
            </w:pPr>
            <w:r>
              <w:rPr>
                <w:rFonts w:eastAsia="Arial" w:cs="Arial"/>
                <w:sz w:val="20"/>
              </w:rPr>
              <w:t>-</w:t>
            </w:r>
          </w:p>
        </w:tc>
      </w:tr>
    </w:tbl>
    <w:p w14:paraId="5A9570FC" w14:textId="77777777" w:rsidR="005B411E" w:rsidRDefault="005B411E" w:rsidP="005B411E"/>
    <w:p w14:paraId="321C4DD6"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6D92F7C0" w14:textId="77777777">
        <w:tc>
          <w:tcPr>
            <w:tcW w:w="2348" w:type="dxa"/>
            <w:shd w:val="clear" w:color="auto" w:fill="E6E6E6"/>
          </w:tcPr>
          <w:p w14:paraId="02E2DFDD"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54B2E1F3" w14:textId="77777777" w:rsidR="005B411E" w:rsidRPr="00B85960"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Cambria Math" w:hAnsi="Cambria Math" w:cs="Cambria Math"/>
                      </w:rPr>
                      <m:t>tEC</m:t>
                    </m:r>
                  </m:e>
                  <m:sub>
                    <m:r>
                      <w:rPr>
                        <w:rFonts w:ascii="Cambria Math" w:eastAsia="Cambria Math" w:hAnsi="Cambria Math" w:cs="Cambria Math"/>
                      </w:rPr>
                      <m:t>proj,offgrid,h,y</m:t>
                    </m:r>
                  </m:sub>
                </m:sSub>
              </m:oMath>
            </m:oMathPara>
          </w:p>
        </w:tc>
      </w:tr>
      <w:tr w:rsidR="005B411E" w14:paraId="48D38446" w14:textId="77777777">
        <w:tc>
          <w:tcPr>
            <w:tcW w:w="2348" w:type="dxa"/>
            <w:shd w:val="clear" w:color="auto" w:fill="E6E6E6"/>
          </w:tcPr>
          <w:p w14:paraId="3A3774BD"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7C865764" w14:textId="77777777" w:rsidR="005B411E" w:rsidRPr="00B85960" w:rsidRDefault="005B411E">
            <w:pPr>
              <w:rPr>
                <w:rFonts w:cs="Arial"/>
                <w:color w:val="000000"/>
                <w:sz w:val="20"/>
              </w:rPr>
            </w:pPr>
            <w:r>
              <w:rPr>
                <w:rFonts w:cs="Arial"/>
                <w:color w:val="000000"/>
                <w:sz w:val="20"/>
              </w:rPr>
              <w:t xml:space="preserve">Tracked off-grid electricity consumed for cooking in household </w:t>
            </w:r>
            <w:r w:rsidRPr="008D0AF8">
              <w:rPr>
                <w:rFonts w:cs="Arial"/>
                <w:i/>
                <w:color w:val="000000"/>
                <w:sz w:val="20"/>
              </w:rPr>
              <w:t>h</w:t>
            </w:r>
            <w:r>
              <w:rPr>
                <w:rFonts w:cs="Arial"/>
                <w:color w:val="000000"/>
                <w:sz w:val="20"/>
              </w:rPr>
              <w:t xml:space="preserve"> in year </w:t>
            </w:r>
            <w:r w:rsidRPr="008D0AF8">
              <w:rPr>
                <w:rFonts w:cs="Arial"/>
                <w:i/>
                <w:color w:val="000000"/>
                <w:sz w:val="20"/>
              </w:rPr>
              <w:t>y</w:t>
            </w:r>
          </w:p>
        </w:tc>
      </w:tr>
      <w:tr w:rsidR="005B411E" w14:paraId="62B9C113" w14:textId="77777777">
        <w:tc>
          <w:tcPr>
            <w:tcW w:w="2348" w:type="dxa"/>
            <w:shd w:val="clear" w:color="auto" w:fill="E6E6E6"/>
          </w:tcPr>
          <w:p w14:paraId="75864F76"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3CA3607F" w14:textId="77777777" w:rsidR="005B411E" w:rsidRPr="00B85960" w:rsidRDefault="005B411E">
            <w:pPr>
              <w:rPr>
                <w:rFonts w:cs="Arial"/>
                <w:color w:val="000000"/>
                <w:sz w:val="20"/>
              </w:rPr>
            </w:pPr>
            <w:r>
              <w:rPr>
                <w:rFonts w:cs="Arial"/>
                <w:color w:val="000000"/>
                <w:sz w:val="20"/>
              </w:rPr>
              <w:t>kWh</w:t>
            </w:r>
          </w:p>
        </w:tc>
      </w:tr>
      <w:tr w:rsidR="005B411E" w14:paraId="54D3930C" w14:textId="77777777">
        <w:tc>
          <w:tcPr>
            <w:tcW w:w="2348" w:type="dxa"/>
            <w:shd w:val="clear" w:color="auto" w:fill="E6E6E6"/>
          </w:tcPr>
          <w:p w14:paraId="0B30E70C"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6E1C7579" w14:textId="521274EF" w:rsidR="005B411E" w:rsidRDefault="005B411E">
            <w:pPr>
              <w:spacing w:before="60" w:after="60"/>
              <w:ind w:right="57"/>
              <w:rPr>
                <w:rFonts w:eastAsia="Arial" w:cs="Arial"/>
                <w:sz w:val="20"/>
              </w:rPr>
            </w:pPr>
            <w:r w:rsidRPr="00584530">
              <w:rPr>
                <w:rFonts w:eastAsia="Arial" w:cs="Arial"/>
                <w:sz w:val="20"/>
              </w:rPr>
              <w:t xml:space="preserve">Eq. </w:t>
            </w:r>
            <w:hyperlink w:anchor="e11" w:history="1">
              <w:r w:rsidRPr="001A42C0">
                <w:rPr>
                  <w:rStyle w:val="Hyperlink"/>
                  <w:rFonts w:eastAsia="Arial" w:cs="Arial"/>
                  <w:sz w:val="20"/>
                </w:rPr>
                <w:t>11</w:t>
              </w:r>
            </w:hyperlink>
          </w:p>
        </w:tc>
      </w:tr>
      <w:tr w:rsidR="005B411E" w14:paraId="5217ED13" w14:textId="77777777">
        <w:tc>
          <w:tcPr>
            <w:tcW w:w="2348" w:type="dxa"/>
            <w:vMerge w:val="restart"/>
            <w:shd w:val="clear" w:color="auto" w:fill="E6E6E6"/>
          </w:tcPr>
          <w:p w14:paraId="53BD295F"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1AE8FE93"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AB10B1">
              <w:rPr>
                <w:rFonts w:cs="Arial"/>
                <w:sz w:val="20"/>
              </w:rPr>
              <w:t xml:space="preserve"> Baseline emissions / removals</w:t>
            </w:r>
          </w:p>
        </w:tc>
        <w:tc>
          <w:tcPr>
            <w:tcW w:w="2406" w:type="dxa"/>
            <w:tcBorders>
              <w:left w:val="nil"/>
              <w:bottom w:val="nil"/>
              <w:right w:val="nil"/>
            </w:tcBorders>
          </w:tcPr>
          <w:p w14:paraId="777B17CE"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AB10B1">
              <w:rPr>
                <w:rFonts w:cs="Arial"/>
                <w:sz w:val="20"/>
              </w:rPr>
              <w:t xml:space="preserve"> Project emissions / removals</w:t>
            </w:r>
          </w:p>
        </w:tc>
        <w:tc>
          <w:tcPr>
            <w:tcW w:w="2410" w:type="dxa"/>
            <w:tcBorders>
              <w:left w:val="nil"/>
              <w:bottom w:val="nil"/>
            </w:tcBorders>
          </w:tcPr>
          <w:p w14:paraId="484D21D6"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AB10B1">
              <w:rPr>
                <w:rFonts w:cs="Arial"/>
                <w:sz w:val="20"/>
              </w:rPr>
              <w:t xml:space="preserve"> Leakage emissions</w:t>
            </w:r>
          </w:p>
        </w:tc>
      </w:tr>
      <w:tr w:rsidR="005B411E" w14:paraId="130AFAC1" w14:textId="77777777">
        <w:tc>
          <w:tcPr>
            <w:tcW w:w="2348" w:type="dxa"/>
            <w:vMerge/>
          </w:tcPr>
          <w:p w14:paraId="7AEEE60A"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39FBFC4D" w14:textId="77777777" w:rsidR="005B411E" w:rsidRDefault="005B411E">
            <w:pPr>
              <w:spacing w:before="60" w:after="60"/>
              <w:ind w:right="57"/>
              <w:rPr>
                <w:rFonts w:eastAsia="Arial" w:cs="Arial"/>
                <w:i/>
                <w:sz w:val="20"/>
              </w:rPr>
            </w:pPr>
          </w:p>
        </w:tc>
      </w:tr>
      <w:tr w:rsidR="00C81161" w14:paraId="22F8E139" w14:textId="77777777">
        <w:tc>
          <w:tcPr>
            <w:tcW w:w="2348" w:type="dxa"/>
            <w:shd w:val="clear" w:color="auto" w:fill="E6E6E6"/>
          </w:tcPr>
          <w:p w14:paraId="31F8A9AE" w14:textId="40E5030D"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vAlign w:val="center"/>
          </w:tcPr>
          <w:p w14:paraId="2B92349B" w14:textId="5495715F" w:rsidR="00C81161" w:rsidRDefault="00C81161">
            <w:pPr>
              <w:rPr>
                <w:rFonts w:cs="Arial"/>
                <w:color w:val="000000"/>
                <w:sz w:val="20"/>
              </w:rPr>
            </w:pPr>
            <w:r>
              <w:rPr>
                <w:rFonts w:eastAsia="Arial" w:cs="Arial"/>
                <w:sz w:val="20"/>
              </w:rPr>
              <w:t xml:space="preserve">Frequency of monitoring: </w:t>
            </w:r>
            <w:r>
              <w:rPr>
                <w:rFonts w:cs="Arial"/>
                <w:color w:val="000000"/>
                <w:sz w:val="20"/>
              </w:rPr>
              <w:t>Continuous and aggregated annually</w:t>
            </w:r>
          </w:p>
        </w:tc>
      </w:tr>
      <w:tr w:rsidR="005B411E" w14:paraId="3C799B62" w14:textId="77777777">
        <w:tc>
          <w:tcPr>
            <w:tcW w:w="2348" w:type="dxa"/>
            <w:shd w:val="clear" w:color="auto" w:fill="E6E6E6"/>
          </w:tcPr>
          <w:p w14:paraId="27427D5B"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vAlign w:val="center"/>
          </w:tcPr>
          <w:p w14:paraId="3CCFCB39" w14:textId="77777777" w:rsidR="005B411E" w:rsidRDefault="005B411E">
            <w:pPr>
              <w:rPr>
                <w:rFonts w:cs="Arial"/>
                <w:color w:val="000000"/>
                <w:sz w:val="20"/>
              </w:rPr>
            </w:pPr>
            <w:r>
              <w:rPr>
                <w:rFonts w:cs="Arial"/>
                <w:color w:val="000000"/>
                <w:sz w:val="20"/>
              </w:rPr>
              <w:t xml:space="preserve">Metered electricity </w:t>
            </w:r>
            <w:proofErr w:type="gramStart"/>
            <w:r>
              <w:rPr>
                <w:rFonts w:cs="Arial"/>
                <w:color w:val="000000"/>
                <w:sz w:val="20"/>
              </w:rPr>
              <w:t>use</w:t>
            </w:r>
            <w:proofErr w:type="gramEnd"/>
            <w:r>
              <w:rPr>
                <w:rFonts w:cs="Arial"/>
                <w:color w:val="000000"/>
                <w:sz w:val="20"/>
              </w:rPr>
              <w:t xml:space="preserve"> for each household</w:t>
            </w:r>
          </w:p>
          <w:p w14:paraId="0AB42845" w14:textId="77777777" w:rsidR="005B411E" w:rsidRDefault="005B411E">
            <w:pPr>
              <w:spacing w:before="60" w:after="60"/>
              <w:ind w:right="57"/>
              <w:rPr>
                <w:rFonts w:eastAsia="Arial" w:cs="Arial"/>
                <w:sz w:val="20"/>
              </w:rPr>
            </w:pPr>
          </w:p>
        </w:tc>
      </w:tr>
      <w:tr w:rsidR="005B411E" w14:paraId="50C7A83E" w14:textId="77777777">
        <w:trPr>
          <w:trHeight w:val="107"/>
        </w:trPr>
        <w:tc>
          <w:tcPr>
            <w:tcW w:w="2348" w:type="dxa"/>
            <w:shd w:val="clear" w:color="auto" w:fill="E6E6E6"/>
          </w:tcPr>
          <w:p w14:paraId="204AE0E9" w14:textId="77777777" w:rsidR="005B411E" w:rsidRDefault="005B411E" w:rsidP="00BF24D4">
            <w:pPr>
              <w:spacing w:before="60" w:after="60"/>
              <w:ind w:right="57"/>
              <w:jc w:val="left"/>
              <w:rPr>
                <w:rFonts w:eastAsia="Arial" w:cs="Arial"/>
                <w:sz w:val="20"/>
              </w:rPr>
            </w:pPr>
            <w:r>
              <w:rPr>
                <w:rFonts w:eastAsia="Arial" w:cs="Arial"/>
                <w:sz w:val="20"/>
              </w:rPr>
              <w:lastRenderedPageBreak/>
              <w:t>Entity/person responsible for the measurement</w:t>
            </w:r>
          </w:p>
        </w:tc>
        <w:tc>
          <w:tcPr>
            <w:tcW w:w="7224" w:type="dxa"/>
            <w:gridSpan w:val="4"/>
            <w:tcBorders>
              <w:top w:val="single" w:sz="4" w:space="0" w:color="000000" w:themeColor="text1"/>
            </w:tcBorders>
          </w:tcPr>
          <w:p w14:paraId="73A30A1B"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198BD0BA" w14:textId="77777777">
        <w:trPr>
          <w:trHeight w:val="107"/>
        </w:trPr>
        <w:tc>
          <w:tcPr>
            <w:tcW w:w="2348" w:type="dxa"/>
            <w:vMerge w:val="restart"/>
            <w:shd w:val="clear" w:color="auto" w:fill="E6E6E6"/>
          </w:tcPr>
          <w:p w14:paraId="168E24DF"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66294A63"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5917ADD3" w14:textId="77777777" w:rsidR="005B411E" w:rsidRDefault="005B411E">
            <w:pPr>
              <w:rPr>
                <w:rFonts w:cs="Arial"/>
                <w:color w:val="000000"/>
                <w:sz w:val="20"/>
              </w:rPr>
            </w:pPr>
            <w:r>
              <w:rPr>
                <w:rFonts w:cs="Arial"/>
                <w:color w:val="000000"/>
                <w:sz w:val="20"/>
              </w:rPr>
              <w:t xml:space="preserve">Applies for households consuming energy from off-grid sources. </w:t>
            </w:r>
            <w:r>
              <w:rPr>
                <w:rFonts w:cs="Arial"/>
                <w:color w:val="000000"/>
                <w:sz w:val="20"/>
              </w:rPr>
              <w:br/>
            </w:r>
            <w:r>
              <w:rPr>
                <w:rFonts w:cs="Arial"/>
                <w:color w:val="000000"/>
                <w:sz w:val="20"/>
              </w:rPr>
              <w:br/>
              <w:t>Built-in or external data loggers may be used, where they conform with industry standards and are calibrated according to manufacturer recommendations and/or relevant national requirements as applicable.</w:t>
            </w:r>
          </w:p>
          <w:p w14:paraId="7C746D23" w14:textId="77777777" w:rsidR="005B411E" w:rsidRDefault="005B411E">
            <w:pPr>
              <w:spacing w:before="60" w:after="60"/>
              <w:ind w:right="57"/>
              <w:rPr>
                <w:rFonts w:eastAsia="Arial" w:cs="Arial"/>
                <w:sz w:val="20"/>
              </w:rPr>
            </w:pPr>
          </w:p>
        </w:tc>
      </w:tr>
      <w:tr w:rsidR="005B411E" w14:paraId="413AAF68" w14:textId="77777777">
        <w:trPr>
          <w:trHeight w:val="104"/>
        </w:trPr>
        <w:tc>
          <w:tcPr>
            <w:tcW w:w="2348" w:type="dxa"/>
            <w:vMerge/>
          </w:tcPr>
          <w:p w14:paraId="23D33089"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77F9BDC0"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42F1619D" w14:textId="77777777" w:rsidR="005B411E" w:rsidRDefault="005B411E">
            <w:pPr>
              <w:spacing w:before="60" w:after="60"/>
              <w:ind w:right="57"/>
              <w:rPr>
                <w:rFonts w:eastAsia="Arial" w:cs="Arial"/>
                <w:sz w:val="20"/>
              </w:rPr>
            </w:pPr>
            <w:r>
              <w:rPr>
                <w:rFonts w:eastAsia="Arial" w:cs="Arial"/>
                <w:sz w:val="20"/>
              </w:rPr>
              <w:t>See QA/QC procedures</w:t>
            </w:r>
          </w:p>
        </w:tc>
      </w:tr>
      <w:tr w:rsidR="005B411E" w14:paraId="31B92EEB" w14:textId="77777777">
        <w:trPr>
          <w:trHeight w:val="104"/>
        </w:trPr>
        <w:tc>
          <w:tcPr>
            <w:tcW w:w="2348" w:type="dxa"/>
            <w:vMerge/>
          </w:tcPr>
          <w:p w14:paraId="03680DCA"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49E5AC2A"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0B0AA06D" w14:textId="77777777" w:rsidR="005B411E" w:rsidRDefault="005B411E">
            <w:pPr>
              <w:tabs>
                <w:tab w:val="left" w:pos="567"/>
              </w:tabs>
              <w:spacing w:before="20" w:after="20"/>
              <w:ind w:left="569" w:right="161"/>
              <w:rPr>
                <w:rFonts w:ascii="Calibri" w:eastAsia="Calibri" w:hAnsi="Calibri" w:cs="Calibri"/>
                <w:i/>
                <w:szCs w:val="22"/>
              </w:rPr>
            </w:pPr>
            <w:r>
              <w:rPr>
                <w:sz w:val="20"/>
              </w:rPr>
              <w:t>-</w:t>
            </w:r>
          </w:p>
        </w:tc>
      </w:tr>
      <w:tr w:rsidR="005B411E" w14:paraId="30E71AFE" w14:textId="77777777">
        <w:trPr>
          <w:trHeight w:val="104"/>
        </w:trPr>
        <w:tc>
          <w:tcPr>
            <w:tcW w:w="2348" w:type="dxa"/>
            <w:vMerge/>
          </w:tcPr>
          <w:p w14:paraId="2849C57D"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312A1744"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36CB50CA"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4A0C1F0A" w14:textId="77777777">
        <w:tc>
          <w:tcPr>
            <w:tcW w:w="2348" w:type="dxa"/>
            <w:shd w:val="clear" w:color="auto" w:fill="E6E6E6"/>
          </w:tcPr>
          <w:p w14:paraId="6F0EA5C0"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1FF9B7C7" w14:textId="77777777" w:rsidR="005B411E" w:rsidRPr="00B85960" w:rsidRDefault="005B411E">
            <w:pPr>
              <w:rPr>
                <w:rFonts w:cs="Arial"/>
                <w:color w:val="000000"/>
                <w:sz w:val="20"/>
              </w:rPr>
            </w:pPr>
            <w:r>
              <w:rPr>
                <w:rFonts w:cs="Arial"/>
                <w:color w:val="000000"/>
                <w:sz w:val="20"/>
              </w:rPr>
              <w:t>Measured project technology electricity use shall be cross checked for consistency with the wattage of the project-technology and the estimated operating hours for a sample of project-technology units.</w:t>
            </w:r>
          </w:p>
        </w:tc>
      </w:tr>
      <w:tr w:rsidR="00712587" w14:paraId="415F17F4" w14:textId="77777777">
        <w:tc>
          <w:tcPr>
            <w:tcW w:w="2348" w:type="dxa"/>
            <w:shd w:val="clear" w:color="auto" w:fill="E6E6E6"/>
          </w:tcPr>
          <w:p w14:paraId="13E4F037" w14:textId="2C48CB7B" w:rsidR="0071258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50E02102" w14:textId="3DEB590F" w:rsidR="00712587" w:rsidRPr="00BF24D4" w:rsidRDefault="00795371" w:rsidP="00BF24D4">
            <w:pPr>
              <w:tabs>
                <w:tab w:val="left" w:pos="567"/>
              </w:tabs>
              <w:spacing w:before="20" w:after="20"/>
              <w:ind w:right="159"/>
              <w:rPr>
                <w:rFonts w:cs="Arial"/>
                <w:i/>
                <w:iCs/>
                <w:color w:val="4F81BD" w:themeColor="accent1"/>
                <w:sz w:val="20"/>
              </w:rPr>
            </w:pPr>
            <w:r w:rsidRPr="00731FE4">
              <w:rPr>
                <w:rFonts w:cs="Arial"/>
                <w:color w:val="000000"/>
                <w:sz w:val="20"/>
              </w:rPr>
              <w:t>Controlled through meter accuracy and calibration</w:t>
            </w:r>
          </w:p>
        </w:tc>
      </w:tr>
      <w:tr w:rsidR="005B411E" w14:paraId="3BD0B95E" w14:textId="77777777">
        <w:tc>
          <w:tcPr>
            <w:tcW w:w="2348" w:type="dxa"/>
            <w:shd w:val="clear" w:color="auto" w:fill="E6E6E6"/>
          </w:tcPr>
          <w:p w14:paraId="4E0FA2FD" w14:textId="77777777" w:rsidR="005B411E" w:rsidRDefault="005B411E">
            <w:pPr>
              <w:spacing w:before="60" w:after="60"/>
              <w:ind w:right="57"/>
              <w:rPr>
                <w:rFonts w:eastAsia="Arial" w:cs="Arial"/>
                <w:sz w:val="20"/>
              </w:rPr>
            </w:pPr>
            <w:r>
              <w:rPr>
                <w:rFonts w:eastAsia="Arial" w:cs="Arial"/>
                <w:sz w:val="20"/>
              </w:rPr>
              <w:t>Additional comment</w:t>
            </w:r>
          </w:p>
        </w:tc>
        <w:tc>
          <w:tcPr>
            <w:tcW w:w="7224" w:type="dxa"/>
            <w:gridSpan w:val="4"/>
          </w:tcPr>
          <w:p w14:paraId="48ECB461" w14:textId="77777777" w:rsidR="005B411E" w:rsidRDefault="005B411E">
            <w:pPr>
              <w:spacing w:before="60" w:after="60"/>
              <w:ind w:right="57"/>
              <w:rPr>
                <w:rFonts w:eastAsia="Arial" w:cs="Arial"/>
                <w:sz w:val="20"/>
              </w:rPr>
            </w:pPr>
            <w:r>
              <w:rPr>
                <w:rFonts w:eastAsia="Arial" w:cs="Arial"/>
                <w:sz w:val="20"/>
              </w:rPr>
              <w:t>-</w:t>
            </w:r>
          </w:p>
        </w:tc>
      </w:tr>
    </w:tbl>
    <w:p w14:paraId="5164139A"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0565ED81" w14:textId="77777777">
        <w:tc>
          <w:tcPr>
            <w:tcW w:w="2348" w:type="dxa"/>
            <w:shd w:val="clear" w:color="auto" w:fill="E6E6E6"/>
          </w:tcPr>
          <w:p w14:paraId="0750ED97"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46B769E2" w14:textId="77777777" w:rsidR="005B411E" w:rsidRDefault="00000000">
            <w:pPr>
              <w:spacing w:before="60" w:after="60"/>
              <w:ind w:right="57"/>
              <w:rPr>
                <w:rFonts w:eastAsia="Arial" w:cs="Arial"/>
                <w:b/>
                <w:sz w:val="20"/>
              </w:rPr>
            </w:pPr>
            <w:sdt>
              <w:sdtPr>
                <w:tag w:val="goog_rdk_211"/>
                <w:id w:val="1366482111"/>
              </w:sdtPr>
              <w:sdtContent/>
            </w:sdt>
            <m:oMath>
              <m:r>
                <w:rPr>
                  <w:rFonts w:ascii="Cambria Math" w:hAnsi="Cambria Math"/>
                </w:rPr>
                <m:t>t</m:t>
              </m:r>
              <m:r>
                <w:rPr>
                  <w:rFonts w:ascii="Cambria Math" w:eastAsia="Cambria Math" w:hAnsi="Cambria Math" w:cs="Cambria Math"/>
                </w:rPr>
                <m:t>PC</m:t>
              </m:r>
            </m:oMath>
            <w:proofErr w:type="gramStart"/>
            <w:r w:rsidR="005B411E" w:rsidRPr="00401398">
              <w:rPr>
                <w:rFonts w:ascii="Cambria Math" w:eastAsia="Cambria Math" w:hAnsi="Cambria Math" w:cs="Cambria Math"/>
                <w:i/>
                <w:iCs/>
                <w:vertAlign w:val="subscript"/>
              </w:rPr>
              <w:t>b,i</w:t>
            </w:r>
            <w:proofErr w:type="gramEnd"/>
          </w:p>
        </w:tc>
      </w:tr>
      <w:tr w:rsidR="005B411E" w14:paraId="454B111E" w14:textId="77777777">
        <w:tc>
          <w:tcPr>
            <w:tcW w:w="2348" w:type="dxa"/>
            <w:shd w:val="clear" w:color="auto" w:fill="E6E6E6"/>
          </w:tcPr>
          <w:p w14:paraId="32551EA5"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06855CF0" w14:textId="77777777" w:rsidR="005B411E" w:rsidRPr="00B85960" w:rsidRDefault="005B411E">
            <w:pPr>
              <w:rPr>
                <w:rFonts w:cs="Arial"/>
                <w:color w:val="000000"/>
                <w:sz w:val="20"/>
              </w:rPr>
            </w:pPr>
            <w:r>
              <w:rPr>
                <w:rFonts w:cs="Arial"/>
                <w:color w:val="000000"/>
                <w:sz w:val="20"/>
              </w:rPr>
              <w:t xml:space="preserve">Proportion of cooking events conducted using fuel-stove combination </w:t>
            </w:r>
            <w:proofErr w:type="spellStart"/>
            <w:r w:rsidRPr="008D0AF8">
              <w:rPr>
                <w:rFonts w:cs="Arial"/>
                <w:i/>
                <w:color w:val="000000"/>
                <w:sz w:val="20"/>
              </w:rPr>
              <w:t>i</w:t>
            </w:r>
            <w:proofErr w:type="spellEnd"/>
            <w:r>
              <w:rPr>
                <w:rFonts w:cs="Arial"/>
                <w:i/>
                <w:color w:val="000000"/>
                <w:sz w:val="20"/>
              </w:rPr>
              <w:t xml:space="preserve"> </w:t>
            </w:r>
            <w:r>
              <w:rPr>
                <w:rFonts w:cs="Arial"/>
                <w:iCs/>
                <w:color w:val="000000"/>
                <w:sz w:val="20"/>
              </w:rPr>
              <w:t>for CTEC projects</w:t>
            </w:r>
          </w:p>
        </w:tc>
      </w:tr>
      <w:tr w:rsidR="005B411E" w14:paraId="0C684DFE" w14:textId="77777777">
        <w:tc>
          <w:tcPr>
            <w:tcW w:w="2348" w:type="dxa"/>
            <w:shd w:val="clear" w:color="auto" w:fill="E6E6E6"/>
          </w:tcPr>
          <w:p w14:paraId="6BDC92FF"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08003E72" w14:textId="77777777" w:rsidR="005B411E" w:rsidRPr="00B85960" w:rsidRDefault="005B411E">
            <w:pPr>
              <w:rPr>
                <w:rFonts w:cs="Arial"/>
                <w:color w:val="000000"/>
                <w:sz w:val="20"/>
              </w:rPr>
            </w:pPr>
            <w:r>
              <w:rPr>
                <w:rFonts w:cs="Arial"/>
                <w:color w:val="000000"/>
                <w:sz w:val="20"/>
              </w:rPr>
              <w:t>Percentage</w:t>
            </w:r>
          </w:p>
        </w:tc>
      </w:tr>
      <w:tr w:rsidR="005B411E" w14:paraId="2031239F" w14:textId="77777777">
        <w:tc>
          <w:tcPr>
            <w:tcW w:w="2348" w:type="dxa"/>
            <w:shd w:val="clear" w:color="auto" w:fill="E6E6E6"/>
          </w:tcPr>
          <w:p w14:paraId="1884D40E"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3AC7DB34" w14:textId="02C8FBD1" w:rsidR="005B411E" w:rsidRDefault="005B411E">
            <w:pPr>
              <w:spacing w:before="60" w:after="60"/>
              <w:ind w:right="57"/>
              <w:rPr>
                <w:rFonts w:eastAsia="Arial" w:cs="Arial"/>
                <w:sz w:val="20"/>
              </w:rPr>
            </w:pPr>
            <w:hyperlink w:anchor="e3" w:history="1">
              <w:r w:rsidRPr="001A42C0">
                <w:rPr>
                  <w:rStyle w:val="Hyperlink"/>
                  <w:rFonts w:eastAsia="Arial" w:cs="Arial"/>
                  <w:sz w:val="20"/>
                </w:rPr>
                <w:t>Eq. 3</w:t>
              </w:r>
            </w:hyperlink>
          </w:p>
        </w:tc>
      </w:tr>
      <w:tr w:rsidR="005B411E" w14:paraId="231DFC3E" w14:textId="77777777">
        <w:tc>
          <w:tcPr>
            <w:tcW w:w="2348" w:type="dxa"/>
            <w:vMerge w:val="restart"/>
            <w:shd w:val="clear" w:color="auto" w:fill="E6E6E6"/>
          </w:tcPr>
          <w:p w14:paraId="18305A6A"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12094B35"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AB10B1">
              <w:rPr>
                <w:rFonts w:cs="Arial"/>
                <w:sz w:val="20"/>
              </w:rPr>
              <w:t xml:space="preserve"> Baseline emissions / removals</w:t>
            </w:r>
          </w:p>
        </w:tc>
        <w:tc>
          <w:tcPr>
            <w:tcW w:w="2406" w:type="dxa"/>
            <w:tcBorders>
              <w:left w:val="nil"/>
              <w:bottom w:val="nil"/>
              <w:right w:val="nil"/>
            </w:tcBorders>
          </w:tcPr>
          <w:p w14:paraId="0996FAA9"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AB10B1">
              <w:rPr>
                <w:rFonts w:cs="Arial"/>
                <w:sz w:val="20"/>
              </w:rPr>
              <w:t xml:space="preserve"> Project emissions / removals</w:t>
            </w:r>
          </w:p>
        </w:tc>
        <w:tc>
          <w:tcPr>
            <w:tcW w:w="2410" w:type="dxa"/>
            <w:tcBorders>
              <w:left w:val="nil"/>
              <w:bottom w:val="nil"/>
            </w:tcBorders>
          </w:tcPr>
          <w:p w14:paraId="001AE709"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AB10B1">
              <w:rPr>
                <w:rFonts w:cs="Arial"/>
                <w:sz w:val="20"/>
              </w:rPr>
              <w:t xml:space="preserve"> Leakage emissions</w:t>
            </w:r>
          </w:p>
        </w:tc>
      </w:tr>
      <w:tr w:rsidR="005B411E" w14:paraId="5DC7FDAA" w14:textId="77777777">
        <w:tc>
          <w:tcPr>
            <w:tcW w:w="2348" w:type="dxa"/>
            <w:vMerge/>
          </w:tcPr>
          <w:p w14:paraId="5062A44D"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7345F4A9" w14:textId="77777777" w:rsidR="005B411E" w:rsidRDefault="005B411E">
            <w:pPr>
              <w:spacing w:before="60" w:after="60"/>
              <w:ind w:right="57"/>
              <w:rPr>
                <w:rFonts w:eastAsia="Arial" w:cs="Arial"/>
                <w:i/>
                <w:sz w:val="20"/>
              </w:rPr>
            </w:pPr>
          </w:p>
        </w:tc>
      </w:tr>
      <w:tr w:rsidR="00C81161" w14:paraId="3B265F67" w14:textId="77777777">
        <w:tc>
          <w:tcPr>
            <w:tcW w:w="2348" w:type="dxa"/>
            <w:shd w:val="clear" w:color="auto" w:fill="E6E6E6"/>
          </w:tcPr>
          <w:p w14:paraId="3621DBC9" w14:textId="5CCB05CB" w:rsidR="00C81161" w:rsidRDefault="00C81161" w:rsidP="00C81161">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vAlign w:val="center"/>
          </w:tcPr>
          <w:p w14:paraId="4BF96F0F" w14:textId="14FA32CD" w:rsidR="00C81161" w:rsidRDefault="00C81161">
            <w:pPr>
              <w:rPr>
                <w:rFonts w:cs="Arial"/>
                <w:color w:val="000000"/>
                <w:sz w:val="20"/>
              </w:rPr>
            </w:pPr>
            <w:r>
              <w:rPr>
                <w:rFonts w:eastAsia="Arial" w:cs="Arial"/>
                <w:sz w:val="20"/>
              </w:rPr>
              <w:t xml:space="preserve">Frequency of monitoring: </w:t>
            </w:r>
            <w:r>
              <w:rPr>
                <w:rFonts w:cs="Arial"/>
                <w:color w:val="000000"/>
                <w:sz w:val="20"/>
              </w:rPr>
              <w:t>Once per crediting period</w:t>
            </w:r>
          </w:p>
        </w:tc>
      </w:tr>
      <w:tr w:rsidR="005B411E" w14:paraId="14A9B513" w14:textId="77777777">
        <w:tc>
          <w:tcPr>
            <w:tcW w:w="2348" w:type="dxa"/>
            <w:shd w:val="clear" w:color="auto" w:fill="E6E6E6"/>
          </w:tcPr>
          <w:p w14:paraId="5C5B4FC7"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vAlign w:val="center"/>
          </w:tcPr>
          <w:p w14:paraId="36106A26" w14:textId="77777777" w:rsidR="005B411E" w:rsidRDefault="005B411E">
            <w:pPr>
              <w:rPr>
                <w:rFonts w:cs="Arial"/>
                <w:color w:val="000000"/>
                <w:sz w:val="20"/>
              </w:rPr>
            </w:pPr>
            <w:r>
              <w:rPr>
                <w:rFonts w:cs="Arial"/>
                <w:color w:val="000000"/>
                <w:sz w:val="20"/>
              </w:rPr>
              <w:t>Baseline scenario surveys or stove use monitoring.</w:t>
            </w:r>
            <w:r>
              <w:rPr>
                <w:rFonts w:cs="Arial"/>
                <w:color w:val="000000"/>
                <w:sz w:val="20"/>
              </w:rPr>
              <w:br/>
            </w:r>
            <w:r>
              <w:rPr>
                <w:rFonts w:cs="Arial"/>
                <w:color w:val="000000"/>
                <w:sz w:val="20"/>
              </w:rPr>
              <w:br/>
              <w:t>The survey must ask to identify all the cooking devices present in the household. For the project cookstove and each other cooking device present in the household, ask “How many times did you cook using [cooking device] yesterday?” to determine the number of usage events per day per device.</w:t>
            </w:r>
          </w:p>
          <w:p w14:paraId="2EC4FA04" w14:textId="77777777" w:rsidR="005B411E" w:rsidRDefault="005B411E">
            <w:pPr>
              <w:spacing w:before="60" w:after="60"/>
              <w:ind w:right="57"/>
              <w:rPr>
                <w:rFonts w:eastAsia="Arial" w:cs="Arial"/>
                <w:sz w:val="20"/>
              </w:rPr>
            </w:pPr>
          </w:p>
          <w:p w14:paraId="55B8267F" w14:textId="0EA1E846" w:rsidR="005B411E" w:rsidRPr="00F23A12" w:rsidRDefault="005B411E">
            <w:pPr>
              <w:rPr>
                <w:rFonts w:cs="Arial"/>
                <w:color w:val="000000"/>
                <w:sz w:val="20"/>
              </w:rPr>
            </w:pPr>
            <w:r>
              <w:rPr>
                <w:rFonts w:cs="Arial"/>
                <w:color w:val="000000"/>
                <w:sz w:val="20"/>
              </w:rPr>
              <w:t xml:space="preserve">When multiple devices/fuels are used in the baseline by the end user in the same premises, the proportional use shall be established from surveys or stove use monitoring as </w:t>
            </w:r>
            <w:r w:rsidRPr="009E42A3">
              <w:rPr>
                <w:rFonts w:cs="Arial"/>
                <w:color w:val="000000"/>
                <w:sz w:val="20"/>
              </w:rPr>
              <w:t xml:space="preserve">described in </w:t>
            </w:r>
            <w:hyperlink w:anchor="A9" w:history="1">
              <w:r w:rsidRPr="009E42A3">
                <w:rPr>
                  <w:rStyle w:val="Hyperlink"/>
                  <w:rFonts w:cs="Arial"/>
                  <w:sz w:val="20"/>
                </w:rPr>
                <w:t>Appendix 9</w:t>
              </w:r>
            </w:hyperlink>
            <w:r w:rsidRPr="009E42A3">
              <w:rPr>
                <w:rFonts w:cs="Arial"/>
                <w:color w:val="000000"/>
                <w:sz w:val="20"/>
              </w:rPr>
              <w:t>.</w:t>
            </w:r>
          </w:p>
        </w:tc>
      </w:tr>
      <w:tr w:rsidR="005B411E" w14:paraId="724C4945" w14:textId="77777777">
        <w:trPr>
          <w:trHeight w:val="107"/>
        </w:trPr>
        <w:tc>
          <w:tcPr>
            <w:tcW w:w="2348" w:type="dxa"/>
            <w:shd w:val="clear" w:color="auto" w:fill="E6E6E6"/>
          </w:tcPr>
          <w:p w14:paraId="4D9452B3" w14:textId="77777777" w:rsidR="005B411E" w:rsidRDefault="005B411E" w:rsidP="00BF24D4">
            <w:pPr>
              <w:spacing w:before="60" w:after="60"/>
              <w:ind w:right="57"/>
              <w:jc w:val="left"/>
              <w:rPr>
                <w:rFonts w:eastAsia="Arial" w:cs="Arial"/>
                <w:sz w:val="20"/>
              </w:rPr>
            </w:pPr>
            <w:r>
              <w:rPr>
                <w:rFonts w:eastAsia="Arial" w:cs="Arial"/>
                <w:sz w:val="20"/>
              </w:rPr>
              <w:t>Entity/person responsible for the measurement</w:t>
            </w:r>
          </w:p>
        </w:tc>
        <w:tc>
          <w:tcPr>
            <w:tcW w:w="7224" w:type="dxa"/>
            <w:gridSpan w:val="4"/>
            <w:tcBorders>
              <w:top w:val="single" w:sz="4" w:space="0" w:color="000000" w:themeColor="text1"/>
            </w:tcBorders>
          </w:tcPr>
          <w:p w14:paraId="4E356ABA"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4E9CFB85" w14:textId="77777777">
        <w:trPr>
          <w:trHeight w:val="107"/>
        </w:trPr>
        <w:tc>
          <w:tcPr>
            <w:tcW w:w="2348" w:type="dxa"/>
            <w:vMerge w:val="restart"/>
            <w:shd w:val="clear" w:color="auto" w:fill="E6E6E6"/>
          </w:tcPr>
          <w:p w14:paraId="73A3C4E3"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6CC53D29"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65C8421B" w14:textId="77777777" w:rsidR="005B411E" w:rsidRDefault="005B411E">
            <w:pPr>
              <w:spacing w:before="60" w:after="60"/>
              <w:ind w:right="57"/>
              <w:rPr>
                <w:rFonts w:eastAsia="Arial" w:cs="Arial"/>
                <w:sz w:val="20"/>
              </w:rPr>
            </w:pPr>
            <w:r>
              <w:rPr>
                <w:rFonts w:cs="Arial"/>
                <w:color w:val="000000"/>
                <w:sz w:val="20"/>
              </w:rPr>
              <w:t xml:space="preserve">Baseline scenario surveys or </w:t>
            </w:r>
            <w:r w:rsidRPr="00F23A12">
              <w:rPr>
                <w:rFonts w:cs="Arial"/>
                <w:color w:val="000000"/>
                <w:sz w:val="20"/>
              </w:rPr>
              <w:t>stove use monitoring.</w:t>
            </w:r>
          </w:p>
        </w:tc>
      </w:tr>
      <w:tr w:rsidR="005B411E" w14:paraId="65DE845B" w14:textId="77777777">
        <w:trPr>
          <w:trHeight w:val="104"/>
        </w:trPr>
        <w:tc>
          <w:tcPr>
            <w:tcW w:w="2348" w:type="dxa"/>
            <w:vMerge/>
          </w:tcPr>
          <w:p w14:paraId="776A04DD"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3949938A"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56ADD558" w14:textId="08C47C14" w:rsidR="005B411E" w:rsidRDefault="005B411E">
            <w:pPr>
              <w:spacing w:before="60" w:after="60"/>
              <w:ind w:right="57"/>
              <w:rPr>
                <w:rFonts w:eastAsia="Arial" w:cs="Arial"/>
                <w:sz w:val="20"/>
              </w:rPr>
            </w:pPr>
            <w:r>
              <w:rPr>
                <w:rFonts w:eastAsia="Arial" w:cs="Arial"/>
                <w:sz w:val="20"/>
              </w:rPr>
              <w:t xml:space="preserve">See </w:t>
            </w:r>
            <w:r w:rsidR="00795371">
              <w:rPr>
                <w:rFonts w:eastAsia="Arial" w:cs="Arial"/>
                <w:sz w:val="20"/>
              </w:rPr>
              <w:t>Treatment of uncertainty</w:t>
            </w:r>
          </w:p>
        </w:tc>
      </w:tr>
      <w:tr w:rsidR="005B411E" w14:paraId="4581AB85" w14:textId="77777777">
        <w:trPr>
          <w:trHeight w:val="104"/>
        </w:trPr>
        <w:tc>
          <w:tcPr>
            <w:tcW w:w="2348" w:type="dxa"/>
            <w:vMerge/>
          </w:tcPr>
          <w:p w14:paraId="24888CC6"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258D491F"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383ADECA" w14:textId="77777777" w:rsidR="005B411E" w:rsidRDefault="005B411E">
            <w:pPr>
              <w:tabs>
                <w:tab w:val="left" w:pos="567"/>
              </w:tabs>
              <w:spacing w:before="20" w:after="20"/>
              <w:ind w:right="161"/>
              <w:rPr>
                <w:rFonts w:ascii="Calibri" w:eastAsia="Calibri" w:hAnsi="Calibri" w:cs="Calibri"/>
                <w:i/>
                <w:szCs w:val="22"/>
              </w:rPr>
            </w:pPr>
            <w:r>
              <w:rPr>
                <w:sz w:val="20"/>
              </w:rPr>
              <w:t>-</w:t>
            </w:r>
          </w:p>
        </w:tc>
      </w:tr>
      <w:tr w:rsidR="005B411E" w14:paraId="4FBFB1AB" w14:textId="77777777">
        <w:trPr>
          <w:trHeight w:val="104"/>
        </w:trPr>
        <w:tc>
          <w:tcPr>
            <w:tcW w:w="2348" w:type="dxa"/>
            <w:vMerge/>
          </w:tcPr>
          <w:p w14:paraId="1A9DF9BE"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39829B22"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6286282A"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601E092F" w14:textId="77777777">
        <w:tc>
          <w:tcPr>
            <w:tcW w:w="2348" w:type="dxa"/>
            <w:shd w:val="clear" w:color="auto" w:fill="E6E6E6"/>
          </w:tcPr>
          <w:p w14:paraId="7669009D"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1FE9A6CB" w14:textId="74D8C6C1" w:rsidR="005B411E" w:rsidRPr="0051455F" w:rsidRDefault="0051455F">
            <w:pPr>
              <w:rPr>
                <w:rFonts w:cs="Arial"/>
                <w:color w:val="000000"/>
                <w:sz w:val="20"/>
              </w:rPr>
            </w:pPr>
            <w:r w:rsidRPr="0051455F">
              <w:rPr>
                <w:rFonts w:cs="Arial"/>
                <w:color w:val="000000"/>
                <w:sz w:val="20"/>
              </w:rPr>
              <w:t>Surveys are conducted by trained enumerators, verified through visual inspection and geo-tagged photographic evidence, and where possible administered on electronic platforms with built-in quality checks.</w:t>
            </w:r>
          </w:p>
          <w:p w14:paraId="35498271" w14:textId="676BEADC" w:rsidR="005B411E" w:rsidRPr="00F23A12" w:rsidRDefault="0051455F">
            <w:pPr>
              <w:rPr>
                <w:rFonts w:cs="Arial"/>
                <w:color w:val="000000"/>
                <w:sz w:val="20"/>
              </w:rPr>
            </w:pPr>
            <w:r w:rsidRPr="0051455F">
              <w:rPr>
                <w:rFonts w:cs="Arial"/>
                <w:color w:val="000000"/>
                <w:sz w:val="20"/>
              </w:rPr>
              <w:t>SUMs are installed and placed consistently, algorithms validated and publicly disclosed with sample data, and photographs of device placement retained for verification.</w:t>
            </w:r>
          </w:p>
        </w:tc>
      </w:tr>
      <w:tr w:rsidR="00712587" w14:paraId="44BEBDE5" w14:textId="77777777">
        <w:tc>
          <w:tcPr>
            <w:tcW w:w="2348" w:type="dxa"/>
            <w:shd w:val="clear" w:color="auto" w:fill="E6E6E6"/>
          </w:tcPr>
          <w:p w14:paraId="0E20A628" w14:textId="336E5F3F" w:rsidR="00712587" w:rsidRPr="3AE39FA7" w:rsidRDefault="00BF24D4" w:rsidP="00BF24D4">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159308A1" w14:textId="3604D86E" w:rsidR="00712587" w:rsidRPr="00BF24D4" w:rsidRDefault="00795371" w:rsidP="00BF24D4">
            <w:pPr>
              <w:tabs>
                <w:tab w:val="left" w:pos="567"/>
              </w:tabs>
              <w:spacing w:before="20" w:after="20"/>
              <w:ind w:right="159"/>
              <w:rPr>
                <w:rFonts w:cs="Arial"/>
                <w:i/>
                <w:iCs/>
                <w:color w:val="4F81BD" w:themeColor="accent1"/>
                <w:sz w:val="20"/>
              </w:rPr>
            </w:pPr>
            <w:r w:rsidRPr="7D956FC6">
              <w:rPr>
                <w:rFonts w:cs="Arial"/>
                <w:color w:val="000000" w:themeColor="text1"/>
                <w:sz w:val="20"/>
              </w:rPr>
              <w:t>The parameter estimate from the survey must meet the minimum confidence and precision of 95/10 for the percentage of baseline cooking conducted on each cookstove-fuel combination present in the baseline</w:t>
            </w:r>
            <w:r w:rsidR="2CF10DAB" w:rsidRPr="7D956FC6">
              <w:rPr>
                <w:rFonts w:cs="Arial"/>
                <w:color w:val="000000" w:themeColor="text1"/>
                <w:sz w:val="20"/>
              </w:rPr>
              <w:t>.</w:t>
            </w:r>
            <w:r w:rsidR="56C467B2" w:rsidRPr="7D956FC6">
              <w:rPr>
                <w:rFonts w:cs="Arial"/>
                <w:color w:val="000000" w:themeColor="text1"/>
                <w:sz w:val="20"/>
              </w:rPr>
              <w:t xml:space="preserve"> If the target precision is not met, the project proponent shall take the conservative bounds of the confidence intervals as the parameter value, proportionately applied across all the fuels used. The conservative bounds are those that produce a lower CO</w:t>
            </w:r>
            <w:r w:rsidR="56C467B2" w:rsidRPr="7D956FC6">
              <w:rPr>
                <w:rFonts w:cs="Arial"/>
                <w:color w:val="000000" w:themeColor="text1"/>
                <w:sz w:val="20"/>
                <w:vertAlign w:val="subscript"/>
              </w:rPr>
              <w:t>2</w:t>
            </w:r>
            <w:r w:rsidR="56C467B2" w:rsidRPr="7D956FC6">
              <w:rPr>
                <w:rFonts w:cs="Arial"/>
                <w:color w:val="000000" w:themeColor="text1"/>
                <w:sz w:val="20"/>
              </w:rPr>
              <w:t>e emissions reduction estimate.</w:t>
            </w:r>
            <w:r w:rsidR="56C467B2" w:rsidRPr="7D956FC6">
              <w:rPr>
                <w:rFonts w:cs="Arial"/>
                <w:i/>
                <w:iCs/>
                <w:color w:val="4F81BD" w:themeColor="accent1"/>
                <w:sz w:val="20"/>
              </w:rPr>
              <w:t xml:space="preserve"> </w:t>
            </w:r>
          </w:p>
        </w:tc>
      </w:tr>
      <w:tr w:rsidR="005B411E" w14:paraId="4FFBBB29" w14:textId="77777777">
        <w:tc>
          <w:tcPr>
            <w:tcW w:w="2348" w:type="dxa"/>
            <w:shd w:val="clear" w:color="auto" w:fill="E6E6E6"/>
          </w:tcPr>
          <w:p w14:paraId="7B532BA2" w14:textId="77777777" w:rsidR="005B411E" w:rsidRDefault="005B411E">
            <w:pPr>
              <w:spacing w:before="60" w:after="60"/>
              <w:ind w:right="57"/>
              <w:rPr>
                <w:rFonts w:eastAsia="Arial" w:cs="Arial"/>
                <w:sz w:val="20"/>
              </w:rPr>
            </w:pPr>
            <w:r w:rsidRPr="3AE39FA7">
              <w:rPr>
                <w:rFonts w:eastAsia="Arial" w:cs="Arial"/>
                <w:sz w:val="20"/>
              </w:rPr>
              <w:t>Additional comment</w:t>
            </w:r>
          </w:p>
        </w:tc>
        <w:tc>
          <w:tcPr>
            <w:tcW w:w="7224" w:type="dxa"/>
            <w:gridSpan w:val="4"/>
          </w:tcPr>
          <w:p w14:paraId="40BDE4B5" w14:textId="77777777" w:rsidR="005B411E" w:rsidRDefault="005B411E">
            <w:pPr>
              <w:spacing w:before="60" w:after="60"/>
              <w:ind w:right="57"/>
              <w:rPr>
                <w:rFonts w:eastAsia="Arial" w:cs="Arial"/>
                <w:sz w:val="20"/>
              </w:rPr>
            </w:pPr>
            <w:r>
              <w:rPr>
                <w:rFonts w:eastAsia="Arial" w:cs="Arial"/>
                <w:sz w:val="20"/>
              </w:rPr>
              <w:t>-</w:t>
            </w:r>
          </w:p>
        </w:tc>
      </w:tr>
    </w:tbl>
    <w:p w14:paraId="0747F1B5" w14:textId="77777777" w:rsidR="005B411E" w:rsidRDefault="005B411E" w:rsidP="005B411E"/>
    <w:tbl>
      <w:tblPr>
        <w:tblW w:w="9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8"/>
        <w:gridCol w:w="1441"/>
        <w:gridCol w:w="967"/>
        <w:gridCol w:w="2406"/>
        <w:gridCol w:w="2410"/>
      </w:tblGrid>
      <w:tr w:rsidR="005B411E" w14:paraId="1D105B2C" w14:textId="77777777">
        <w:tc>
          <w:tcPr>
            <w:tcW w:w="2348" w:type="dxa"/>
            <w:shd w:val="clear" w:color="auto" w:fill="E6E6E6"/>
          </w:tcPr>
          <w:p w14:paraId="6E10701D" w14:textId="77777777" w:rsidR="005B411E" w:rsidRDefault="005B411E">
            <w:pPr>
              <w:spacing w:before="60" w:after="60"/>
              <w:ind w:right="57"/>
              <w:rPr>
                <w:rFonts w:eastAsia="Arial" w:cs="Arial"/>
                <w:b/>
                <w:sz w:val="20"/>
              </w:rPr>
            </w:pPr>
            <w:r>
              <w:rPr>
                <w:rFonts w:eastAsia="Arial" w:cs="Arial"/>
                <w:b/>
                <w:sz w:val="20"/>
              </w:rPr>
              <w:t>Data/parameter</w:t>
            </w:r>
          </w:p>
        </w:tc>
        <w:tc>
          <w:tcPr>
            <w:tcW w:w="7224" w:type="dxa"/>
            <w:gridSpan w:val="4"/>
          </w:tcPr>
          <w:p w14:paraId="07A9EDB1" w14:textId="77777777" w:rsidR="005B411E" w:rsidRPr="00F23A12" w:rsidRDefault="00000000">
            <w:pPr>
              <w:spacing w:before="60" w:after="60"/>
              <w:ind w:right="57"/>
              <w:rPr>
                <w:rFonts w:eastAsia="Arial" w:cs="Arial"/>
                <w:b/>
                <w:sz w:val="20"/>
              </w:rPr>
            </w:pPr>
            <m:oMathPara>
              <m:oMathParaPr>
                <m:jc m:val="left"/>
              </m:oMathParaPr>
              <m:oMath>
                <m:sSub>
                  <m:sSubPr>
                    <m:ctrlPr>
                      <w:rPr>
                        <w:rFonts w:ascii="Cambria Math" w:eastAsia="Cambria Math" w:hAnsi="Cambria Math" w:cs="Cambria Math"/>
                      </w:rPr>
                    </m:ctrlPr>
                  </m:sSubPr>
                  <m:e>
                    <m:r>
                      <w:rPr>
                        <w:rFonts w:ascii="Cambria Math" w:eastAsia="Roboto" w:hAnsi="Cambria Math" w:cs="Roboto"/>
                        <w:color w:val="040C28"/>
                        <w:sz w:val="30"/>
                        <w:szCs w:val="30"/>
                        <w:highlight w:val="white"/>
                      </w:rPr>
                      <m:t>Ψ</m:t>
                    </m:r>
                  </m:e>
                  <m:sub>
                    <m:r>
                      <w:rPr>
                        <w:rFonts w:ascii="Cambria Math" w:eastAsia="Cambria Math" w:hAnsi="Cambria Math" w:cs="Cambria Math"/>
                      </w:rPr>
                      <m:t>y</m:t>
                    </m:r>
                  </m:sub>
                </m:sSub>
              </m:oMath>
            </m:oMathPara>
          </w:p>
        </w:tc>
      </w:tr>
      <w:tr w:rsidR="005B411E" w14:paraId="27926833" w14:textId="77777777">
        <w:tc>
          <w:tcPr>
            <w:tcW w:w="2348" w:type="dxa"/>
            <w:shd w:val="clear" w:color="auto" w:fill="E6E6E6"/>
          </w:tcPr>
          <w:p w14:paraId="17865F7C" w14:textId="77777777" w:rsidR="005B411E" w:rsidRDefault="005B411E">
            <w:pPr>
              <w:spacing w:before="60" w:after="60"/>
              <w:ind w:right="57"/>
              <w:rPr>
                <w:rFonts w:eastAsia="Arial" w:cs="Arial"/>
                <w:sz w:val="20"/>
              </w:rPr>
            </w:pPr>
            <w:r>
              <w:rPr>
                <w:rFonts w:eastAsia="Arial" w:cs="Arial"/>
                <w:sz w:val="20"/>
              </w:rPr>
              <w:t>Description</w:t>
            </w:r>
          </w:p>
        </w:tc>
        <w:tc>
          <w:tcPr>
            <w:tcW w:w="7224" w:type="dxa"/>
            <w:gridSpan w:val="4"/>
          </w:tcPr>
          <w:p w14:paraId="1909C9E0" w14:textId="77777777" w:rsidR="005B411E" w:rsidRPr="00F23A12" w:rsidRDefault="005B411E">
            <w:pPr>
              <w:rPr>
                <w:rFonts w:cs="Arial"/>
                <w:color w:val="000000"/>
                <w:sz w:val="20"/>
              </w:rPr>
            </w:pPr>
            <w:r w:rsidRPr="761B252D">
              <w:rPr>
                <w:rFonts w:cs="Arial"/>
                <w:color w:val="000000" w:themeColor="text1"/>
                <w:sz w:val="20"/>
              </w:rPr>
              <w:t xml:space="preserve">Percent of project households with cookstoves present, where project cookstove is used at least once per week, determined via survey and visual observation, </w:t>
            </w:r>
            <w:r w:rsidRPr="00737006">
              <w:rPr>
                <w:rFonts w:cs="Arial"/>
                <w:color w:val="000000" w:themeColor="text1"/>
                <w:sz w:val="20"/>
                <w:lang w:val="en-US"/>
              </w:rPr>
              <w:t>or estimated with SUM</w:t>
            </w:r>
            <w:r>
              <w:rPr>
                <w:rFonts w:cs="Arial"/>
                <w:color w:val="000000" w:themeColor="text1"/>
                <w:sz w:val="20"/>
                <w:lang w:val="en-US"/>
              </w:rPr>
              <w:t>s</w:t>
            </w:r>
            <w:r w:rsidRPr="00584530">
              <w:rPr>
                <w:rFonts w:cs="Arial"/>
                <w:color w:val="000000" w:themeColor="text1"/>
                <w:sz w:val="20"/>
                <w:lang w:val="en-US"/>
              </w:rPr>
              <w:t>,</w:t>
            </w:r>
            <w:r w:rsidRPr="761B252D">
              <w:rPr>
                <w:rFonts w:cs="Arial"/>
                <w:color w:val="000000" w:themeColor="text1"/>
                <w:sz w:val="20"/>
              </w:rPr>
              <w:t xml:space="preserve"> in year </w:t>
            </w:r>
            <w:r w:rsidRPr="761B252D">
              <w:rPr>
                <w:rFonts w:cs="Arial"/>
                <w:i/>
                <w:color w:val="000000" w:themeColor="text1"/>
                <w:sz w:val="20"/>
              </w:rPr>
              <w:t>y</w:t>
            </w:r>
            <w:r w:rsidRPr="761B252D">
              <w:rPr>
                <w:rFonts w:cs="Arial"/>
                <w:i/>
                <w:iCs/>
                <w:color w:val="000000" w:themeColor="text1"/>
                <w:sz w:val="20"/>
              </w:rPr>
              <w:t>.</w:t>
            </w:r>
          </w:p>
        </w:tc>
      </w:tr>
      <w:tr w:rsidR="005B411E" w14:paraId="3423DEFB" w14:textId="77777777">
        <w:tc>
          <w:tcPr>
            <w:tcW w:w="2348" w:type="dxa"/>
            <w:shd w:val="clear" w:color="auto" w:fill="E6E6E6"/>
          </w:tcPr>
          <w:p w14:paraId="36B42D7E" w14:textId="77777777" w:rsidR="005B411E" w:rsidRDefault="005B411E">
            <w:pPr>
              <w:spacing w:before="60" w:after="60"/>
              <w:ind w:right="57"/>
              <w:rPr>
                <w:rFonts w:eastAsia="Arial" w:cs="Arial"/>
                <w:sz w:val="20"/>
              </w:rPr>
            </w:pPr>
            <w:r>
              <w:rPr>
                <w:rFonts w:eastAsia="Arial" w:cs="Arial"/>
                <w:sz w:val="20"/>
              </w:rPr>
              <w:t>Data unit</w:t>
            </w:r>
          </w:p>
        </w:tc>
        <w:tc>
          <w:tcPr>
            <w:tcW w:w="7224" w:type="dxa"/>
            <w:gridSpan w:val="4"/>
          </w:tcPr>
          <w:p w14:paraId="394200C2" w14:textId="77777777" w:rsidR="005B411E" w:rsidRPr="00F23A12" w:rsidRDefault="005B411E">
            <w:pPr>
              <w:rPr>
                <w:rFonts w:cs="Arial"/>
                <w:color w:val="000000"/>
                <w:sz w:val="20"/>
              </w:rPr>
            </w:pPr>
            <w:r>
              <w:rPr>
                <w:rFonts w:cs="Arial"/>
                <w:color w:val="000000"/>
                <w:sz w:val="20"/>
              </w:rPr>
              <w:t>Percentage</w:t>
            </w:r>
          </w:p>
        </w:tc>
      </w:tr>
      <w:tr w:rsidR="005B411E" w14:paraId="33335D17" w14:textId="77777777">
        <w:tc>
          <w:tcPr>
            <w:tcW w:w="2348" w:type="dxa"/>
            <w:shd w:val="clear" w:color="auto" w:fill="E6E6E6"/>
          </w:tcPr>
          <w:p w14:paraId="5F2E081E" w14:textId="77777777" w:rsidR="005B411E" w:rsidRDefault="005B411E">
            <w:pPr>
              <w:spacing w:before="60" w:after="60"/>
              <w:ind w:right="57"/>
              <w:rPr>
                <w:rFonts w:eastAsia="Arial" w:cs="Arial"/>
                <w:sz w:val="20"/>
              </w:rPr>
            </w:pPr>
            <w:r>
              <w:rPr>
                <w:rFonts w:eastAsia="Arial" w:cs="Arial"/>
                <w:sz w:val="20"/>
              </w:rPr>
              <w:t>Equations referred</w:t>
            </w:r>
          </w:p>
        </w:tc>
        <w:tc>
          <w:tcPr>
            <w:tcW w:w="7224" w:type="dxa"/>
            <w:gridSpan w:val="4"/>
            <w:tcBorders>
              <w:bottom w:val="single" w:sz="4" w:space="0" w:color="000000" w:themeColor="text1"/>
            </w:tcBorders>
          </w:tcPr>
          <w:p w14:paraId="03FA44F0" w14:textId="50ADB383" w:rsidR="005B411E" w:rsidRDefault="005B411E">
            <w:pPr>
              <w:spacing w:before="60" w:after="60"/>
              <w:ind w:right="57"/>
              <w:rPr>
                <w:rFonts w:eastAsia="Arial" w:cs="Arial"/>
                <w:sz w:val="20"/>
              </w:rPr>
            </w:pPr>
            <w:hyperlink w:anchor="e19" w:history="1">
              <w:r w:rsidRPr="001A42C0">
                <w:rPr>
                  <w:rStyle w:val="Hyperlink"/>
                  <w:rFonts w:eastAsia="Arial" w:cs="Arial"/>
                  <w:sz w:val="20"/>
                </w:rPr>
                <w:t>Eq. 19</w:t>
              </w:r>
            </w:hyperlink>
          </w:p>
        </w:tc>
      </w:tr>
      <w:tr w:rsidR="005B411E" w14:paraId="0E97F35B" w14:textId="77777777">
        <w:tc>
          <w:tcPr>
            <w:tcW w:w="2348" w:type="dxa"/>
            <w:vMerge w:val="restart"/>
            <w:shd w:val="clear" w:color="auto" w:fill="E6E6E6"/>
          </w:tcPr>
          <w:p w14:paraId="54871425" w14:textId="77777777" w:rsidR="005B411E" w:rsidRDefault="005B411E">
            <w:pPr>
              <w:keepNext/>
              <w:spacing w:before="60" w:after="60"/>
              <w:ind w:right="57"/>
              <w:rPr>
                <w:rFonts w:eastAsia="Arial" w:cs="Arial"/>
                <w:sz w:val="20"/>
              </w:rPr>
            </w:pPr>
            <w:r>
              <w:rPr>
                <w:rFonts w:eastAsia="Arial" w:cs="Arial"/>
                <w:sz w:val="20"/>
              </w:rPr>
              <w:t>Purpose of data</w:t>
            </w:r>
          </w:p>
        </w:tc>
        <w:tc>
          <w:tcPr>
            <w:tcW w:w="2408" w:type="dxa"/>
            <w:gridSpan w:val="2"/>
            <w:tcBorders>
              <w:bottom w:val="nil"/>
              <w:right w:val="nil"/>
            </w:tcBorders>
          </w:tcPr>
          <w:p w14:paraId="5D1CB2A5"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AB10B1">
              <w:rPr>
                <w:rFonts w:cs="Arial"/>
                <w:sz w:val="20"/>
              </w:rPr>
              <w:t xml:space="preserve"> Baseline emissions / removals</w:t>
            </w:r>
          </w:p>
        </w:tc>
        <w:tc>
          <w:tcPr>
            <w:tcW w:w="2406" w:type="dxa"/>
            <w:tcBorders>
              <w:left w:val="nil"/>
              <w:bottom w:val="nil"/>
              <w:right w:val="nil"/>
            </w:tcBorders>
          </w:tcPr>
          <w:p w14:paraId="30FE50AA" w14:textId="77777777" w:rsidR="005B411E" w:rsidRDefault="005B411E">
            <w:pPr>
              <w:keepNext/>
              <w:spacing w:before="60" w:after="60"/>
              <w:ind w:right="57"/>
              <w:rPr>
                <w:rFonts w:eastAsia="Arial" w:cs="Arial"/>
                <w:sz w:val="20"/>
              </w:rPr>
            </w:pPr>
            <w:r w:rsidRPr="7EB30EA0">
              <w:rPr>
                <w:rFonts w:ascii="Wingdings 2" w:eastAsia="Wingdings 2" w:hAnsi="Wingdings 2" w:cs="Wingdings 2"/>
                <w:color w:val="000000" w:themeColor="text1"/>
                <w:sz w:val="20"/>
              </w:rPr>
              <w:t>T</w:t>
            </w:r>
            <w:r w:rsidRPr="00AB10B1">
              <w:rPr>
                <w:rFonts w:cs="Arial"/>
                <w:sz w:val="20"/>
              </w:rPr>
              <w:t xml:space="preserve"> Project emissions / removals</w:t>
            </w:r>
          </w:p>
        </w:tc>
        <w:tc>
          <w:tcPr>
            <w:tcW w:w="2410" w:type="dxa"/>
            <w:tcBorders>
              <w:left w:val="nil"/>
              <w:bottom w:val="nil"/>
            </w:tcBorders>
          </w:tcPr>
          <w:p w14:paraId="276952BD" w14:textId="77777777" w:rsidR="005B411E" w:rsidRDefault="005B411E">
            <w:pPr>
              <w:keepNext/>
              <w:spacing w:before="60" w:after="60"/>
              <w:ind w:right="57"/>
              <w:rPr>
                <w:rFonts w:eastAsia="Arial" w:cs="Arial"/>
                <w:sz w:val="20"/>
              </w:rPr>
            </w:pPr>
            <w:r>
              <w:rPr>
                <w:rFonts w:ascii="Segoe UI Symbol" w:hAnsi="Segoe UI Symbol" w:cs="Segoe UI Symbol"/>
                <w:sz w:val="20"/>
                <w:shd w:val="clear" w:color="auto" w:fill="E6E6E6"/>
              </w:rPr>
              <w:t>☐</w:t>
            </w:r>
            <w:r w:rsidRPr="00AB10B1">
              <w:rPr>
                <w:rFonts w:cs="Arial"/>
                <w:sz w:val="20"/>
              </w:rPr>
              <w:t xml:space="preserve"> Leakage emissions</w:t>
            </w:r>
          </w:p>
        </w:tc>
      </w:tr>
      <w:tr w:rsidR="005B411E" w14:paraId="78B3E3A8" w14:textId="77777777">
        <w:tc>
          <w:tcPr>
            <w:tcW w:w="2348" w:type="dxa"/>
            <w:vMerge/>
          </w:tcPr>
          <w:p w14:paraId="765FA39A"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7224" w:type="dxa"/>
            <w:gridSpan w:val="4"/>
            <w:tcBorders>
              <w:top w:val="nil"/>
              <w:bottom w:val="single" w:sz="4" w:space="0" w:color="000000" w:themeColor="text1"/>
            </w:tcBorders>
            <w:vAlign w:val="center"/>
          </w:tcPr>
          <w:p w14:paraId="4E1437F7" w14:textId="77777777" w:rsidR="005B411E" w:rsidRDefault="005B411E">
            <w:pPr>
              <w:spacing w:before="60" w:after="60"/>
              <w:ind w:right="57"/>
              <w:rPr>
                <w:rFonts w:eastAsia="Arial" w:cs="Arial"/>
                <w:i/>
                <w:sz w:val="20"/>
              </w:rPr>
            </w:pPr>
          </w:p>
        </w:tc>
      </w:tr>
      <w:tr w:rsidR="00712587" w14:paraId="66E904AD" w14:textId="77777777">
        <w:tc>
          <w:tcPr>
            <w:tcW w:w="2348" w:type="dxa"/>
            <w:shd w:val="clear" w:color="auto" w:fill="E6E6E6"/>
          </w:tcPr>
          <w:p w14:paraId="30EE6ECB" w14:textId="0698C02A" w:rsidR="00712587" w:rsidRDefault="00712587" w:rsidP="00712587">
            <w:pPr>
              <w:spacing w:before="60" w:after="60"/>
              <w:ind w:right="57"/>
              <w:jc w:val="left"/>
              <w:rPr>
                <w:rFonts w:eastAsia="Arial" w:cs="Arial"/>
                <w:sz w:val="20"/>
              </w:rPr>
            </w:pPr>
            <w:r w:rsidRPr="00131981">
              <w:rPr>
                <w:rFonts w:cs="Arial"/>
                <w:sz w:val="20"/>
              </w:rPr>
              <w:t xml:space="preserve">Measurement </w:t>
            </w:r>
            <w:r>
              <w:rPr>
                <w:rFonts w:cs="Arial"/>
                <w:sz w:val="20"/>
              </w:rPr>
              <w:t>and updating frequency</w:t>
            </w:r>
          </w:p>
        </w:tc>
        <w:tc>
          <w:tcPr>
            <w:tcW w:w="7224" w:type="dxa"/>
            <w:gridSpan w:val="4"/>
            <w:tcBorders>
              <w:bottom w:val="single" w:sz="4" w:space="0" w:color="000000" w:themeColor="text1"/>
            </w:tcBorders>
            <w:vAlign w:val="center"/>
          </w:tcPr>
          <w:p w14:paraId="37720193" w14:textId="77777777" w:rsidR="00712587" w:rsidRDefault="00712587" w:rsidP="00712587">
            <w:pPr>
              <w:rPr>
                <w:rFonts w:cs="Arial"/>
                <w:color w:val="000000"/>
                <w:sz w:val="20"/>
              </w:rPr>
            </w:pPr>
            <w:r>
              <w:rPr>
                <w:rFonts w:cs="Arial"/>
                <w:color w:val="000000"/>
                <w:sz w:val="20"/>
              </w:rPr>
              <w:t>Frequency of monitoring: Annual</w:t>
            </w:r>
          </w:p>
          <w:p w14:paraId="461D2388" w14:textId="77777777" w:rsidR="00712587" w:rsidRPr="3AE39FA7" w:rsidRDefault="00712587">
            <w:pPr>
              <w:rPr>
                <w:rFonts w:eastAsia="Montserrat" w:cs="Arial"/>
                <w:sz w:val="20"/>
              </w:rPr>
            </w:pPr>
          </w:p>
        </w:tc>
      </w:tr>
      <w:tr w:rsidR="005B411E" w14:paraId="1DCEAE78" w14:textId="77777777">
        <w:tc>
          <w:tcPr>
            <w:tcW w:w="2348" w:type="dxa"/>
            <w:shd w:val="clear" w:color="auto" w:fill="E6E6E6"/>
          </w:tcPr>
          <w:p w14:paraId="28319793" w14:textId="77777777" w:rsidR="005B411E" w:rsidRDefault="005B411E">
            <w:pPr>
              <w:spacing w:before="60" w:after="60"/>
              <w:ind w:right="57"/>
              <w:rPr>
                <w:rFonts w:eastAsia="Arial" w:cs="Arial"/>
                <w:sz w:val="20"/>
              </w:rPr>
            </w:pPr>
            <w:r>
              <w:rPr>
                <w:rFonts w:eastAsia="Arial" w:cs="Arial"/>
                <w:sz w:val="20"/>
              </w:rPr>
              <w:t>Measurement methods and procedures</w:t>
            </w:r>
          </w:p>
        </w:tc>
        <w:tc>
          <w:tcPr>
            <w:tcW w:w="7224" w:type="dxa"/>
            <w:gridSpan w:val="4"/>
            <w:tcBorders>
              <w:bottom w:val="single" w:sz="4" w:space="0" w:color="000000" w:themeColor="text1"/>
            </w:tcBorders>
            <w:vAlign w:val="center"/>
          </w:tcPr>
          <w:p w14:paraId="1190997A" w14:textId="77777777" w:rsidR="005B411E" w:rsidRPr="00F23A12" w:rsidRDefault="005B411E">
            <w:pPr>
              <w:rPr>
                <w:rFonts w:eastAsia="Montserrat" w:cs="Arial"/>
                <w:sz w:val="20"/>
              </w:rPr>
            </w:pPr>
            <w:r w:rsidRPr="3AE39FA7">
              <w:rPr>
                <w:rFonts w:eastAsia="Montserrat" w:cs="Arial"/>
                <w:sz w:val="20"/>
              </w:rPr>
              <w:t>Household surveys of project households with cookstoves present for which participants are asked if they use the cookstove more than once per week on average. The cookstove must also be visually observed and indicate signs of consistent intended use:</w:t>
            </w:r>
          </w:p>
          <w:p w14:paraId="735CA433" w14:textId="77777777" w:rsidR="005B411E" w:rsidRPr="00F23A12" w:rsidRDefault="005B411E" w:rsidP="00620061">
            <w:pPr>
              <w:pStyle w:val="ListParagraph"/>
              <w:numPr>
                <w:ilvl w:val="0"/>
                <w:numId w:val="28"/>
              </w:numPr>
              <w:jc w:val="left"/>
              <w:rPr>
                <w:rFonts w:eastAsia="Montserrat" w:cs="Arial"/>
                <w:sz w:val="20"/>
              </w:rPr>
            </w:pPr>
            <w:r w:rsidRPr="00F23A12">
              <w:rPr>
                <w:rFonts w:eastAsia="Montserrat" w:cs="Arial"/>
                <w:sz w:val="20"/>
              </w:rPr>
              <w:t>Cookstove is unpacked</w:t>
            </w:r>
          </w:p>
          <w:p w14:paraId="44143249" w14:textId="77777777" w:rsidR="005B411E" w:rsidRPr="00F23A12" w:rsidRDefault="005B411E" w:rsidP="00620061">
            <w:pPr>
              <w:pStyle w:val="ListParagraph"/>
              <w:numPr>
                <w:ilvl w:val="0"/>
                <w:numId w:val="28"/>
              </w:numPr>
              <w:jc w:val="left"/>
              <w:rPr>
                <w:rFonts w:eastAsia="Montserrat" w:cs="Arial"/>
                <w:sz w:val="20"/>
              </w:rPr>
            </w:pPr>
            <w:r w:rsidRPr="00F23A12">
              <w:rPr>
                <w:rFonts w:eastAsia="Montserrat" w:cs="Arial"/>
                <w:sz w:val="20"/>
              </w:rPr>
              <w:t>Present in an easily accessible area</w:t>
            </w:r>
          </w:p>
          <w:p w14:paraId="55D9FACD" w14:textId="77777777" w:rsidR="005B411E" w:rsidRPr="00F23A12" w:rsidRDefault="005B411E" w:rsidP="00620061">
            <w:pPr>
              <w:pStyle w:val="ListParagraph"/>
              <w:numPr>
                <w:ilvl w:val="0"/>
                <w:numId w:val="28"/>
              </w:numPr>
              <w:jc w:val="left"/>
              <w:rPr>
                <w:rFonts w:eastAsia="Montserrat" w:cs="Arial"/>
                <w:sz w:val="20"/>
              </w:rPr>
            </w:pPr>
            <w:r w:rsidRPr="00F23A12">
              <w:rPr>
                <w:rFonts w:eastAsia="Montserrat" w:cs="Arial"/>
                <w:sz w:val="20"/>
              </w:rPr>
              <w:t>Not being used for a non-cooking purpose</w:t>
            </w:r>
          </w:p>
          <w:p w14:paraId="267773F9" w14:textId="77777777" w:rsidR="005B411E" w:rsidRPr="00F23A12" w:rsidRDefault="005B411E" w:rsidP="00620061">
            <w:pPr>
              <w:pStyle w:val="ListParagraph"/>
              <w:numPr>
                <w:ilvl w:val="0"/>
                <w:numId w:val="28"/>
              </w:numPr>
              <w:jc w:val="left"/>
              <w:rPr>
                <w:rFonts w:eastAsia="Montserrat" w:cs="Arial"/>
                <w:sz w:val="20"/>
              </w:rPr>
            </w:pPr>
            <w:r w:rsidRPr="00F23A12">
              <w:rPr>
                <w:rFonts w:eastAsia="Montserrat" w:cs="Arial"/>
                <w:sz w:val="20"/>
              </w:rPr>
              <w:t>Appears in working condition</w:t>
            </w:r>
          </w:p>
          <w:p w14:paraId="4FA8E7B4" w14:textId="77777777" w:rsidR="005B411E" w:rsidRDefault="005B411E" w:rsidP="00620061">
            <w:pPr>
              <w:pStyle w:val="ListParagraph"/>
              <w:numPr>
                <w:ilvl w:val="0"/>
                <w:numId w:val="28"/>
              </w:numPr>
              <w:jc w:val="left"/>
              <w:rPr>
                <w:rFonts w:eastAsia="Montserrat" w:cs="Arial"/>
                <w:sz w:val="20"/>
              </w:rPr>
            </w:pPr>
            <w:r w:rsidRPr="00F23A12">
              <w:rPr>
                <w:rFonts w:eastAsia="Montserrat" w:cs="Arial"/>
                <w:sz w:val="20"/>
              </w:rPr>
              <w:t>Does not have signs of disuse such as being covered in dust or filled with spider webs</w:t>
            </w:r>
          </w:p>
          <w:p w14:paraId="1DCDD2D6" w14:textId="77777777" w:rsidR="005B411E" w:rsidRPr="00F23A12" w:rsidRDefault="005B411E" w:rsidP="00620061">
            <w:pPr>
              <w:pStyle w:val="ListParagraph"/>
              <w:numPr>
                <w:ilvl w:val="0"/>
                <w:numId w:val="28"/>
              </w:numPr>
              <w:jc w:val="left"/>
              <w:rPr>
                <w:rFonts w:eastAsia="Montserrat" w:cs="Arial"/>
                <w:sz w:val="20"/>
              </w:rPr>
            </w:pPr>
            <w:r>
              <w:rPr>
                <w:rFonts w:eastAsia="Montserrat" w:cs="Arial"/>
                <w:sz w:val="20"/>
              </w:rPr>
              <w:t>Has ashes from recent use</w:t>
            </w:r>
            <w:r w:rsidRPr="00F23A12">
              <w:rPr>
                <w:rFonts w:eastAsia="Montserrat" w:cs="Arial"/>
                <w:sz w:val="20"/>
              </w:rPr>
              <w:br/>
            </w:r>
          </w:p>
          <w:p w14:paraId="7C1E2B8A" w14:textId="77777777" w:rsidR="005B411E" w:rsidRPr="00F23A12" w:rsidRDefault="005B411E">
            <w:pPr>
              <w:rPr>
                <w:rFonts w:eastAsia="Montserrat" w:cs="Arial"/>
                <w:sz w:val="20"/>
              </w:rPr>
            </w:pPr>
            <w:r w:rsidRPr="00F23A12">
              <w:rPr>
                <w:rFonts w:eastAsia="Montserrat" w:cs="Arial"/>
                <w:sz w:val="20"/>
              </w:rPr>
              <w:t>Capped at</w:t>
            </w:r>
            <w:r w:rsidRPr="00F23A12">
              <w:rPr>
                <w:rFonts w:eastAsia="Montserrat" w:cs="Arial"/>
                <w:i/>
                <w:sz w:val="20"/>
              </w:rPr>
              <w:t xml:space="preserve"> </w:t>
            </w:r>
            <w:r w:rsidRPr="00F23A12">
              <w:rPr>
                <w:rFonts w:eastAsia="Montserrat" w:cs="Arial"/>
                <w:sz w:val="20"/>
              </w:rPr>
              <w:t>90% for projects that undertake customer support actions as described below and 75% for those that do not.</w:t>
            </w:r>
          </w:p>
          <w:p w14:paraId="2C793822" w14:textId="77777777" w:rsidR="005B411E" w:rsidRPr="00F23A12" w:rsidRDefault="005B411E">
            <w:pPr>
              <w:rPr>
                <w:rFonts w:eastAsia="Montserrat" w:cs="Arial"/>
                <w:sz w:val="20"/>
              </w:rPr>
            </w:pPr>
          </w:p>
          <w:p w14:paraId="416B3283" w14:textId="55129168" w:rsidR="005B411E" w:rsidRPr="00F23A12" w:rsidRDefault="005B411E">
            <w:pPr>
              <w:rPr>
                <w:rFonts w:eastAsia="Montserrat" w:cs="Arial"/>
                <w:sz w:val="20"/>
              </w:rPr>
            </w:pPr>
            <w:r w:rsidRPr="00F23A12">
              <w:rPr>
                <w:rFonts w:eastAsia="Montserrat" w:cs="Arial"/>
                <w:b/>
                <w:bCs/>
                <w:sz w:val="20"/>
              </w:rPr>
              <w:t>Customer support actions:</w:t>
            </w:r>
            <w:r w:rsidRPr="00F23A12">
              <w:rPr>
                <w:rFonts w:eastAsia="Montserrat" w:cs="Arial"/>
                <w:sz w:val="20"/>
              </w:rPr>
              <w:t xml:space="preserve"> To be eligible to claim up to 90% of maximum PTDs, project proponents </w:t>
            </w:r>
            <w:r>
              <w:rPr>
                <w:rFonts w:eastAsia="Montserrat" w:cs="Arial"/>
                <w:sz w:val="20"/>
              </w:rPr>
              <w:t xml:space="preserve">not estimating PTDs with SUMs </w:t>
            </w:r>
            <w:r w:rsidRPr="00F23A12">
              <w:rPr>
                <w:rFonts w:eastAsia="Montserrat" w:cs="Arial"/>
                <w:sz w:val="20"/>
              </w:rPr>
              <w:t xml:space="preserve">must take the following customer support actions and provide details of how each condition </w:t>
            </w:r>
            <w:r w:rsidRPr="00F23A12">
              <w:rPr>
                <w:rFonts w:eastAsia="Montserrat" w:cs="Arial"/>
                <w:sz w:val="20"/>
              </w:rPr>
              <w:lastRenderedPageBreak/>
              <w:t xml:space="preserve">has or will be met on the </w:t>
            </w:r>
            <w:hyperlink w:anchor="A1" w:history="1">
              <w:r w:rsidRPr="00850906">
                <w:rPr>
                  <w:rStyle w:val="Hyperlink"/>
                  <w:rFonts w:eastAsia="Montserrat" w:cs="Arial"/>
                  <w:sz w:val="20"/>
                </w:rPr>
                <w:t>Project Information Cover Sheet</w:t>
              </w:r>
            </w:hyperlink>
            <w:r w:rsidRPr="00F23A12">
              <w:rPr>
                <w:rFonts w:eastAsia="Montserrat" w:cs="Arial"/>
                <w:sz w:val="20"/>
              </w:rPr>
              <w:t xml:space="preserve"> during the design phase of the project. </w:t>
            </w:r>
          </w:p>
          <w:p w14:paraId="487DB457" w14:textId="77777777" w:rsidR="005B411E" w:rsidRPr="00F23A12" w:rsidRDefault="005B411E">
            <w:pPr>
              <w:rPr>
                <w:rFonts w:eastAsia="Montserrat" w:cs="Arial"/>
                <w:sz w:val="20"/>
              </w:rPr>
            </w:pPr>
          </w:p>
          <w:p w14:paraId="197C44E6" w14:textId="77777777" w:rsidR="005B411E" w:rsidRPr="00F23A12" w:rsidRDefault="005B411E" w:rsidP="00620061">
            <w:pPr>
              <w:pStyle w:val="ListParagraph"/>
              <w:numPr>
                <w:ilvl w:val="0"/>
                <w:numId w:val="29"/>
              </w:numPr>
              <w:jc w:val="left"/>
              <w:rPr>
                <w:rFonts w:eastAsia="Montserrat" w:cs="Arial"/>
                <w:sz w:val="20"/>
              </w:rPr>
            </w:pPr>
            <w:r w:rsidRPr="00F23A12">
              <w:rPr>
                <w:rFonts w:eastAsia="Montserrat" w:cs="Arial"/>
                <w:sz w:val="20"/>
              </w:rPr>
              <w:t xml:space="preserve">Demonstrate that the project has selected technologies and fuels that meet the cooking needs of the target population, either by citing robust research or </w:t>
            </w:r>
            <w:proofErr w:type="gramStart"/>
            <w:r w:rsidRPr="00F23A12">
              <w:rPr>
                <w:rFonts w:eastAsia="Montserrat" w:cs="Arial"/>
                <w:sz w:val="20"/>
              </w:rPr>
              <w:t>conducting an investigation</w:t>
            </w:r>
            <w:proofErr w:type="gramEnd"/>
            <w:r w:rsidRPr="00F23A12">
              <w:rPr>
                <w:rFonts w:eastAsia="Montserrat" w:cs="Arial"/>
                <w:sz w:val="20"/>
              </w:rPr>
              <w:t xml:space="preserve"> of cooking practices and attitudes during the project design phase. </w:t>
            </w:r>
          </w:p>
          <w:p w14:paraId="4F6BF67B" w14:textId="77777777" w:rsidR="005B411E" w:rsidRPr="00F23A12" w:rsidRDefault="005B411E" w:rsidP="00620061">
            <w:pPr>
              <w:pStyle w:val="ListParagraph"/>
              <w:numPr>
                <w:ilvl w:val="0"/>
                <w:numId w:val="29"/>
              </w:numPr>
              <w:jc w:val="left"/>
              <w:rPr>
                <w:rFonts w:eastAsia="Montserrat" w:cs="Arial"/>
                <w:sz w:val="20"/>
              </w:rPr>
            </w:pPr>
            <w:r w:rsidRPr="00F23A12">
              <w:rPr>
                <w:rFonts w:eastAsia="Montserrat" w:cs="Arial"/>
                <w:sz w:val="20"/>
              </w:rPr>
              <w:t>Provide evidence of project participant support activities. These may include such things as providing materials (print, in-person, or video) on how to operate the cookstove to prepare common local foods, how to troubleshoot common operational issues, and how to make minor repairs (including how to access any necessary parts). All project participant communications and materials shall be provided in local language(s) commonly used in the project area.</w:t>
            </w:r>
          </w:p>
          <w:p w14:paraId="7BDBBF19" w14:textId="77777777" w:rsidR="005B411E" w:rsidRPr="00F23A12" w:rsidRDefault="005B411E" w:rsidP="00620061">
            <w:pPr>
              <w:pStyle w:val="ListParagraph"/>
              <w:numPr>
                <w:ilvl w:val="0"/>
                <w:numId w:val="29"/>
              </w:numPr>
              <w:jc w:val="left"/>
              <w:rPr>
                <w:rFonts w:eastAsia="Montserrat" w:cs="Arial"/>
                <w:sz w:val="20"/>
              </w:rPr>
            </w:pPr>
            <w:r w:rsidRPr="00F23A12">
              <w:rPr>
                <w:rFonts w:eastAsia="Montserrat" w:cs="Arial"/>
                <w:sz w:val="20"/>
              </w:rPr>
              <w:t>Project participants must be able to contact the project proponent to access support (e.g., maintenance and repair services) through a commonly used, toll-free communications channel.</w:t>
            </w:r>
          </w:p>
          <w:p w14:paraId="383F09EF" w14:textId="77777777" w:rsidR="005B411E" w:rsidRPr="00F23A12" w:rsidRDefault="005B411E">
            <w:pPr>
              <w:rPr>
                <w:rFonts w:eastAsia="Montserrat" w:cs="Arial"/>
                <w:sz w:val="20"/>
              </w:rPr>
            </w:pPr>
          </w:p>
          <w:p w14:paraId="656CE65F" w14:textId="77777777" w:rsidR="005B411E" w:rsidRDefault="005B411E">
            <w:pPr>
              <w:spacing w:before="60" w:after="60"/>
              <w:ind w:right="57"/>
              <w:rPr>
                <w:rFonts w:eastAsia="Arial" w:cs="Arial"/>
                <w:sz w:val="20"/>
              </w:rPr>
            </w:pPr>
            <w:r w:rsidRPr="00F23A12">
              <w:rPr>
                <w:rFonts w:eastAsia="Montserrat" w:cs="Arial"/>
                <w:sz w:val="20"/>
              </w:rPr>
              <w:t>Project proponents who do not undertake all three of these customer support actions may claim up to 75% of maximum PTDs.</w:t>
            </w:r>
            <w:r>
              <w:rPr>
                <w:rFonts w:eastAsia="Montserrat" w:cs="Arial"/>
                <w:sz w:val="20"/>
              </w:rPr>
              <w:t xml:space="preserve"> These caps are waived when PTDs are estimated using SUMs.</w:t>
            </w:r>
          </w:p>
        </w:tc>
      </w:tr>
      <w:tr w:rsidR="005B411E" w14:paraId="47090CBB" w14:textId="77777777">
        <w:trPr>
          <w:trHeight w:val="107"/>
        </w:trPr>
        <w:tc>
          <w:tcPr>
            <w:tcW w:w="2348" w:type="dxa"/>
            <w:shd w:val="clear" w:color="auto" w:fill="E6E6E6"/>
          </w:tcPr>
          <w:p w14:paraId="1D07F0E9" w14:textId="77777777" w:rsidR="005B411E" w:rsidRDefault="005B411E" w:rsidP="00BF24D4">
            <w:pPr>
              <w:spacing w:before="60" w:after="60"/>
              <w:ind w:right="57"/>
              <w:jc w:val="left"/>
              <w:rPr>
                <w:rFonts w:eastAsia="Arial" w:cs="Arial"/>
                <w:sz w:val="20"/>
              </w:rPr>
            </w:pPr>
            <w:r>
              <w:rPr>
                <w:rFonts w:eastAsia="Arial" w:cs="Arial"/>
                <w:sz w:val="20"/>
              </w:rPr>
              <w:lastRenderedPageBreak/>
              <w:t>Entity/person responsible for the measurement</w:t>
            </w:r>
          </w:p>
        </w:tc>
        <w:tc>
          <w:tcPr>
            <w:tcW w:w="7224" w:type="dxa"/>
            <w:gridSpan w:val="4"/>
            <w:tcBorders>
              <w:top w:val="single" w:sz="4" w:space="0" w:color="000000" w:themeColor="text1"/>
            </w:tcBorders>
          </w:tcPr>
          <w:p w14:paraId="54B1E0C7" w14:textId="77777777" w:rsidR="005B411E" w:rsidRDefault="005B411E">
            <w:pPr>
              <w:spacing w:before="60" w:after="60"/>
              <w:ind w:right="57"/>
              <w:rPr>
                <w:rFonts w:eastAsia="Arial" w:cs="Arial"/>
                <w:sz w:val="20"/>
              </w:rPr>
            </w:pPr>
            <w:r>
              <w:rPr>
                <w:rFonts w:eastAsia="Arial" w:cs="Arial"/>
                <w:sz w:val="20"/>
              </w:rPr>
              <w:t>Project proponent</w:t>
            </w:r>
          </w:p>
        </w:tc>
      </w:tr>
      <w:tr w:rsidR="005B411E" w14:paraId="3CDF9F68" w14:textId="77777777">
        <w:trPr>
          <w:trHeight w:val="107"/>
        </w:trPr>
        <w:tc>
          <w:tcPr>
            <w:tcW w:w="2348" w:type="dxa"/>
            <w:vMerge w:val="restart"/>
            <w:shd w:val="clear" w:color="auto" w:fill="E6E6E6"/>
          </w:tcPr>
          <w:p w14:paraId="413A44FD" w14:textId="77777777" w:rsidR="005B411E" w:rsidRDefault="005B411E">
            <w:pPr>
              <w:spacing w:before="60" w:after="60"/>
              <w:ind w:right="57"/>
              <w:rPr>
                <w:rFonts w:eastAsia="Arial" w:cs="Arial"/>
                <w:sz w:val="20"/>
              </w:rPr>
            </w:pPr>
            <w:r>
              <w:rPr>
                <w:rFonts w:eastAsia="Arial" w:cs="Arial"/>
                <w:sz w:val="20"/>
              </w:rPr>
              <w:t>Measuring instrument(s)</w:t>
            </w:r>
          </w:p>
        </w:tc>
        <w:tc>
          <w:tcPr>
            <w:tcW w:w="1441" w:type="dxa"/>
            <w:tcBorders>
              <w:top w:val="single" w:sz="4" w:space="0" w:color="000000" w:themeColor="text1"/>
            </w:tcBorders>
          </w:tcPr>
          <w:p w14:paraId="73757CB1" w14:textId="77777777" w:rsidR="005B411E" w:rsidRDefault="005B411E">
            <w:pPr>
              <w:spacing w:before="60" w:after="60"/>
              <w:ind w:right="57"/>
              <w:rPr>
                <w:rFonts w:eastAsia="Arial" w:cs="Arial"/>
                <w:i/>
                <w:sz w:val="20"/>
              </w:rPr>
            </w:pPr>
            <w:r>
              <w:rPr>
                <w:rFonts w:eastAsia="Arial" w:cs="Arial"/>
                <w:i/>
                <w:sz w:val="20"/>
              </w:rPr>
              <w:t>Type of instrument</w:t>
            </w:r>
          </w:p>
        </w:tc>
        <w:tc>
          <w:tcPr>
            <w:tcW w:w="5783" w:type="dxa"/>
            <w:gridSpan w:val="3"/>
            <w:tcBorders>
              <w:top w:val="single" w:sz="4" w:space="0" w:color="000000" w:themeColor="text1"/>
            </w:tcBorders>
          </w:tcPr>
          <w:p w14:paraId="7D3D89E2" w14:textId="77777777" w:rsidR="005B411E" w:rsidRDefault="005B411E">
            <w:pPr>
              <w:spacing w:before="60" w:after="60"/>
              <w:ind w:right="57"/>
              <w:rPr>
                <w:rFonts w:eastAsia="Arial" w:cs="Arial"/>
                <w:sz w:val="20"/>
              </w:rPr>
            </w:pPr>
            <w:r>
              <w:rPr>
                <w:rFonts w:eastAsia="Arial" w:cs="Arial"/>
                <w:sz w:val="20"/>
              </w:rPr>
              <w:t>Household surveys</w:t>
            </w:r>
          </w:p>
        </w:tc>
      </w:tr>
      <w:tr w:rsidR="005B411E" w14:paraId="58FD9464" w14:textId="77777777">
        <w:trPr>
          <w:trHeight w:val="104"/>
        </w:trPr>
        <w:tc>
          <w:tcPr>
            <w:tcW w:w="2348" w:type="dxa"/>
            <w:vMerge/>
          </w:tcPr>
          <w:p w14:paraId="69F33FCE"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33E3B8AC" w14:textId="77777777" w:rsidR="005B411E" w:rsidRDefault="005B411E">
            <w:pPr>
              <w:spacing w:before="60" w:after="60"/>
              <w:ind w:right="57"/>
              <w:rPr>
                <w:rFonts w:eastAsia="Arial" w:cs="Arial"/>
                <w:i/>
                <w:sz w:val="20"/>
              </w:rPr>
            </w:pPr>
            <w:r>
              <w:rPr>
                <w:rFonts w:eastAsia="Arial" w:cs="Arial"/>
                <w:i/>
                <w:sz w:val="20"/>
              </w:rPr>
              <w:t>Accuracy class</w:t>
            </w:r>
          </w:p>
        </w:tc>
        <w:tc>
          <w:tcPr>
            <w:tcW w:w="5783" w:type="dxa"/>
            <w:gridSpan w:val="3"/>
            <w:tcBorders>
              <w:top w:val="single" w:sz="4" w:space="0" w:color="000000" w:themeColor="text1"/>
            </w:tcBorders>
          </w:tcPr>
          <w:p w14:paraId="42307B78" w14:textId="72EFCAE0" w:rsidR="005B411E" w:rsidRDefault="005B411E">
            <w:pPr>
              <w:spacing w:before="60" w:after="60"/>
              <w:ind w:right="57"/>
              <w:rPr>
                <w:rFonts w:eastAsia="Arial" w:cs="Arial"/>
                <w:sz w:val="20"/>
              </w:rPr>
            </w:pPr>
            <w:r>
              <w:rPr>
                <w:rFonts w:eastAsia="Arial" w:cs="Arial"/>
                <w:sz w:val="20"/>
              </w:rPr>
              <w:t xml:space="preserve">See </w:t>
            </w:r>
            <w:r w:rsidR="00795371">
              <w:rPr>
                <w:rFonts w:eastAsia="Arial" w:cs="Arial"/>
                <w:sz w:val="20"/>
              </w:rPr>
              <w:t>Treatment of uncertainty</w:t>
            </w:r>
          </w:p>
        </w:tc>
      </w:tr>
      <w:tr w:rsidR="005B411E" w14:paraId="78C947E9" w14:textId="77777777">
        <w:trPr>
          <w:trHeight w:val="104"/>
        </w:trPr>
        <w:tc>
          <w:tcPr>
            <w:tcW w:w="2348" w:type="dxa"/>
            <w:vMerge/>
          </w:tcPr>
          <w:p w14:paraId="1332AC74" w14:textId="77777777" w:rsidR="005B411E" w:rsidRDefault="005B411E">
            <w:pPr>
              <w:widowControl w:val="0"/>
              <w:pBdr>
                <w:top w:val="nil"/>
                <w:left w:val="nil"/>
                <w:bottom w:val="nil"/>
                <w:right w:val="nil"/>
                <w:between w:val="nil"/>
              </w:pBdr>
              <w:spacing w:line="276" w:lineRule="auto"/>
              <w:rPr>
                <w:rFonts w:eastAsia="Arial" w:cs="Arial"/>
                <w:sz w:val="20"/>
              </w:rPr>
            </w:pPr>
          </w:p>
        </w:tc>
        <w:tc>
          <w:tcPr>
            <w:tcW w:w="1441" w:type="dxa"/>
            <w:tcBorders>
              <w:top w:val="single" w:sz="4" w:space="0" w:color="000000" w:themeColor="text1"/>
            </w:tcBorders>
          </w:tcPr>
          <w:p w14:paraId="1A0E95BD" w14:textId="77777777" w:rsidR="005B411E" w:rsidRDefault="005B411E">
            <w:pPr>
              <w:spacing w:before="60" w:after="60"/>
              <w:ind w:right="57"/>
              <w:rPr>
                <w:rFonts w:eastAsia="Arial" w:cs="Arial"/>
                <w:i/>
                <w:sz w:val="20"/>
              </w:rPr>
            </w:pPr>
            <w:r>
              <w:rPr>
                <w:rFonts w:eastAsia="Arial" w:cs="Arial"/>
                <w:i/>
                <w:sz w:val="20"/>
              </w:rPr>
              <w:t>Calibration requirements</w:t>
            </w:r>
          </w:p>
        </w:tc>
        <w:tc>
          <w:tcPr>
            <w:tcW w:w="5783" w:type="dxa"/>
            <w:gridSpan w:val="3"/>
            <w:tcBorders>
              <w:top w:val="single" w:sz="4" w:space="0" w:color="000000" w:themeColor="text1"/>
            </w:tcBorders>
          </w:tcPr>
          <w:p w14:paraId="3C9344F5" w14:textId="77777777" w:rsidR="005B411E" w:rsidRDefault="005B411E">
            <w:pPr>
              <w:tabs>
                <w:tab w:val="left" w:pos="567"/>
              </w:tabs>
              <w:spacing w:before="20" w:after="20"/>
              <w:ind w:right="161"/>
              <w:rPr>
                <w:rFonts w:ascii="Calibri" w:eastAsia="Calibri" w:hAnsi="Calibri" w:cs="Calibri"/>
                <w:i/>
                <w:szCs w:val="22"/>
              </w:rPr>
            </w:pPr>
            <w:r>
              <w:rPr>
                <w:sz w:val="20"/>
              </w:rPr>
              <w:t>-</w:t>
            </w:r>
          </w:p>
        </w:tc>
      </w:tr>
      <w:tr w:rsidR="005B411E" w14:paraId="7C61530F" w14:textId="77777777">
        <w:trPr>
          <w:trHeight w:val="104"/>
        </w:trPr>
        <w:tc>
          <w:tcPr>
            <w:tcW w:w="2348" w:type="dxa"/>
            <w:vMerge/>
          </w:tcPr>
          <w:p w14:paraId="5CD8BED6" w14:textId="77777777" w:rsidR="005B411E" w:rsidRDefault="005B411E">
            <w:pPr>
              <w:widowControl w:val="0"/>
              <w:pBdr>
                <w:top w:val="nil"/>
                <w:left w:val="nil"/>
                <w:bottom w:val="nil"/>
                <w:right w:val="nil"/>
                <w:between w:val="nil"/>
              </w:pBdr>
              <w:spacing w:line="276" w:lineRule="auto"/>
              <w:rPr>
                <w:rFonts w:ascii="Calibri" w:eastAsia="Calibri" w:hAnsi="Calibri" w:cs="Calibri"/>
                <w:i/>
                <w:szCs w:val="22"/>
              </w:rPr>
            </w:pPr>
          </w:p>
        </w:tc>
        <w:tc>
          <w:tcPr>
            <w:tcW w:w="1441" w:type="dxa"/>
            <w:tcBorders>
              <w:top w:val="single" w:sz="4" w:space="0" w:color="000000" w:themeColor="text1"/>
            </w:tcBorders>
          </w:tcPr>
          <w:p w14:paraId="021E0810" w14:textId="77777777" w:rsidR="005B411E" w:rsidRDefault="005B411E">
            <w:pPr>
              <w:spacing w:before="60" w:after="60"/>
              <w:ind w:right="57"/>
              <w:rPr>
                <w:rFonts w:eastAsia="Arial" w:cs="Arial"/>
                <w:i/>
                <w:sz w:val="20"/>
              </w:rPr>
            </w:pPr>
            <w:r>
              <w:rPr>
                <w:rFonts w:eastAsia="Arial" w:cs="Arial"/>
                <w:i/>
                <w:sz w:val="20"/>
              </w:rPr>
              <w:t>Location</w:t>
            </w:r>
          </w:p>
        </w:tc>
        <w:tc>
          <w:tcPr>
            <w:tcW w:w="5783" w:type="dxa"/>
            <w:gridSpan w:val="3"/>
            <w:tcBorders>
              <w:top w:val="single" w:sz="4" w:space="0" w:color="000000" w:themeColor="text1"/>
            </w:tcBorders>
          </w:tcPr>
          <w:p w14:paraId="55280C01" w14:textId="77777777" w:rsidR="005B411E" w:rsidRDefault="005B411E">
            <w:pPr>
              <w:spacing w:before="60" w:after="60"/>
              <w:ind w:right="57"/>
              <w:rPr>
                <w:rFonts w:eastAsia="Arial" w:cs="Arial"/>
                <w:sz w:val="20"/>
              </w:rPr>
            </w:pPr>
            <w:r>
              <w:rPr>
                <w:rFonts w:eastAsia="Arial" w:cs="Arial"/>
                <w:sz w:val="20"/>
              </w:rPr>
              <w:t>Project households</w:t>
            </w:r>
          </w:p>
        </w:tc>
      </w:tr>
      <w:tr w:rsidR="005B411E" w14:paraId="12777D45" w14:textId="77777777">
        <w:tc>
          <w:tcPr>
            <w:tcW w:w="2348" w:type="dxa"/>
            <w:shd w:val="clear" w:color="auto" w:fill="E6E6E6"/>
          </w:tcPr>
          <w:p w14:paraId="57FF351E" w14:textId="77777777" w:rsidR="005B411E" w:rsidRDefault="005B411E">
            <w:pPr>
              <w:spacing w:before="60" w:after="60"/>
              <w:ind w:right="57"/>
              <w:rPr>
                <w:rFonts w:eastAsia="Arial" w:cs="Arial"/>
                <w:sz w:val="20"/>
              </w:rPr>
            </w:pPr>
            <w:r>
              <w:rPr>
                <w:rFonts w:eastAsia="Arial" w:cs="Arial"/>
                <w:sz w:val="20"/>
              </w:rPr>
              <w:t>QA/QC procedures</w:t>
            </w:r>
          </w:p>
        </w:tc>
        <w:tc>
          <w:tcPr>
            <w:tcW w:w="7224" w:type="dxa"/>
            <w:gridSpan w:val="4"/>
          </w:tcPr>
          <w:p w14:paraId="75A61C34" w14:textId="77777777" w:rsidR="00E27D59" w:rsidRPr="0051455F" w:rsidRDefault="00E27D59" w:rsidP="00E27D59">
            <w:pPr>
              <w:rPr>
                <w:rFonts w:cs="Arial"/>
                <w:color w:val="000000"/>
                <w:sz w:val="20"/>
              </w:rPr>
            </w:pPr>
            <w:r w:rsidRPr="0051455F">
              <w:rPr>
                <w:rFonts w:cs="Arial"/>
                <w:color w:val="000000"/>
                <w:sz w:val="20"/>
              </w:rPr>
              <w:t>Surveys are conducted by trained enumerators, verified through visual inspection and geo-tagged photographic evidence, and where possible administered on electronic platforms with built-in quality checks.</w:t>
            </w:r>
          </w:p>
          <w:p w14:paraId="74A5A9FE" w14:textId="7446E82F" w:rsidR="005B411E" w:rsidRPr="00F23A12" w:rsidRDefault="005B411E">
            <w:pPr>
              <w:rPr>
                <w:rFonts w:cs="Arial"/>
                <w:color w:val="000000"/>
                <w:sz w:val="20"/>
              </w:rPr>
            </w:pPr>
          </w:p>
        </w:tc>
      </w:tr>
      <w:tr w:rsidR="00712587" w14:paraId="2D83E021" w14:textId="77777777">
        <w:tc>
          <w:tcPr>
            <w:tcW w:w="2348" w:type="dxa"/>
            <w:shd w:val="clear" w:color="auto" w:fill="E6E6E6"/>
          </w:tcPr>
          <w:p w14:paraId="79E3B48F" w14:textId="51AC641D" w:rsidR="00712587" w:rsidRDefault="00712587" w:rsidP="00712587">
            <w:pPr>
              <w:spacing w:before="60" w:after="60"/>
              <w:ind w:right="57"/>
              <w:jc w:val="left"/>
              <w:rPr>
                <w:rFonts w:eastAsia="Arial" w:cs="Arial"/>
                <w:sz w:val="20"/>
              </w:rPr>
            </w:pPr>
            <w:r w:rsidRPr="00712587">
              <w:rPr>
                <w:rFonts w:eastAsia="Arial" w:cs="Arial"/>
                <w:sz w:val="20"/>
              </w:rPr>
              <w:t>Treatment of uncertainty</w:t>
            </w:r>
          </w:p>
        </w:tc>
        <w:tc>
          <w:tcPr>
            <w:tcW w:w="7224" w:type="dxa"/>
            <w:gridSpan w:val="4"/>
          </w:tcPr>
          <w:p w14:paraId="2F92CB09" w14:textId="489167C0" w:rsidR="00712587" w:rsidRPr="00712587" w:rsidRDefault="00795371" w:rsidP="00712587">
            <w:pPr>
              <w:tabs>
                <w:tab w:val="left" w:pos="567"/>
              </w:tabs>
              <w:spacing w:before="20" w:after="20"/>
              <w:ind w:right="159"/>
              <w:rPr>
                <w:rFonts w:cs="Arial"/>
                <w:i/>
                <w:iCs/>
                <w:color w:val="4F81BD" w:themeColor="accent1"/>
                <w:sz w:val="20"/>
              </w:rPr>
            </w:pPr>
            <w:r w:rsidRPr="7D956FC6">
              <w:rPr>
                <w:rFonts w:cs="Arial"/>
                <w:color w:val="000000" w:themeColor="text1"/>
                <w:sz w:val="20"/>
              </w:rPr>
              <w:t>Sampling must be conducted to meet the 95/10 precision guideline on the target parameter of the percentage of project households with cookstoves present in which project cookstove is used at least once per week</w:t>
            </w:r>
            <w:r w:rsidR="2CF10DAB" w:rsidRPr="7D956FC6">
              <w:rPr>
                <w:rFonts w:cs="Arial"/>
                <w:color w:val="000000" w:themeColor="text1"/>
                <w:sz w:val="20"/>
              </w:rPr>
              <w:t>.</w:t>
            </w:r>
            <w:r w:rsidR="2B8D2D0C" w:rsidRPr="7D956FC6">
              <w:rPr>
                <w:rFonts w:cs="Arial"/>
                <w:color w:val="000000" w:themeColor="text1"/>
                <w:sz w:val="20"/>
              </w:rPr>
              <w:t xml:space="preserve"> If the target precision is not met, the project proponent shall take the conservative bounds of the confidence intervals as the parameter value, proportionately applied across all the fuels used. The conservative bounds are those that produce a lower CO</w:t>
            </w:r>
            <w:r w:rsidR="2B8D2D0C" w:rsidRPr="7D956FC6">
              <w:rPr>
                <w:rFonts w:cs="Arial"/>
                <w:color w:val="000000" w:themeColor="text1"/>
                <w:sz w:val="20"/>
                <w:vertAlign w:val="subscript"/>
              </w:rPr>
              <w:t>2</w:t>
            </w:r>
            <w:r w:rsidR="2B8D2D0C" w:rsidRPr="7D956FC6">
              <w:rPr>
                <w:rFonts w:cs="Arial"/>
                <w:color w:val="000000" w:themeColor="text1"/>
                <w:sz w:val="20"/>
              </w:rPr>
              <w:t>e emissions reduction estimate.</w:t>
            </w:r>
            <w:r w:rsidR="2B8D2D0C" w:rsidRPr="7D956FC6">
              <w:rPr>
                <w:rFonts w:cs="Arial"/>
                <w:i/>
                <w:iCs/>
                <w:color w:val="4F81BD" w:themeColor="accent1"/>
                <w:sz w:val="20"/>
              </w:rPr>
              <w:t xml:space="preserve"> </w:t>
            </w:r>
          </w:p>
        </w:tc>
      </w:tr>
      <w:tr w:rsidR="005B411E" w14:paraId="571ED5F6" w14:textId="77777777">
        <w:tc>
          <w:tcPr>
            <w:tcW w:w="2348" w:type="dxa"/>
            <w:shd w:val="clear" w:color="auto" w:fill="E6E6E6"/>
          </w:tcPr>
          <w:p w14:paraId="0D0D8D9F" w14:textId="77777777" w:rsidR="005B411E" w:rsidRDefault="005B411E">
            <w:pPr>
              <w:spacing w:before="60" w:after="60"/>
              <w:ind w:right="57"/>
              <w:rPr>
                <w:rFonts w:eastAsia="Arial" w:cs="Arial"/>
                <w:sz w:val="20"/>
              </w:rPr>
            </w:pPr>
            <w:r w:rsidRPr="3AE39FA7">
              <w:rPr>
                <w:rFonts w:eastAsia="Arial" w:cs="Arial"/>
                <w:sz w:val="20"/>
              </w:rPr>
              <w:t>Additional comment</w:t>
            </w:r>
          </w:p>
        </w:tc>
        <w:tc>
          <w:tcPr>
            <w:tcW w:w="7224" w:type="dxa"/>
            <w:gridSpan w:val="4"/>
          </w:tcPr>
          <w:p w14:paraId="5BFEC029" w14:textId="77777777" w:rsidR="005B411E" w:rsidRDefault="005B411E">
            <w:pPr>
              <w:spacing w:before="60" w:after="60"/>
              <w:ind w:right="57"/>
              <w:rPr>
                <w:rFonts w:eastAsia="Arial" w:cs="Arial"/>
                <w:sz w:val="20"/>
              </w:rPr>
            </w:pPr>
            <w:r>
              <w:rPr>
                <w:rFonts w:eastAsia="Arial" w:cs="Arial"/>
                <w:sz w:val="20"/>
              </w:rPr>
              <w:t>-</w:t>
            </w:r>
          </w:p>
        </w:tc>
      </w:tr>
    </w:tbl>
    <w:p w14:paraId="33C251DD" w14:textId="77777777" w:rsidR="00355A65" w:rsidRPr="00693C63" w:rsidRDefault="00355A65" w:rsidP="00D049C9">
      <w:pPr>
        <w:pStyle w:val="SDMPara"/>
        <w:numPr>
          <w:ilvl w:val="0"/>
          <w:numId w:val="0"/>
        </w:numPr>
        <w:rPr>
          <w:i/>
          <w:iCs/>
          <w:color w:val="4F81BD" w:themeColor="accent1"/>
        </w:rPr>
      </w:pPr>
    </w:p>
    <w:p w14:paraId="32641BA1" w14:textId="5D6119AB" w:rsidR="00E70EB3" w:rsidRPr="008569FE" w:rsidRDefault="00E70EB3" w:rsidP="00E70EB3">
      <w:pPr>
        <w:pStyle w:val="SDMHead2"/>
      </w:pPr>
      <w:bookmarkStart w:id="88" w:name="S151"/>
      <w:r w:rsidRPr="008569FE">
        <w:t>Frequency</w:t>
      </w:r>
      <w:bookmarkEnd w:id="88"/>
      <w:r w:rsidRPr="008569FE">
        <w:t xml:space="preserve"> of submission of monitoring reports</w:t>
      </w:r>
    </w:p>
    <w:p w14:paraId="54134543" w14:textId="77777777" w:rsidR="00620D13" w:rsidRDefault="00474D3B" w:rsidP="00E70EB3">
      <w:pPr>
        <w:pStyle w:val="SDMPara"/>
      </w:pPr>
      <w:r>
        <w:t>For activities involving removals and for emission reduction activities with risks of reversals</w:t>
      </w:r>
      <w:r w:rsidR="00620D13">
        <w:t>:</w:t>
      </w:r>
    </w:p>
    <w:p w14:paraId="6753ADEE" w14:textId="61A1D8D1" w:rsidR="00620D13" w:rsidRDefault="00070F20" w:rsidP="00620D13">
      <w:pPr>
        <w:pStyle w:val="SDMSubPara1"/>
      </w:pPr>
      <w:r>
        <w:lastRenderedPageBreak/>
        <w:t xml:space="preserve">The </w:t>
      </w:r>
      <w:r w:rsidRPr="00805494">
        <w:t>maximum permissible interval between the start date of the first crediting period and the submission of the first monitoring report</w:t>
      </w:r>
      <w:r>
        <w:t xml:space="preserve"> is </w:t>
      </w:r>
      <w:r w:rsidR="004B3B43">
        <w:t>5</w:t>
      </w:r>
      <w:r w:rsidR="005B1F0C">
        <w:t xml:space="preserve"> </w:t>
      </w:r>
      <w:r w:rsidR="00155C32">
        <w:t>years</w:t>
      </w:r>
      <w:r w:rsidR="00620D13">
        <w:t>; and</w:t>
      </w:r>
    </w:p>
    <w:p w14:paraId="0262B85D" w14:textId="6723FAFC" w:rsidR="00601F4F" w:rsidRPr="00D2757C" w:rsidRDefault="00155C32" w:rsidP="00D2757C">
      <w:pPr>
        <w:pStyle w:val="SDMSubPara1"/>
      </w:pPr>
      <w:r>
        <w:t>T</w:t>
      </w:r>
      <w:r w:rsidR="002078BF" w:rsidRPr="00805494">
        <w:t xml:space="preserve">he maximum permissible interval between the submission of two consecutive monitoring reports after the first monitoring report </w:t>
      </w:r>
      <w:r>
        <w:t xml:space="preserve">is </w:t>
      </w:r>
      <w:r w:rsidR="004B3B43" w:rsidRPr="008569FE">
        <w:rPr>
          <w:color w:val="000000" w:themeColor="text1"/>
        </w:rPr>
        <w:t>5</w:t>
      </w:r>
      <w:r>
        <w:t xml:space="preserve"> years.</w:t>
      </w:r>
    </w:p>
    <w:p w14:paraId="35703535" w14:textId="77777777" w:rsidR="00D732C1" w:rsidRDefault="00D732C1" w:rsidP="00B07FEB">
      <w:pPr>
        <w:ind w:right="159"/>
        <w:rPr>
          <w:rStyle w:val="normaltextrun"/>
          <w:color w:val="000000" w:themeColor="text1"/>
        </w:rPr>
      </w:pPr>
    </w:p>
    <w:p w14:paraId="4593556F" w14:textId="015C3F5A" w:rsidR="00F8254D" w:rsidRDefault="00931B0B" w:rsidP="00B07FEB">
      <w:pPr>
        <w:ind w:right="159"/>
        <w:rPr>
          <w:rFonts w:cs="Arial"/>
          <w:szCs w:val="22"/>
          <w:lang w:val="en-US"/>
        </w:rPr>
      </w:pPr>
      <w:r>
        <w:rPr>
          <w:rStyle w:val="normaltextrun"/>
          <w:color w:val="000000" w:themeColor="text1"/>
        </w:rPr>
        <w:t xml:space="preserve">While a monitoring period can be up to 5 years, </w:t>
      </w:r>
      <w:r w:rsidR="00D732C1" w:rsidRPr="12EF884F">
        <w:rPr>
          <w:rStyle w:val="normaltextrun"/>
          <w:color w:val="000000" w:themeColor="text1"/>
        </w:rPr>
        <w:t>CLEAR recommends a two-year maximum for the monitoring period, since KPTs must be conducted at least every two years.</w:t>
      </w:r>
      <w:r w:rsidR="00D732C1">
        <w:rPr>
          <w:rStyle w:val="normaltextrun"/>
          <w:color w:val="000000" w:themeColor="text1"/>
        </w:rPr>
        <w:t xml:space="preserve"> Monitoring reports must </w:t>
      </w:r>
      <w:r>
        <w:rPr>
          <w:rStyle w:val="normaltextrun"/>
          <w:color w:val="000000" w:themeColor="text1"/>
        </w:rPr>
        <w:t>be based on completed KPTs.</w:t>
      </w:r>
    </w:p>
    <w:p w14:paraId="4ED1D057" w14:textId="77777777" w:rsidR="00B07FEB" w:rsidRPr="00D2757C" w:rsidRDefault="00B07FEB" w:rsidP="00D2757C">
      <w:pPr>
        <w:pStyle w:val="SDMPara"/>
        <w:ind w:right="159"/>
        <w:rPr>
          <w:lang w:val="en-US"/>
        </w:rPr>
      </w:pPr>
      <w:r w:rsidRPr="00D2757C">
        <w:rPr>
          <w:lang w:val="en-US"/>
        </w:rPr>
        <w:t>The two tables below present the monitoring activity schedule for CTEC and non-CTEC projects, respectively. </w:t>
      </w:r>
    </w:p>
    <w:p w14:paraId="62326B0D" w14:textId="77777777" w:rsidR="00B07FEB" w:rsidRPr="00B07FEB" w:rsidRDefault="00B07FEB" w:rsidP="00B07FEB">
      <w:pPr>
        <w:ind w:right="159"/>
        <w:rPr>
          <w:rFonts w:cs="Arial"/>
          <w:szCs w:val="22"/>
          <w:lang w:val="en-US"/>
        </w:rPr>
      </w:pPr>
      <w:r w:rsidRPr="00B07FEB">
        <w:rPr>
          <w:rFonts w:cs="Arial"/>
          <w:szCs w:val="22"/>
          <w:lang w:val="en-US"/>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675"/>
        <w:gridCol w:w="1440"/>
        <w:gridCol w:w="1620"/>
        <w:gridCol w:w="1080"/>
        <w:gridCol w:w="1380"/>
      </w:tblGrid>
      <w:tr w:rsidR="00B07FEB" w:rsidRPr="00B07FEB" w14:paraId="4BEC07A1" w14:textId="77777777" w:rsidTr="00B07FEB">
        <w:trPr>
          <w:trHeight w:val="300"/>
        </w:trPr>
        <w:tc>
          <w:tcPr>
            <w:tcW w:w="9195" w:type="dxa"/>
            <w:gridSpan w:val="5"/>
            <w:tcBorders>
              <w:top w:val="single" w:sz="6" w:space="0" w:color="auto"/>
              <w:left w:val="single" w:sz="6" w:space="0" w:color="auto"/>
              <w:bottom w:val="single" w:sz="6" w:space="0" w:color="auto"/>
              <w:right w:val="single" w:sz="6" w:space="0" w:color="auto"/>
            </w:tcBorders>
            <w:vAlign w:val="bottom"/>
            <w:hideMark/>
          </w:tcPr>
          <w:p w14:paraId="4341BC92" w14:textId="5CECBBD4" w:rsidR="00B07FEB" w:rsidRPr="00B07FEB" w:rsidRDefault="00B07FEB" w:rsidP="004417E5">
            <w:pPr>
              <w:ind w:right="159"/>
              <w:jc w:val="center"/>
              <w:divId w:val="739324334"/>
              <w:rPr>
                <w:rFonts w:cs="Arial"/>
                <w:szCs w:val="22"/>
                <w:lang w:val="en-US"/>
              </w:rPr>
            </w:pPr>
            <w:r w:rsidRPr="00B07FEB">
              <w:rPr>
                <w:rFonts w:cs="Arial"/>
                <w:b/>
                <w:bCs/>
                <w:szCs w:val="22"/>
              </w:rPr>
              <w:t>Monitoring activity schedule for CTEC projects</w:t>
            </w:r>
          </w:p>
        </w:tc>
      </w:tr>
      <w:tr w:rsidR="00B07FEB" w:rsidRPr="00B07FEB" w14:paraId="092B05C4"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38ED761E" w14:textId="77777777" w:rsidR="00B07FEB" w:rsidRPr="00B07FEB" w:rsidRDefault="00B07FEB" w:rsidP="00B07FEB">
            <w:pPr>
              <w:ind w:right="159"/>
              <w:rPr>
                <w:rFonts w:cs="Arial"/>
                <w:szCs w:val="22"/>
                <w:lang w:val="en-US"/>
              </w:rPr>
            </w:pPr>
            <w:r w:rsidRPr="00B07FEB">
              <w:rPr>
                <w:rFonts w:cs="Arial"/>
                <w:b/>
                <w:bCs/>
                <w:szCs w:val="22"/>
              </w:rPr>
              <w:t>Activity</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08D93372" w14:textId="686F497D" w:rsidR="00B07FEB" w:rsidRPr="00B07FEB" w:rsidRDefault="00B07FEB" w:rsidP="00572BF1">
            <w:pPr>
              <w:ind w:right="159"/>
              <w:jc w:val="center"/>
              <w:rPr>
                <w:rFonts w:cs="Arial"/>
                <w:szCs w:val="22"/>
                <w:lang w:val="en-US"/>
              </w:rPr>
            </w:pPr>
            <w:r w:rsidRPr="00B07FEB">
              <w:rPr>
                <w:rFonts w:cs="Arial"/>
                <w:b/>
                <w:bCs/>
                <w:szCs w:val="22"/>
              </w:rPr>
              <w:t>Prior to validation</w:t>
            </w:r>
          </w:p>
        </w:tc>
        <w:tc>
          <w:tcPr>
            <w:tcW w:w="1620" w:type="dxa"/>
            <w:tcBorders>
              <w:top w:val="single" w:sz="6" w:space="0" w:color="auto"/>
              <w:left w:val="single" w:sz="6" w:space="0" w:color="auto"/>
              <w:bottom w:val="single" w:sz="6" w:space="0" w:color="auto"/>
              <w:right w:val="single" w:sz="6" w:space="0" w:color="auto"/>
            </w:tcBorders>
            <w:vAlign w:val="bottom"/>
            <w:hideMark/>
          </w:tcPr>
          <w:p w14:paraId="0F974807" w14:textId="10632DBC" w:rsidR="00B07FEB" w:rsidRPr="00B07FEB" w:rsidRDefault="00B07FEB" w:rsidP="00572BF1">
            <w:pPr>
              <w:ind w:right="159"/>
              <w:jc w:val="center"/>
              <w:rPr>
                <w:rFonts w:cs="Arial"/>
                <w:szCs w:val="22"/>
                <w:lang w:val="en-US"/>
              </w:rPr>
            </w:pPr>
            <w:r w:rsidRPr="00B07FEB">
              <w:rPr>
                <w:rFonts w:cs="Arial"/>
                <w:b/>
                <w:bCs/>
                <w:szCs w:val="22"/>
              </w:rPr>
              <w:t>Prior to first verification</w:t>
            </w:r>
          </w:p>
        </w:tc>
        <w:tc>
          <w:tcPr>
            <w:tcW w:w="1080" w:type="dxa"/>
            <w:tcBorders>
              <w:top w:val="single" w:sz="6" w:space="0" w:color="auto"/>
              <w:left w:val="single" w:sz="6" w:space="0" w:color="auto"/>
              <w:bottom w:val="single" w:sz="6" w:space="0" w:color="auto"/>
              <w:right w:val="single" w:sz="6" w:space="0" w:color="auto"/>
            </w:tcBorders>
            <w:vAlign w:val="bottom"/>
            <w:hideMark/>
          </w:tcPr>
          <w:p w14:paraId="39B2DD14" w14:textId="47DE394C" w:rsidR="00B07FEB" w:rsidRPr="00B07FEB" w:rsidRDefault="00B07FEB" w:rsidP="00572BF1">
            <w:pPr>
              <w:ind w:right="159"/>
              <w:jc w:val="center"/>
              <w:rPr>
                <w:rFonts w:cs="Arial"/>
                <w:szCs w:val="22"/>
                <w:lang w:val="en-US"/>
              </w:rPr>
            </w:pPr>
            <w:r w:rsidRPr="00B07FEB">
              <w:rPr>
                <w:rFonts w:cs="Arial"/>
                <w:b/>
                <w:bCs/>
                <w:szCs w:val="22"/>
              </w:rPr>
              <w:t>Annual</w:t>
            </w:r>
          </w:p>
        </w:tc>
        <w:tc>
          <w:tcPr>
            <w:tcW w:w="1380" w:type="dxa"/>
            <w:tcBorders>
              <w:top w:val="single" w:sz="6" w:space="0" w:color="auto"/>
              <w:left w:val="single" w:sz="6" w:space="0" w:color="auto"/>
              <w:bottom w:val="single" w:sz="6" w:space="0" w:color="auto"/>
              <w:right w:val="single" w:sz="6" w:space="0" w:color="auto"/>
            </w:tcBorders>
            <w:vAlign w:val="bottom"/>
            <w:hideMark/>
          </w:tcPr>
          <w:p w14:paraId="1DD82C5F" w14:textId="3348F4B3" w:rsidR="00B07FEB" w:rsidRPr="00B07FEB" w:rsidRDefault="00B07FEB" w:rsidP="00572BF1">
            <w:pPr>
              <w:ind w:right="159"/>
              <w:jc w:val="center"/>
              <w:rPr>
                <w:rFonts w:cs="Arial"/>
                <w:szCs w:val="22"/>
                <w:lang w:val="en-US"/>
              </w:rPr>
            </w:pPr>
            <w:r w:rsidRPr="00B07FEB">
              <w:rPr>
                <w:rFonts w:cs="Arial"/>
                <w:b/>
                <w:bCs/>
                <w:szCs w:val="22"/>
              </w:rPr>
              <w:t>Every monitoring period</w:t>
            </w:r>
          </w:p>
        </w:tc>
      </w:tr>
      <w:tr w:rsidR="00B07FEB" w:rsidRPr="00B07FEB" w14:paraId="0B14D93D"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5288EE18" w14:textId="77777777" w:rsidR="00B07FEB" w:rsidRPr="00B07FEB" w:rsidRDefault="00B07FEB" w:rsidP="00B07FEB">
            <w:pPr>
              <w:ind w:right="159"/>
              <w:rPr>
                <w:rFonts w:cs="Arial"/>
                <w:szCs w:val="22"/>
                <w:lang w:val="en-US"/>
              </w:rPr>
            </w:pPr>
            <w:r w:rsidRPr="00B07FEB">
              <w:rPr>
                <w:rFonts w:cs="Arial"/>
                <w:b/>
                <w:bCs/>
                <w:szCs w:val="22"/>
              </w:rPr>
              <w:t>Emission reduction estimation </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6A22E9E7" w14:textId="10E03393" w:rsidR="00B07FEB" w:rsidRPr="00B07FEB" w:rsidRDefault="00B07FEB" w:rsidP="00572BF1">
            <w:pPr>
              <w:ind w:right="159"/>
              <w:jc w:val="center"/>
              <w:rPr>
                <w:rFonts w:cs="Arial"/>
                <w:szCs w:val="22"/>
                <w:lang w:val="en-US"/>
              </w:rPr>
            </w:pPr>
            <w:r w:rsidRPr="00B07FEB">
              <w:rPr>
                <w:rFonts w:cs="Arial"/>
                <w:szCs w:val="22"/>
              </w:rPr>
              <w:t>X</w:t>
            </w:r>
          </w:p>
        </w:tc>
        <w:tc>
          <w:tcPr>
            <w:tcW w:w="1620" w:type="dxa"/>
            <w:tcBorders>
              <w:top w:val="single" w:sz="6" w:space="0" w:color="auto"/>
              <w:left w:val="single" w:sz="6" w:space="0" w:color="auto"/>
              <w:bottom w:val="single" w:sz="6" w:space="0" w:color="auto"/>
              <w:right w:val="single" w:sz="6" w:space="0" w:color="auto"/>
            </w:tcBorders>
            <w:vAlign w:val="bottom"/>
            <w:hideMark/>
          </w:tcPr>
          <w:p w14:paraId="5874454B" w14:textId="042738E4" w:rsidR="00B07FEB" w:rsidRPr="00B07FEB" w:rsidRDefault="00B07FEB" w:rsidP="00572BF1">
            <w:pPr>
              <w:ind w:right="159"/>
              <w:jc w:val="center"/>
              <w:rPr>
                <w:rFonts w:cs="Arial"/>
                <w:szCs w:val="22"/>
                <w:lang w:val="en-US"/>
              </w:rPr>
            </w:pPr>
          </w:p>
        </w:tc>
        <w:tc>
          <w:tcPr>
            <w:tcW w:w="1080" w:type="dxa"/>
            <w:tcBorders>
              <w:top w:val="single" w:sz="6" w:space="0" w:color="auto"/>
              <w:left w:val="single" w:sz="6" w:space="0" w:color="auto"/>
              <w:bottom w:val="single" w:sz="6" w:space="0" w:color="auto"/>
              <w:right w:val="single" w:sz="6" w:space="0" w:color="auto"/>
            </w:tcBorders>
            <w:vAlign w:val="bottom"/>
            <w:hideMark/>
          </w:tcPr>
          <w:p w14:paraId="7F932A2E" w14:textId="6FBE35ED" w:rsidR="00B07FEB" w:rsidRPr="00B07FEB" w:rsidRDefault="00B07FEB" w:rsidP="00572BF1">
            <w:pPr>
              <w:ind w:right="159"/>
              <w:jc w:val="center"/>
              <w:rPr>
                <w:rFonts w:cs="Arial"/>
                <w:szCs w:val="22"/>
                <w:lang w:val="en-US"/>
              </w:rPr>
            </w:pPr>
          </w:p>
        </w:tc>
        <w:tc>
          <w:tcPr>
            <w:tcW w:w="1380" w:type="dxa"/>
            <w:tcBorders>
              <w:top w:val="single" w:sz="6" w:space="0" w:color="auto"/>
              <w:left w:val="single" w:sz="6" w:space="0" w:color="auto"/>
              <w:bottom w:val="single" w:sz="6" w:space="0" w:color="auto"/>
              <w:right w:val="single" w:sz="6" w:space="0" w:color="auto"/>
            </w:tcBorders>
            <w:vAlign w:val="bottom"/>
            <w:hideMark/>
          </w:tcPr>
          <w:p w14:paraId="4BC6220B" w14:textId="6F27C0A7" w:rsidR="00B07FEB" w:rsidRPr="00B07FEB" w:rsidRDefault="00B07FEB" w:rsidP="00572BF1">
            <w:pPr>
              <w:ind w:right="159"/>
              <w:jc w:val="center"/>
              <w:rPr>
                <w:rFonts w:cs="Arial"/>
                <w:szCs w:val="22"/>
                <w:lang w:val="en-US"/>
              </w:rPr>
            </w:pPr>
          </w:p>
        </w:tc>
      </w:tr>
      <w:tr w:rsidR="00B07FEB" w:rsidRPr="00B07FEB" w14:paraId="50C42B28"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39DEB973" w14:textId="77777777" w:rsidR="00B07FEB" w:rsidRPr="00B07FEB" w:rsidRDefault="00B07FEB" w:rsidP="00B07FEB">
            <w:pPr>
              <w:ind w:right="159"/>
              <w:rPr>
                <w:rFonts w:cs="Arial"/>
                <w:szCs w:val="22"/>
                <w:lang w:val="en-US"/>
              </w:rPr>
            </w:pPr>
            <w:r w:rsidRPr="00B07FEB">
              <w:rPr>
                <w:rFonts w:cs="Arial"/>
                <w:b/>
                <w:bCs/>
                <w:szCs w:val="22"/>
              </w:rPr>
              <w:t>Baseline studies</w:t>
            </w:r>
            <w:r w:rsidRPr="00B07FEB">
              <w:rPr>
                <w:rFonts w:cs="Arial"/>
                <w:szCs w:val="22"/>
                <w:lang w:val="en-US"/>
              </w:rPr>
              <w:t> </w:t>
            </w:r>
          </w:p>
        </w:tc>
        <w:tc>
          <w:tcPr>
            <w:tcW w:w="5520" w:type="dxa"/>
            <w:gridSpan w:val="4"/>
            <w:tcBorders>
              <w:top w:val="single" w:sz="6" w:space="0" w:color="auto"/>
              <w:left w:val="single" w:sz="6" w:space="0" w:color="auto"/>
              <w:bottom w:val="single" w:sz="6" w:space="0" w:color="auto"/>
              <w:right w:val="single" w:sz="6" w:space="0" w:color="auto"/>
            </w:tcBorders>
            <w:vAlign w:val="bottom"/>
            <w:hideMark/>
          </w:tcPr>
          <w:p w14:paraId="307D44C6" w14:textId="6316B4BC" w:rsidR="00B07FEB" w:rsidRPr="00B07FEB" w:rsidRDefault="00B07FEB" w:rsidP="00572BF1">
            <w:pPr>
              <w:ind w:right="159"/>
              <w:jc w:val="center"/>
              <w:rPr>
                <w:rFonts w:cs="Arial"/>
                <w:szCs w:val="22"/>
                <w:lang w:val="en-US"/>
              </w:rPr>
            </w:pPr>
          </w:p>
        </w:tc>
      </w:tr>
      <w:tr w:rsidR="00B07FEB" w:rsidRPr="00B07FEB" w14:paraId="3C775E5E"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10B88576" w14:textId="77777777" w:rsidR="00B07FEB" w:rsidRPr="00B07FEB" w:rsidRDefault="00B07FEB" w:rsidP="00572BF1">
            <w:pPr>
              <w:ind w:right="159"/>
              <w:jc w:val="left"/>
              <w:rPr>
                <w:rFonts w:cs="Arial"/>
                <w:szCs w:val="22"/>
                <w:lang w:val="en-US"/>
              </w:rPr>
            </w:pPr>
            <w:r w:rsidRPr="00B07FEB">
              <w:rPr>
                <w:rFonts w:cs="Arial"/>
                <w:szCs w:val="22"/>
              </w:rPr>
              <w:t>Baseline scenario survey</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11E4B0E0" w14:textId="79208A0D" w:rsidR="00B07FEB" w:rsidRPr="00B07FEB" w:rsidRDefault="00B07FEB" w:rsidP="00572BF1">
            <w:pPr>
              <w:ind w:right="159"/>
              <w:jc w:val="center"/>
              <w:rPr>
                <w:rFonts w:cs="Arial"/>
                <w:szCs w:val="22"/>
                <w:lang w:val="en-US"/>
              </w:rPr>
            </w:pPr>
            <w:r w:rsidRPr="00B07FEB">
              <w:rPr>
                <w:rFonts w:cs="Arial"/>
                <w:szCs w:val="22"/>
              </w:rPr>
              <w:t>X</w:t>
            </w:r>
          </w:p>
        </w:tc>
        <w:tc>
          <w:tcPr>
            <w:tcW w:w="1620" w:type="dxa"/>
            <w:tcBorders>
              <w:top w:val="single" w:sz="6" w:space="0" w:color="auto"/>
              <w:left w:val="single" w:sz="6" w:space="0" w:color="auto"/>
              <w:bottom w:val="single" w:sz="6" w:space="0" w:color="auto"/>
              <w:right w:val="single" w:sz="6" w:space="0" w:color="auto"/>
            </w:tcBorders>
            <w:vAlign w:val="bottom"/>
            <w:hideMark/>
          </w:tcPr>
          <w:p w14:paraId="0D622CE9" w14:textId="705D1B4B" w:rsidR="00B07FEB" w:rsidRPr="00B07FEB" w:rsidRDefault="00B07FEB" w:rsidP="00572BF1">
            <w:pPr>
              <w:ind w:right="159"/>
              <w:jc w:val="center"/>
              <w:rPr>
                <w:rFonts w:cs="Arial"/>
                <w:szCs w:val="22"/>
                <w:lang w:val="en-US"/>
              </w:rPr>
            </w:pPr>
          </w:p>
        </w:tc>
        <w:tc>
          <w:tcPr>
            <w:tcW w:w="1080" w:type="dxa"/>
            <w:tcBorders>
              <w:top w:val="single" w:sz="6" w:space="0" w:color="auto"/>
              <w:left w:val="single" w:sz="6" w:space="0" w:color="auto"/>
              <w:bottom w:val="single" w:sz="6" w:space="0" w:color="auto"/>
              <w:right w:val="single" w:sz="6" w:space="0" w:color="auto"/>
            </w:tcBorders>
            <w:vAlign w:val="bottom"/>
            <w:hideMark/>
          </w:tcPr>
          <w:p w14:paraId="0A61AE94" w14:textId="3EECEEC7" w:rsidR="00B07FEB" w:rsidRPr="00B07FEB" w:rsidRDefault="00B07FEB" w:rsidP="00572BF1">
            <w:pPr>
              <w:ind w:right="159"/>
              <w:jc w:val="center"/>
              <w:rPr>
                <w:rFonts w:cs="Arial"/>
                <w:szCs w:val="22"/>
                <w:lang w:val="en-US"/>
              </w:rPr>
            </w:pPr>
          </w:p>
        </w:tc>
        <w:tc>
          <w:tcPr>
            <w:tcW w:w="1380" w:type="dxa"/>
            <w:tcBorders>
              <w:top w:val="single" w:sz="6" w:space="0" w:color="auto"/>
              <w:left w:val="single" w:sz="6" w:space="0" w:color="auto"/>
              <w:bottom w:val="single" w:sz="6" w:space="0" w:color="auto"/>
              <w:right w:val="single" w:sz="6" w:space="0" w:color="auto"/>
            </w:tcBorders>
            <w:vAlign w:val="bottom"/>
            <w:hideMark/>
          </w:tcPr>
          <w:p w14:paraId="607325A0" w14:textId="22911CBD" w:rsidR="00B07FEB" w:rsidRPr="00B07FEB" w:rsidRDefault="00B07FEB" w:rsidP="00572BF1">
            <w:pPr>
              <w:ind w:right="159"/>
              <w:jc w:val="center"/>
              <w:rPr>
                <w:rFonts w:cs="Arial"/>
                <w:szCs w:val="22"/>
                <w:lang w:val="en-US"/>
              </w:rPr>
            </w:pPr>
          </w:p>
        </w:tc>
      </w:tr>
      <w:tr w:rsidR="00B07FEB" w:rsidRPr="00B07FEB" w14:paraId="2054A879"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4A6BFD8F" w14:textId="77777777" w:rsidR="00B07FEB" w:rsidRPr="00B07FEB" w:rsidRDefault="00B07FEB" w:rsidP="00572BF1">
            <w:pPr>
              <w:ind w:right="159"/>
              <w:jc w:val="left"/>
              <w:rPr>
                <w:rFonts w:cs="Arial"/>
                <w:szCs w:val="22"/>
                <w:lang w:val="en-US"/>
              </w:rPr>
            </w:pPr>
            <w:r w:rsidRPr="00B07FEB">
              <w:rPr>
                <w:rFonts w:cs="Arial"/>
                <w:szCs w:val="22"/>
              </w:rPr>
              <w:t>Baseline energy consumption measurement for CTEC projects using KPT approach</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2BEB46BE" w14:textId="34084D56" w:rsidR="00B07FEB" w:rsidRPr="00B07FEB" w:rsidRDefault="00B07FEB" w:rsidP="00572BF1">
            <w:pPr>
              <w:ind w:right="159"/>
              <w:jc w:val="center"/>
              <w:rPr>
                <w:rFonts w:cs="Arial"/>
                <w:szCs w:val="22"/>
                <w:lang w:val="en-US"/>
              </w:rPr>
            </w:pPr>
          </w:p>
        </w:tc>
        <w:tc>
          <w:tcPr>
            <w:tcW w:w="1620" w:type="dxa"/>
            <w:tcBorders>
              <w:top w:val="single" w:sz="6" w:space="0" w:color="auto"/>
              <w:left w:val="single" w:sz="6" w:space="0" w:color="auto"/>
              <w:bottom w:val="single" w:sz="6" w:space="0" w:color="auto"/>
              <w:right w:val="single" w:sz="6" w:space="0" w:color="auto"/>
            </w:tcBorders>
            <w:vAlign w:val="bottom"/>
            <w:hideMark/>
          </w:tcPr>
          <w:p w14:paraId="7C05C129" w14:textId="3D8BAB71" w:rsidR="00B07FEB" w:rsidRPr="00B07FEB" w:rsidRDefault="00B07FEB" w:rsidP="00572BF1">
            <w:pPr>
              <w:ind w:right="159"/>
              <w:jc w:val="center"/>
              <w:rPr>
                <w:rFonts w:cs="Arial"/>
                <w:szCs w:val="22"/>
                <w:lang w:val="en-US"/>
              </w:rPr>
            </w:pPr>
            <w:r w:rsidRPr="00B07FEB">
              <w:rPr>
                <w:rFonts w:cs="Arial"/>
                <w:szCs w:val="22"/>
              </w:rPr>
              <w:t>X</w:t>
            </w:r>
          </w:p>
        </w:tc>
        <w:tc>
          <w:tcPr>
            <w:tcW w:w="1080" w:type="dxa"/>
            <w:tcBorders>
              <w:top w:val="single" w:sz="6" w:space="0" w:color="auto"/>
              <w:left w:val="single" w:sz="6" w:space="0" w:color="auto"/>
              <w:bottom w:val="single" w:sz="6" w:space="0" w:color="auto"/>
              <w:right w:val="single" w:sz="6" w:space="0" w:color="auto"/>
            </w:tcBorders>
            <w:vAlign w:val="bottom"/>
            <w:hideMark/>
          </w:tcPr>
          <w:p w14:paraId="03D02F72" w14:textId="323CE7AB" w:rsidR="00B07FEB" w:rsidRPr="00B07FEB" w:rsidRDefault="00B07FEB" w:rsidP="00572BF1">
            <w:pPr>
              <w:ind w:right="159"/>
              <w:jc w:val="center"/>
              <w:rPr>
                <w:rFonts w:cs="Arial"/>
                <w:szCs w:val="22"/>
                <w:lang w:val="en-US"/>
              </w:rPr>
            </w:pPr>
          </w:p>
        </w:tc>
        <w:tc>
          <w:tcPr>
            <w:tcW w:w="1380" w:type="dxa"/>
            <w:tcBorders>
              <w:top w:val="single" w:sz="6" w:space="0" w:color="auto"/>
              <w:left w:val="single" w:sz="6" w:space="0" w:color="auto"/>
              <w:bottom w:val="single" w:sz="6" w:space="0" w:color="auto"/>
              <w:right w:val="single" w:sz="6" w:space="0" w:color="auto"/>
            </w:tcBorders>
            <w:vAlign w:val="bottom"/>
            <w:hideMark/>
          </w:tcPr>
          <w:p w14:paraId="64B8CB1B" w14:textId="659047E3" w:rsidR="00B07FEB" w:rsidRPr="00B07FEB" w:rsidRDefault="00B07FEB" w:rsidP="00572BF1">
            <w:pPr>
              <w:ind w:right="159"/>
              <w:jc w:val="center"/>
              <w:rPr>
                <w:rFonts w:cs="Arial"/>
                <w:szCs w:val="22"/>
                <w:lang w:val="en-US"/>
              </w:rPr>
            </w:pPr>
          </w:p>
        </w:tc>
      </w:tr>
      <w:tr w:rsidR="00B07FEB" w:rsidRPr="00B07FEB" w14:paraId="713E4455"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6ACFDF61" w14:textId="77777777" w:rsidR="00B07FEB" w:rsidRPr="00B07FEB" w:rsidRDefault="00B07FEB" w:rsidP="00572BF1">
            <w:pPr>
              <w:ind w:right="159"/>
              <w:jc w:val="left"/>
              <w:rPr>
                <w:rFonts w:cs="Arial"/>
                <w:szCs w:val="22"/>
                <w:lang w:val="en-US"/>
              </w:rPr>
            </w:pPr>
            <w:r w:rsidRPr="00B07FEB">
              <w:rPr>
                <w:rFonts w:cs="Arial"/>
                <w:szCs w:val="22"/>
              </w:rPr>
              <w:t xml:space="preserve">Specific energy consumption of baseline cookstove and fuel combination (from CCTs) for CTEC projects </w:t>
            </w:r>
            <w:proofErr w:type="gramStart"/>
            <w:r w:rsidRPr="00B07FEB">
              <w:rPr>
                <w:rFonts w:cs="Arial"/>
                <w:szCs w:val="22"/>
              </w:rPr>
              <w:t>back-calculating</w:t>
            </w:r>
            <w:proofErr w:type="gramEnd"/>
            <w:r w:rsidRPr="00B07FEB">
              <w:rPr>
                <w:rFonts w:cs="Arial"/>
                <w:szCs w:val="22"/>
              </w:rPr>
              <w:t xml:space="preserve"> the baseline</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43B979A2" w14:textId="2D8EF272" w:rsidR="00B07FEB" w:rsidRPr="00B07FEB" w:rsidRDefault="00B07FEB" w:rsidP="00572BF1">
            <w:pPr>
              <w:ind w:right="159"/>
              <w:jc w:val="center"/>
              <w:rPr>
                <w:rFonts w:cs="Arial"/>
                <w:szCs w:val="22"/>
                <w:lang w:val="en-US"/>
              </w:rPr>
            </w:pPr>
            <w:r w:rsidRPr="00B07FEB">
              <w:rPr>
                <w:rFonts w:cs="Arial"/>
                <w:szCs w:val="22"/>
              </w:rPr>
              <w:t>X</w:t>
            </w:r>
          </w:p>
        </w:tc>
        <w:tc>
          <w:tcPr>
            <w:tcW w:w="1620" w:type="dxa"/>
            <w:tcBorders>
              <w:top w:val="single" w:sz="6" w:space="0" w:color="auto"/>
              <w:left w:val="single" w:sz="6" w:space="0" w:color="auto"/>
              <w:bottom w:val="single" w:sz="6" w:space="0" w:color="auto"/>
              <w:right w:val="single" w:sz="6" w:space="0" w:color="auto"/>
            </w:tcBorders>
            <w:vAlign w:val="bottom"/>
            <w:hideMark/>
          </w:tcPr>
          <w:p w14:paraId="3D7C1D2F" w14:textId="5FF7D5CE" w:rsidR="00B07FEB" w:rsidRPr="00B07FEB" w:rsidRDefault="00B07FEB" w:rsidP="00572BF1">
            <w:pPr>
              <w:ind w:right="159"/>
              <w:jc w:val="center"/>
              <w:rPr>
                <w:rFonts w:cs="Arial"/>
                <w:szCs w:val="22"/>
                <w:lang w:val="en-US"/>
              </w:rPr>
            </w:pPr>
          </w:p>
        </w:tc>
        <w:tc>
          <w:tcPr>
            <w:tcW w:w="1080" w:type="dxa"/>
            <w:tcBorders>
              <w:top w:val="single" w:sz="6" w:space="0" w:color="auto"/>
              <w:left w:val="single" w:sz="6" w:space="0" w:color="auto"/>
              <w:bottom w:val="single" w:sz="6" w:space="0" w:color="auto"/>
              <w:right w:val="single" w:sz="6" w:space="0" w:color="auto"/>
            </w:tcBorders>
            <w:vAlign w:val="bottom"/>
            <w:hideMark/>
          </w:tcPr>
          <w:p w14:paraId="5D786C0A" w14:textId="41D22A3C" w:rsidR="00B07FEB" w:rsidRPr="00B07FEB" w:rsidRDefault="00B07FEB" w:rsidP="00572BF1">
            <w:pPr>
              <w:ind w:right="159"/>
              <w:jc w:val="center"/>
              <w:rPr>
                <w:rFonts w:cs="Arial"/>
                <w:szCs w:val="22"/>
                <w:lang w:val="en-US"/>
              </w:rPr>
            </w:pPr>
          </w:p>
        </w:tc>
        <w:tc>
          <w:tcPr>
            <w:tcW w:w="1380" w:type="dxa"/>
            <w:tcBorders>
              <w:top w:val="single" w:sz="6" w:space="0" w:color="auto"/>
              <w:left w:val="single" w:sz="6" w:space="0" w:color="auto"/>
              <w:bottom w:val="single" w:sz="6" w:space="0" w:color="auto"/>
              <w:right w:val="single" w:sz="6" w:space="0" w:color="auto"/>
            </w:tcBorders>
            <w:vAlign w:val="bottom"/>
            <w:hideMark/>
          </w:tcPr>
          <w:p w14:paraId="6FD59EE9" w14:textId="36AB16F0" w:rsidR="00B07FEB" w:rsidRPr="00B07FEB" w:rsidRDefault="00B07FEB" w:rsidP="00572BF1">
            <w:pPr>
              <w:ind w:right="159"/>
              <w:jc w:val="center"/>
              <w:rPr>
                <w:rFonts w:cs="Arial"/>
                <w:szCs w:val="22"/>
                <w:lang w:val="en-US"/>
              </w:rPr>
            </w:pPr>
          </w:p>
        </w:tc>
      </w:tr>
      <w:tr w:rsidR="00B07FEB" w:rsidRPr="00B07FEB" w14:paraId="63A3E5EC"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7CD05C19" w14:textId="77777777" w:rsidR="00B07FEB" w:rsidRPr="00B07FEB" w:rsidRDefault="00B07FEB" w:rsidP="00572BF1">
            <w:pPr>
              <w:ind w:right="159"/>
              <w:jc w:val="left"/>
              <w:rPr>
                <w:rFonts w:cs="Arial"/>
                <w:szCs w:val="22"/>
                <w:lang w:val="en-US"/>
              </w:rPr>
            </w:pPr>
            <w:r w:rsidRPr="00B07FEB">
              <w:rPr>
                <w:rFonts w:cs="Arial"/>
                <w:b/>
                <w:bCs/>
                <w:szCs w:val="22"/>
              </w:rPr>
              <w:t>Project studies</w:t>
            </w:r>
            <w:r w:rsidRPr="00B07FEB">
              <w:rPr>
                <w:rFonts w:cs="Arial"/>
                <w:szCs w:val="22"/>
                <w:lang w:val="en-US"/>
              </w:rPr>
              <w:t> </w:t>
            </w:r>
          </w:p>
        </w:tc>
        <w:tc>
          <w:tcPr>
            <w:tcW w:w="5520" w:type="dxa"/>
            <w:gridSpan w:val="4"/>
            <w:tcBorders>
              <w:top w:val="single" w:sz="6" w:space="0" w:color="auto"/>
              <w:left w:val="single" w:sz="6" w:space="0" w:color="auto"/>
              <w:bottom w:val="single" w:sz="6" w:space="0" w:color="auto"/>
              <w:right w:val="single" w:sz="6" w:space="0" w:color="auto"/>
            </w:tcBorders>
            <w:vAlign w:val="bottom"/>
            <w:hideMark/>
          </w:tcPr>
          <w:p w14:paraId="606A2896" w14:textId="5C9BD88A" w:rsidR="00B07FEB" w:rsidRPr="00B07FEB" w:rsidRDefault="00B07FEB" w:rsidP="00572BF1">
            <w:pPr>
              <w:ind w:right="159"/>
              <w:jc w:val="center"/>
              <w:rPr>
                <w:rFonts w:cs="Arial"/>
                <w:szCs w:val="22"/>
                <w:lang w:val="en-US"/>
              </w:rPr>
            </w:pPr>
          </w:p>
        </w:tc>
      </w:tr>
      <w:tr w:rsidR="00B07FEB" w:rsidRPr="00B07FEB" w14:paraId="4861B051"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21B86A00" w14:textId="77777777" w:rsidR="00B07FEB" w:rsidRPr="00B07FEB" w:rsidRDefault="00B07FEB" w:rsidP="00572BF1">
            <w:pPr>
              <w:ind w:right="159"/>
              <w:jc w:val="left"/>
              <w:rPr>
                <w:rFonts w:cs="Arial"/>
                <w:szCs w:val="22"/>
                <w:lang w:val="en-US"/>
              </w:rPr>
            </w:pPr>
            <w:r w:rsidRPr="00B07FEB">
              <w:rPr>
                <w:rFonts w:cs="Arial"/>
                <w:szCs w:val="22"/>
              </w:rPr>
              <w:t>Usage survey </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3AC73E9E" w14:textId="61CF20CA" w:rsidR="00B07FEB" w:rsidRPr="00B07FEB" w:rsidRDefault="00B07FEB" w:rsidP="00572BF1">
            <w:pPr>
              <w:ind w:right="159"/>
              <w:jc w:val="center"/>
              <w:rPr>
                <w:rFonts w:cs="Arial"/>
                <w:szCs w:val="22"/>
                <w:lang w:val="en-US"/>
              </w:rPr>
            </w:pPr>
          </w:p>
        </w:tc>
        <w:tc>
          <w:tcPr>
            <w:tcW w:w="1620" w:type="dxa"/>
            <w:tcBorders>
              <w:top w:val="single" w:sz="6" w:space="0" w:color="auto"/>
              <w:left w:val="single" w:sz="6" w:space="0" w:color="auto"/>
              <w:bottom w:val="single" w:sz="6" w:space="0" w:color="auto"/>
              <w:right w:val="single" w:sz="6" w:space="0" w:color="auto"/>
            </w:tcBorders>
            <w:vAlign w:val="bottom"/>
            <w:hideMark/>
          </w:tcPr>
          <w:p w14:paraId="08BA0B38" w14:textId="6229CC7B" w:rsidR="00B07FEB" w:rsidRPr="00B07FEB" w:rsidRDefault="00B07FEB" w:rsidP="00572BF1">
            <w:pPr>
              <w:ind w:right="159"/>
              <w:jc w:val="center"/>
              <w:rPr>
                <w:rFonts w:cs="Arial"/>
                <w:szCs w:val="22"/>
                <w:lang w:val="en-US"/>
              </w:rPr>
            </w:pPr>
          </w:p>
        </w:tc>
        <w:tc>
          <w:tcPr>
            <w:tcW w:w="1080" w:type="dxa"/>
            <w:tcBorders>
              <w:top w:val="single" w:sz="6" w:space="0" w:color="auto"/>
              <w:left w:val="single" w:sz="6" w:space="0" w:color="auto"/>
              <w:bottom w:val="single" w:sz="6" w:space="0" w:color="auto"/>
              <w:right w:val="single" w:sz="6" w:space="0" w:color="auto"/>
            </w:tcBorders>
            <w:vAlign w:val="bottom"/>
            <w:hideMark/>
          </w:tcPr>
          <w:p w14:paraId="644D1252" w14:textId="7896887C" w:rsidR="00B07FEB" w:rsidRPr="00B07FEB" w:rsidRDefault="00B07FEB" w:rsidP="00572BF1">
            <w:pPr>
              <w:ind w:right="159"/>
              <w:jc w:val="center"/>
              <w:rPr>
                <w:rFonts w:cs="Arial"/>
                <w:szCs w:val="22"/>
                <w:lang w:val="en-US"/>
              </w:rPr>
            </w:pPr>
            <w:r w:rsidRPr="00B07FEB">
              <w:rPr>
                <w:rFonts w:cs="Arial"/>
                <w:szCs w:val="22"/>
              </w:rPr>
              <w:t>X</w:t>
            </w:r>
          </w:p>
        </w:tc>
        <w:tc>
          <w:tcPr>
            <w:tcW w:w="1380" w:type="dxa"/>
            <w:tcBorders>
              <w:top w:val="single" w:sz="6" w:space="0" w:color="auto"/>
              <w:left w:val="single" w:sz="6" w:space="0" w:color="auto"/>
              <w:bottom w:val="single" w:sz="6" w:space="0" w:color="auto"/>
              <w:right w:val="single" w:sz="6" w:space="0" w:color="auto"/>
            </w:tcBorders>
            <w:vAlign w:val="bottom"/>
            <w:hideMark/>
          </w:tcPr>
          <w:p w14:paraId="7BC4CFB8" w14:textId="41FEFC46" w:rsidR="00B07FEB" w:rsidRPr="00B07FEB" w:rsidRDefault="00B07FEB" w:rsidP="00572BF1">
            <w:pPr>
              <w:ind w:right="159"/>
              <w:jc w:val="center"/>
              <w:rPr>
                <w:rFonts w:cs="Arial"/>
                <w:szCs w:val="22"/>
                <w:lang w:val="en-US"/>
              </w:rPr>
            </w:pPr>
          </w:p>
        </w:tc>
      </w:tr>
      <w:tr w:rsidR="00B07FEB" w:rsidRPr="00B07FEB" w14:paraId="5EB80CCA"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66B5F19C" w14:textId="77777777" w:rsidR="00B07FEB" w:rsidRPr="00B07FEB" w:rsidRDefault="00B07FEB" w:rsidP="00572BF1">
            <w:pPr>
              <w:ind w:right="159"/>
              <w:jc w:val="left"/>
              <w:rPr>
                <w:rFonts w:cs="Arial"/>
                <w:szCs w:val="22"/>
                <w:lang w:val="en-US"/>
              </w:rPr>
            </w:pPr>
            <w:r w:rsidRPr="00B07FEB">
              <w:rPr>
                <w:rFonts w:cs="Arial"/>
                <w:szCs w:val="22"/>
              </w:rPr>
              <w:t>Project energy consumption measurement (from KPTs or tracked energy consumption)</w:t>
            </w:r>
            <w:r w:rsidRPr="00B07FEB">
              <w:rPr>
                <w:rFonts w:cs="Arial"/>
                <w:szCs w:val="22"/>
                <w:lang w:val="en-US"/>
              </w:rPr>
              <w:t> </w:t>
            </w:r>
          </w:p>
          <w:p w14:paraId="6D02D3DF" w14:textId="77777777" w:rsidR="00B07FEB" w:rsidRPr="00B07FEB" w:rsidRDefault="00B07FEB" w:rsidP="00572BF1">
            <w:pPr>
              <w:ind w:right="159"/>
              <w:jc w:val="left"/>
              <w:rPr>
                <w:rFonts w:cs="Arial"/>
                <w:szCs w:val="22"/>
                <w:lang w:val="en-US"/>
              </w:rPr>
            </w:pPr>
            <w:r w:rsidRPr="00B07FEB">
              <w:rPr>
                <w:rFonts w:cs="Arial"/>
                <w:szCs w:val="22"/>
              </w:rPr>
              <w:t>*Continuous if tracked, and reported every monitoring period</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208708ED" w14:textId="6E20F3C0" w:rsidR="00B07FEB" w:rsidRPr="00B07FEB" w:rsidRDefault="00B07FEB" w:rsidP="00572BF1">
            <w:pPr>
              <w:ind w:right="159"/>
              <w:jc w:val="center"/>
              <w:rPr>
                <w:rFonts w:cs="Arial"/>
                <w:szCs w:val="22"/>
                <w:lang w:val="en-US"/>
              </w:rPr>
            </w:pPr>
          </w:p>
        </w:tc>
        <w:tc>
          <w:tcPr>
            <w:tcW w:w="1620" w:type="dxa"/>
            <w:tcBorders>
              <w:top w:val="single" w:sz="6" w:space="0" w:color="auto"/>
              <w:left w:val="single" w:sz="6" w:space="0" w:color="auto"/>
              <w:bottom w:val="single" w:sz="6" w:space="0" w:color="auto"/>
              <w:right w:val="single" w:sz="6" w:space="0" w:color="auto"/>
            </w:tcBorders>
            <w:vAlign w:val="bottom"/>
            <w:hideMark/>
          </w:tcPr>
          <w:p w14:paraId="776E29C3" w14:textId="0134034A" w:rsidR="00B07FEB" w:rsidRPr="00B07FEB" w:rsidRDefault="00B07FEB" w:rsidP="00572BF1">
            <w:pPr>
              <w:ind w:right="159"/>
              <w:jc w:val="center"/>
              <w:rPr>
                <w:rFonts w:cs="Arial"/>
                <w:szCs w:val="22"/>
                <w:lang w:val="en-US"/>
              </w:rPr>
            </w:pPr>
            <w:r w:rsidRPr="00B07FEB">
              <w:rPr>
                <w:rFonts w:cs="Arial"/>
                <w:szCs w:val="22"/>
              </w:rPr>
              <w:t>X</w:t>
            </w:r>
          </w:p>
        </w:tc>
        <w:tc>
          <w:tcPr>
            <w:tcW w:w="1080" w:type="dxa"/>
            <w:tcBorders>
              <w:top w:val="single" w:sz="6" w:space="0" w:color="auto"/>
              <w:left w:val="single" w:sz="6" w:space="0" w:color="auto"/>
              <w:bottom w:val="single" w:sz="6" w:space="0" w:color="auto"/>
              <w:right w:val="single" w:sz="6" w:space="0" w:color="auto"/>
            </w:tcBorders>
            <w:vAlign w:val="bottom"/>
            <w:hideMark/>
          </w:tcPr>
          <w:p w14:paraId="58450A7C" w14:textId="436EEF25" w:rsidR="00B07FEB" w:rsidRPr="00B07FEB" w:rsidRDefault="00B07FEB" w:rsidP="00572BF1">
            <w:pPr>
              <w:ind w:right="159"/>
              <w:jc w:val="center"/>
              <w:rPr>
                <w:rFonts w:cs="Arial"/>
                <w:szCs w:val="22"/>
                <w:lang w:val="en-US"/>
              </w:rPr>
            </w:pPr>
          </w:p>
        </w:tc>
        <w:tc>
          <w:tcPr>
            <w:tcW w:w="1380" w:type="dxa"/>
            <w:tcBorders>
              <w:top w:val="single" w:sz="6" w:space="0" w:color="auto"/>
              <w:left w:val="single" w:sz="6" w:space="0" w:color="auto"/>
              <w:bottom w:val="single" w:sz="6" w:space="0" w:color="auto"/>
              <w:right w:val="single" w:sz="6" w:space="0" w:color="auto"/>
            </w:tcBorders>
            <w:vAlign w:val="bottom"/>
            <w:hideMark/>
          </w:tcPr>
          <w:p w14:paraId="6BB01F92" w14:textId="11D9404D" w:rsidR="00B07FEB" w:rsidRPr="00B07FEB" w:rsidRDefault="00B07FEB" w:rsidP="00572BF1">
            <w:pPr>
              <w:ind w:right="159"/>
              <w:jc w:val="center"/>
              <w:rPr>
                <w:rFonts w:cs="Arial"/>
                <w:szCs w:val="22"/>
                <w:lang w:val="en-US"/>
              </w:rPr>
            </w:pPr>
            <w:r w:rsidRPr="00B07FEB">
              <w:rPr>
                <w:rFonts w:cs="Arial"/>
                <w:szCs w:val="22"/>
              </w:rPr>
              <w:t>X*</w:t>
            </w:r>
          </w:p>
        </w:tc>
      </w:tr>
      <w:tr w:rsidR="00B07FEB" w:rsidRPr="00B07FEB" w14:paraId="59E487D7"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55CF78D3" w14:textId="77777777" w:rsidR="00B07FEB" w:rsidRPr="00B07FEB" w:rsidRDefault="00B07FEB" w:rsidP="00572BF1">
            <w:pPr>
              <w:ind w:right="159"/>
              <w:jc w:val="left"/>
              <w:rPr>
                <w:rFonts w:cs="Arial"/>
                <w:szCs w:val="22"/>
                <w:lang w:val="en-US"/>
              </w:rPr>
            </w:pPr>
            <w:r w:rsidRPr="00B07FEB">
              <w:rPr>
                <w:rFonts w:cs="Arial"/>
                <w:szCs w:val="22"/>
              </w:rPr>
              <w:t>Specific energy consumption of project cookstove and fuel combination (from CCTs) before validation and every two years thereafter for CTEC projects that use CCTs to back-calculate the baseline.</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135B0F85" w14:textId="56849174" w:rsidR="00B07FEB" w:rsidRPr="00B07FEB" w:rsidRDefault="00B07FEB" w:rsidP="00572BF1">
            <w:pPr>
              <w:ind w:right="159"/>
              <w:jc w:val="center"/>
              <w:rPr>
                <w:rFonts w:cs="Arial"/>
                <w:szCs w:val="22"/>
                <w:lang w:val="en-US"/>
              </w:rPr>
            </w:pPr>
            <w:r w:rsidRPr="00B07FEB">
              <w:rPr>
                <w:rFonts w:cs="Arial"/>
                <w:szCs w:val="22"/>
              </w:rPr>
              <w:t>X</w:t>
            </w:r>
          </w:p>
        </w:tc>
        <w:tc>
          <w:tcPr>
            <w:tcW w:w="1620" w:type="dxa"/>
            <w:tcBorders>
              <w:top w:val="single" w:sz="6" w:space="0" w:color="auto"/>
              <w:left w:val="single" w:sz="6" w:space="0" w:color="auto"/>
              <w:bottom w:val="single" w:sz="6" w:space="0" w:color="auto"/>
              <w:right w:val="single" w:sz="6" w:space="0" w:color="auto"/>
            </w:tcBorders>
            <w:vAlign w:val="bottom"/>
            <w:hideMark/>
          </w:tcPr>
          <w:p w14:paraId="276F2521" w14:textId="36CCF3EC" w:rsidR="00B07FEB" w:rsidRPr="00B07FEB" w:rsidRDefault="00B07FEB" w:rsidP="00572BF1">
            <w:pPr>
              <w:ind w:right="159"/>
              <w:jc w:val="center"/>
              <w:rPr>
                <w:rFonts w:cs="Arial"/>
                <w:szCs w:val="22"/>
                <w:lang w:val="en-US"/>
              </w:rPr>
            </w:pPr>
          </w:p>
        </w:tc>
        <w:tc>
          <w:tcPr>
            <w:tcW w:w="1080" w:type="dxa"/>
            <w:tcBorders>
              <w:top w:val="single" w:sz="6" w:space="0" w:color="auto"/>
              <w:left w:val="single" w:sz="6" w:space="0" w:color="auto"/>
              <w:bottom w:val="single" w:sz="6" w:space="0" w:color="auto"/>
              <w:right w:val="single" w:sz="6" w:space="0" w:color="auto"/>
            </w:tcBorders>
            <w:vAlign w:val="bottom"/>
            <w:hideMark/>
          </w:tcPr>
          <w:p w14:paraId="6DF02539" w14:textId="6FB663F9" w:rsidR="00B07FEB" w:rsidRPr="00B07FEB" w:rsidRDefault="00B07FEB" w:rsidP="00572BF1">
            <w:pPr>
              <w:ind w:right="159"/>
              <w:jc w:val="center"/>
              <w:rPr>
                <w:rFonts w:cs="Arial"/>
                <w:szCs w:val="22"/>
                <w:lang w:val="en-US"/>
              </w:rPr>
            </w:pPr>
          </w:p>
        </w:tc>
        <w:tc>
          <w:tcPr>
            <w:tcW w:w="1380" w:type="dxa"/>
            <w:tcBorders>
              <w:top w:val="single" w:sz="6" w:space="0" w:color="auto"/>
              <w:left w:val="single" w:sz="6" w:space="0" w:color="auto"/>
              <w:bottom w:val="single" w:sz="6" w:space="0" w:color="auto"/>
              <w:right w:val="single" w:sz="6" w:space="0" w:color="auto"/>
            </w:tcBorders>
            <w:vAlign w:val="bottom"/>
            <w:hideMark/>
          </w:tcPr>
          <w:p w14:paraId="30D0EB6D" w14:textId="43262CFC" w:rsidR="00B07FEB" w:rsidRPr="00B07FEB" w:rsidRDefault="00B07FEB" w:rsidP="00572BF1">
            <w:pPr>
              <w:ind w:right="159"/>
              <w:jc w:val="center"/>
              <w:rPr>
                <w:rFonts w:cs="Arial"/>
                <w:szCs w:val="22"/>
                <w:lang w:val="en-US"/>
              </w:rPr>
            </w:pPr>
            <w:r w:rsidRPr="00B07FEB">
              <w:rPr>
                <w:rFonts w:cs="Arial"/>
                <w:szCs w:val="22"/>
              </w:rPr>
              <w:t>X</w:t>
            </w:r>
          </w:p>
        </w:tc>
      </w:tr>
      <w:tr w:rsidR="00B07FEB" w:rsidRPr="00B07FEB" w14:paraId="2AFFF1F2"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2F3C3BBE" w14:textId="77777777" w:rsidR="00B07FEB" w:rsidRPr="00B07FEB" w:rsidRDefault="00B07FEB" w:rsidP="00B07FEB">
            <w:pPr>
              <w:ind w:right="159"/>
              <w:rPr>
                <w:rFonts w:cs="Arial"/>
                <w:szCs w:val="22"/>
                <w:lang w:val="en-US"/>
              </w:rPr>
            </w:pPr>
            <w:r w:rsidRPr="00B07FEB">
              <w:rPr>
                <w:rFonts w:cs="Arial"/>
                <w:b/>
                <w:bCs/>
                <w:szCs w:val="22"/>
              </w:rPr>
              <w:t>Ongoing monitoring tasks</w:t>
            </w:r>
            <w:r w:rsidRPr="00B07FEB">
              <w:rPr>
                <w:rFonts w:cs="Arial"/>
                <w:szCs w:val="22"/>
                <w:lang w:val="en-US"/>
              </w:rPr>
              <w:t> </w:t>
            </w:r>
          </w:p>
        </w:tc>
        <w:tc>
          <w:tcPr>
            <w:tcW w:w="5520" w:type="dxa"/>
            <w:gridSpan w:val="4"/>
            <w:tcBorders>
              <w:top w:val="single" w:sz="6" w:space="0" w:color="auto"/>
              <w:left w:val="single" w:sz="6" w:space="0" w:color="auto"/>
              <w:bottom w:val="single" w:sz="6" w:space="0" w:color="auto"/>
              <w:right w:val="single" w:sz="6" w:space="0" w:color="auto"/>
            </w:tcBorders>
            <w:vAlign w:val="bottom"/>
            <w:hideMark/>
          </w:tcPr>
          <w:p w14:paraId="34CCAC6F" w14:textId="77777777" w:rsidR="00B07FEB" w:rsidRPr="00B07FEB" w:rsidRDefault="00B07FEB" w:rsidP="00B07FEB">
            <w:pPr>
              <w:ind w:right="159"/>
              <w:rPr>
                <w:rFonts w:cs="Arial"/>
                <w:szCs w:val="22"/>
                <w:lang w:val="en-US"/>
              </w:rPr>
            </w:pPr>
            <w:r w:rsidRPr="00B07FEB">
              <w:rPr>
                <w:rFonts w:cs="Arial"/>
                <w:szCs w:val="22"/>
                <w:lang w:val="en-US"/>
              </w:rPr>
              <w:t> </w:t>
            </w:r>
          </w:p>
        </w:tc>
      </w:tr>
      <w:tr w:rsidR="00B07FEB" w:rsidRPr="00B07FEB" w14:paraId="17EDE398"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37F19FAA" w14:textId="77777777" w:rsidR="00B07FEB" w:rsidRPr="00B07FEB" w:rsidRDefault="00B07FEB" w:rsidP="00572BF1">
            <w:pPr>
              <w:ind w:right="159"/>
              <w:jc w:val="left"/>
              <w:rPr>
                <w:rFonts w:cs="Arial"/>
                <w:szCs w:val="22"/>
                <w:lang w:val="en-US"/>
              </w:rPr>
            </w:pPr>
            <w:r w:rsidRPr="00B07FEB">
              <w:rPr>
                <w:rFonts w:cs="Arial"/>
                <w:szCs w:val="22"/>
              </w:rPr>
              <w:t>Maintenance of total sales and service records, and project databases</w:t>
            </w:r>
            <w:r w:rsidRPr="00B07FEB">
              <w:rPr>
                <w:rFonts w:cs="Arial"/>
                <w:szCs w:val="22"/>
                <w:lang w:val="en-US"/>
              </w:rPr>
              <w:t> </w:t>
            </w:r>
          </w:p>
        </w:tc>
        <w:tc>
          <w:tcPr>
            <w:tcW w:w="5520" w:type="dxa"/>
            <w:gridSpan w:val="4"/>
            <w:tcBorders>
              <w:top w:val="single" w:sz="6" w:space="0" w:color="auto"/>
              <w:left w:val="single" w:sz="6" w:space="0" w:color="auto"/>
              <w:bottom w:val="single" w:sz="6" w:space="0" w:color="auto"/>
              <w:right w:val="single" w:sz="6" w:space="0" w:color="auto"/>
            </w:tcBorders>
            <w:vAlign w:val="bottom"/>
            <w:hideMark/>
          </w:tcPr>
          <w:p w14:paraId="4B8712ED" w14:textId="2A989E2F" w:rsidR="00B07FEB" w:rsidRPr="00B07FEB" w:rsidRDefault="00B07FEB" w:rsidP="00572BF1">
            <w:pPr>
              <w:ind w:right="159"/>
              <w:jc w:val="center"/>
              <w:rPr>
                <w:rFonts w:cs="Arial"/>
                <w:szCs w:val="22"/>
                <w:lang w:val="en-US"/>
              </w:rPr>
            </w:pPr>
            <w:r w:rsidRPr="00B07FEB">
              <w:rPr>
                <w:rFonts w:cs="Arial"/>
                <w:szCs w:val="22"/>
              </w:rPr>
              <w:t>Continuous</w:t>
            </w:r>
          </w:p>
        </w:tc>
      </w:tr>
    </w:tbl>
    <w:p w14:paraId="1C40FB5D" w14:textId="77777777" w:rsidR="00B07FEB" w:rsidRPr="00B07FEB" w:rsidRDefault="00B07FEB" w:rsidP="00B07FEB">
      <w:pPr>
        <w:ind w:right="159"/>
        <w:rPr>
          <w:rFonts w:cs="Arial"/>
          <w:szCs w:val="22"/>
          <w:lang w:val="en-US"/>
        </w:rPr>
      </w:pPr>
      <w:r w:rsidRPr="00B07FEB">
        <w:rPr>
          <w:rFonts w:cs="Arial"/>
          <w:szCs w:val="22"/>
          <w:lang w:val="en-US"/>
        </w:rPr>
        <w:t> </w:t>
      </w:r>
    </w:p>
    <w:p w14:paraId="03F7DAA8" w14:textId="17A2CDB2" w:rsidR="00DF570E" w:rsidRDefault="00B07FEB" w:rsidP="00B07FEB">
      <w:pPr>
        <w:ind w:right="159"/>
        <w:rPr>
          <w:rFonts w:cs="Arial"/>
          <w:szCs w:val="22"/>
          <w:lang w:val="en-US"/>
        </w:rPr>
      </w:pPr>
      <w:r w:rsidRPr="00B07FEB">
        <w:rPr>
          <w:rFonts w:cs="Arial"/>
          <w:szCs w:val="22"/>
          <w:lang w:val="en-US"/>
        </w:rPr>
        <w:t> </w:t>
      </w:r>
    </w:p>
    <w:p w14:paraId="5BB9F277" w14:textId="77777777" w:rsidR="00DF570E" w:rsidRDefault="00DF570E">
      <w:pPr>
        <w:jc w:val="left"/>
        <w:rPr>
          <w:rFonts w:cs="Arial"/>
          <w:szCs w:val="22"/>
          <w:lang w:val="en-US"/>
        </w:rPr>
      </w:pPr>
      <w:r>
        <w:rPr>
          <w:rFonts w:cs="Arial"/>
          <w:szCs w:val="22"/>
          <w:lang w:val="en-US"/>
        </w:rPr>
        <w:br w:type="page"/>
      </w:r>
    </w:p>
    <w:p w14:paraId="6A8F5452" w14:textId="77777777" w:rsidR="00B07FEB" w:rsidRPr="00B07FEB" w:rsidRDefault="00B07FEB" w:rsidP="00B07FEB">
      <w:pPr>
        <w:ind w:right="159"/>
        <w:rPr>
          <w:rFonts w:cs="Arial"/>
          <w:szCs w:val="22"/>
          <w:lang w:val="en-US"/>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675"/>
        <w:gridCol w:w="1440"/>
        <w:gridCol w:w="1620"/>
        <w:gridCol w:w="1080"/>
        <w:gridCol w:w="1380"/>
      </w:tblGrid>
      <w:tr w:rsidR="00B07FEB" w:rsidRPr="00B07FEB" w14:paraId="576F6E3C" w14:textId="77777777" w:rsidTr="00B07FEB">
        <w:trPr>
          <w:trHeight w:val="300"/>
        </w:trPr>
        <w:tc>
          <w:tcPr>
            <w:tcW w:w="9195" w:type="dxa"/>
            <w:gridSpan w:val="5"/>
            <w:tcBorders>
              <w:top w:val="single" w:sz="6" w:space="0" w:color="auto"/>
              <w:left w:val="single" w:sz="6" w:space="0" w:color="auto"/>
              <w:bottom w:val="single" w:sz="6" w:space="0" w:color="auto"/>
              <w:right w:val="single" w:sz="6" w:space="0" w:color="auto"/>
            </w:tcBorders>
            <w:vAlign w:val="bottom"/>
            <w:hideMark/>
          </w:tcPr>
          <w:p w14:paraId="568C1787" w14:textId="00EE9294" w:rsidR="00B07FEB" w:rsidRPr="00B07FEB" w:rsidRDefault="00B07FEB" w:rsidP="004417E5">
            <w:pPr>
              <w:ind w:right="159"/>
              <w:jc w:val="center"/>
              <w:divId w:val="1328900722"/>
              <w:rPr>
                <w:rFonts w:cs="Arial"/>
                <w:szCs w:val="22"/>
                <w:lang w:val="en-US"/>
              </w:rPr>
            </w:pPr>
            <w:r w:rsidRPr="00B07FEB">
              <w:rPr>
                <w:rFonts w:cs="Arial"/>
                <w:b/>
                <w:bCs/>
                <w:szCs w:val="22"/>
              </w:rPr>
              <w:t>Monitoring activity schedule for non-CTEC projects</w:t>
            </w:r>
          </w:p>
        </w:tc>
      </w:tr>
      <w:tr w:rsidR="00B07FEB" w:rsidRPr="00B07FEB" w14:paraId="653E11EA"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68E4C59E" w14:textId="77777777" w:rsidR="00B07FEB" w:rsidRPr="00B07FEB" w:rsidRDefault="00B07FEB" w:rsidP="00B07FEB">
            <w:pPr>
              <w:ind w:right="159"/>
              <w:rPr>
                <w:rFonts w:cs="Arial"/>
                <w:szCs w:val="22"/>
                <w:lang w:val="en-US"/>
              </w:rPr>
            </w:pPr>
            <w:r w:rsidRPr="00B07FEB">
              <w:rPr>
                <w:rFonts w:cs="Arial"/>
                <w:b/>
                <w:bCs/>
                <w:szCs w:val="22"/>
              </w:rPr>
              <w:t>Activity</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2B7E25BA" w14:textId="626DFB10" w:rsidR="00B07FEB" w:rsidRPr="00B07FEB" w:rsidRDefault="00B07FEB" w:rsidP="00BA79EC">
            <w:pPr>
              <w:ind w:right="159"/>
              <w:jc w:val="center"/>
              <w:rPr>
                <w:rFonts w:cs="Arial"/>
                <w:szCs w:val="22"/>
                <w:lang w:val="en-US"/>
              </w:rPr>
            </w:pPr>
            <w:r w:rsidRPr="00B07FEB">
              <w:rPr>
                <w:rFonts w:cs="Arial"/>
                <w:b/>
                <w:bCs/>
                <w:szCs w:val="22"/>
              </w:rPr>
              <w:t>Prior to validation</w:t>
            </w:r>
          </w:p>
        </w:tc>
        <w:tc>
          <w:tcPr>
            <w:tcW w:w="1620" w:type="dxa"/>
            <w:tcBorders>
              <w:top w:val="single" w:sz="6" w:space="0" w:color="auto"/>
              <w:left w:val="single" w:sz="6" w:space="0" w:color="auto"/>
              <w:bottom w:val="single" w:sz="6" w:space="0" w:color="auto"/>
              <w:right w:val="single" w:sz="6" w:space="0" w:color="auto"/>
            </w:tcBorders>
            <w:vAlign w:val="bottom"/>
            <w:hideMark/>
          </w:tcPr>
          <w:p w14:paraId="217A168E" w14:textId="304590E5" w:rsidR="00B07FEB" w:rsidRPr="00B07FEB" w:rsidRDefault="00B07FEB" w:rsidP="00BA79EC">
            <w:pPr>
              <w:ind w:right="159"/>
              <w:jc w:val="center"/>
              <w:rPr>
                <w:rFonts w:cs="Arial"/>
                <w:szCs w:val="22"/>
                <w:lang w:val="en-US"/>
              </w:rPr>
            </w:pPr>
            <w:r w:rsidRPr="00B07FEB">
              <w:rPr>
                <w:rFonts w:cs="Arial"/>
                <w:b/>
                <w:bCs/>
                <w:szCs w:val="22"/>
              </w:rPr>
              <w:t>Prior to first verification</w:t>
            </w:r>
          </w:p>
        </w:tc>
        <w:tc>
          <w:tcPr>
            <w:tcW w:w="1080" w:type="dxa"/>
            <w:tcBorders>
              <w:top w:val="single" w:sz="6" w:space="0" w:color="auto"/>
              <w:left w:val="single" w:sz="6" w:space="0" w:color="auto"/>
              <w:bottom w:val="single" w:sz="6" w:space="0" w:color="auto"/>
              <w:right w:val="single" w:sz="6" w:space="0" w:color="auto"/>
            </w:tcBorders>
            <w:vAlign w:val="bottom"/>
            <w:hideMark/>
          </w:tcPr>
          <w:p w14:paraId="63C01216" w14:textId="77D4733C" w:rsidR="00B07FEB" w:rsidRPr="00B07FEB" w:rsidRDefault="00B07FEB" w:rsidP="00BA79EC">
            <w:pPr>
              <w:ind w:right="159"/>
              <w:jc w:val="center"/>
              <w:rPr>
                <w:rFonts w:cs="Arial"/>
                <w:szCs w:val="22"/>
                <w:lang w:val="en-US"/>
              </w:rPr>
            </w:pPr>
            <w:r w:rsidRPr="00B07FEB">
              <w:rPr>
                <w:rFonts w:cs="Arial"/>
                <w:b/>
                <w:bCs/>
                <w:szCs w:val="22"/>
              </w:rPr>
              <w:t>Annual</w:t>
            </w:r>
          </w:p>
        </w:tc>
        <w:tc>
          <w:tcPr>
            <w:tcW w:w="1380" w:type="dxa"/>
            <w:tcBorders>
              <w:top w:val="single" w:sz="6" w:space="0" w:color="auto"/>
              <w:left w:val="single" w:sz="6" w:space="0" w:color="auto"/>
              <w:bottom w:val="single" w:sz="6" w:space="0" w:color="auto"/>
              <w:right w:val="single" w:sz="6" w:space="0" w:color="auto"/>
            </w:tcBorders>
            <w:vAlign w:val="bottom"/>
            <w:hideMark/>
          </w:tcPr>
          <w:p w14:paraId="5A82C14A" w14:textId="2C55C108" w:rsidR="00B07FEB" w:rsidRPr="00B07FEB" w:rsidRDefault="00B07FEB" w:rsidP="00BA79EC">
            <w:pPr>
              <w:ind w:right="159"/>
              <w:jc w:val="center"/>
              <w:rPr>
                <w:rFonts w:cs="Arial"/>
                <w:szCs w:val="22"/>
                <w:lang w:val="en-US"/>
              </w:rPr>
            </w:pPr>
            <w:r w:rsidRPr="00B07FEB">
              <w:rPr>
                <w:rFonts w:cs="Arial"/>
                <w:b/>
                <w:bCs/>
                <w:szCs w:val="22"/>
              </w:rPr>
              <w:t>Every monitoring period</w:t>
            </w:r>
          </w:p>
        </w:tc>
      </w:tr>
      <w:tr w:rsidR="00B07FEB" w:rsidRPr="00B07FEB" w14:paraId="73B297D4"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19423CA4" w14:textId="77777777" w:rsidR="00B07FEB" w:rsidRPr="00B07FEB" w:rsidRDefault="00B07FEB" w:rsidP="00B07FEB">
            <w:pPr>
              <w:ind w:right="159"/>
              <w:rPr>
                <w:rFonts w:cs="Arial"/>
                <w:szCs w:val="22"/>
                <w:lang w:val="en-US"/>
              </w:rPr>
            </w:pPr>
            <w:r w:rsidRPr="00B07FEB">
              <w:rPr>
                <w:rFonts w:cs="Arial"/>
                <w:b/>
                <w:bCs/>
                <w:szCs w:val="22"/>
              </w:rPr>
              <w:t>Emission reduction estimation </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1D1D1202" w14:textId="37B160E5" w:rsidR="00B07FEB" w:rsidRPr="00B07FEB" w:rsidRDefault="00B07FEB" w:rsidP="00BA79EC">
            <w:pPr>
              <w:ind w:right="159"/>
              <w:jc w:val="center"/>
              <w:rPr>
                <w:rFonts w:cs="Arial"/>
                <w:szCs w:val="22"/>
                <w:lang w:val="en-US"/>
              </w:rPr>
            </w:pPr>
            <w:r w:rsidRPr="00B07FEB">
              <w:rPr>
                <w:rFonts w:cs="Arial"/>
                <w:szCs w:val="22"/>
              </w:rPr>
              <w:t>X</w:t>
            </w:r>
          </w:p>
        </w:tc>
        <w:tc>
          <w:tcPr>
            <w:tcW w:w="1620" w:type="dxa"/>
            <w:tcBorders>
              <w:top w:val="single" w:sz="6" w:space="0" w:color="auto"/>
              <w:left w:val="single" w:sz="6" w:space="0" w:color="auto"/>
              <w:bottom w:val="single" w:sz="6" w:space="0" w:color="auto"/>
              <w:right w:val="single" w:sz="6" w:space="0" w:color="auto"/>
            </w:tcBorders>
            <w:vAlign w:val="bottom"/>
            <w:hideMark/>
          </w:tcPr>
          <w:p w14:paraId="7F489391" w14:textId="2ADF00D8" w:rsidR="00B07FEB" w:rsidRPr="00B07FEB" w:rsidRDefault="00B07FEB" w:rsidP="00BA79EC">
            <w:pPr>
              <w:ind w:right="159"/>
              <w:jc w:val="center"/>
              <w:rPr>
                <w:rFonts w:cs="Arial"/>
                <w:szCs w:val="22"/>
                <w:lang w:val="en-US"/>
              </w:rPr>
            </w:pPr>
          </w:p>
        </w:tc>
        <w:tc>
          <w:tcPr>
            <w:tcW w:w="1080" w:type="dxa"/>
            <w:tcBorders>
              <w:top w:val="single" w:sz="6" w:space="0" w:color="auto"/>
              <w:left w:val="single" w:sz="6" w:space="0" w:color="auto"/>
              <w:bottom w:val="single" w:sz="6" w:space="0" w:color="auto"/>
              <w:right w:val="single" w:sz="6" w:space="0" w:color="auto"/>
            </w:tcBorders>
            <w:vAlign w:val="bottom"/>
            <w:hideMark/>
          </w:tcPr>
          <w:p w14:paraId="1E520E66" w14:textId="4830152B" w:rsidR="00B07FEB" w:rsidRPr="00B07FEB" w:rsidRDefault="00B07FEB" w:rsidP="00BA79EC">
            <w:pPr>
              <w:ind w:right="159"/>
              <w:jc w:val="center"/>
              <w:rPr>
                <w:rFonts w:cs="Arial"/>
                <w:szCs w:val="22"/>
                <w:lang w:val="en-US"/>
              </w:rPr>
            </w:pPr>
          </w:p>
        </w:tc>
        <w:tc>
          <w:tcPr>
            <w:tcW w:w="1380" w:type="dxa"/>
            <w:tcBorders>
              <w:top w:val="single" w:sz="6" w:space="0" w:color="auto"/>
              <w:left w:val="single" w:sz="6" w:space="0" w:color="auto"/>
              <w:bottom w:val="single" w:sz="6" w:space="0" w:color="auto"/>
              <w:right w:val="single" w:sz="6" w:space="0" w:color="auto"/>
            </w:tcBorders>
            <w:vAlign w:val="bottom"/>
            <w:hideMark/>
          </w:tcPr>
          <w:p w14:paraId="4CFF281C" w14:textId="77A8DD06" w:rsidR="00B07FEB" w:rsidRPr="00B07FEB" w:rsidRDefault="00B07FEB" w:rsidP="00BA79EC">
            <w:pPr>
              <w:ind w:right="159"/>
              <w:jc w:val="center"/>
              <w:rPr>
                <w:rFonts w:cs="Arial"/>
                <w:szCs w:val="22"/>
                <w:lang w:val="en-US"/>
              </w:rPr>
            </w:pPr>
          </w:p>
        </w:tc>
      </w:tr>
      <w:tr w:rsidR="00B07FEB" w:rsidRPr="00B07FEB" w14:paraId="66FC51DE"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2577A22B" w14:textId="77777777" w:rsidR="00B07FEB" w:rsidRPr="00B07FEB" w:rsidRDefault="00B07FEB" w:rsidP="00B07FEB">
            <w:pPr>
              <w:ind w:right="159"/>
              <w:rPr>
                <w:rFonts w:cs="Arial"/>
                <w:szCs w:val="22"/>
                <w:lang w:val="en-US"/>
              </w:rPr>
            </w:pPr>
            <w:r w:rsidRPr="00B07FEB">
              <w:rPr>
                <w:rFonts w:cs="Arial"/>
                <w:b/>
                <w:bCs/>
                <w:szCs w:val="22"/>
              </w:rPr>
              <w:t>Baseline studies</w:t>
            </w:r>
            <w:r w:rsidRPr="00B07FEB">
              <w:rPr>
                <w:rFonts w:cs="Arial"/>
                <w:szCs w:val="22"/>
                <w:lang w:val="en-US"/>
              </w:rPr>
              <w:t> </w:t>
            </w:r>
          </w:p>
        </w:tc>
        <w:tc>
          <w:tcPr>
            <w:tcW w:w="5520" w:type="dxa"/>
            <w:gridSpan w:val="4"/>
            <w:tcBorders>
              <w:top w:val="single" w:sz="6" w:space="0" w:color="auto"/>
              <w:left w:val="single" w:sz="6" w:space="0" w:color="auto"/>
              <w:bottom w:val="single" w:sz="6" w:space="0" w:color="auto"/>
              <w:right w:val="single" w:sz="6" w:space="0" w:color="auto"/>
            </w:tcBorders>
            <w:vAlign w:val="bottom"/>
            <w:hideMark/>
          </w:tcPr>
          <w:p w14:paraId="799512BA" w14:textId="2434172F" w:rsidR="00B07FEB" w:rsidRPr="00B07FEB" w:rsidRDefault="00B07FEB" w:rsidP="00BA79EC">
            <w:pPr>
              <w:ind w:right="159"/>
              <w:jc w:val="center"/>
              <w:rPr>
                <w:rFonts w:cs="Arial"/>
                <w:szCs w:val="22"/>
                <w:lang w:val="en-US"/>
              </w:rPr>
            </w:pPr>
          </w:p>
        </w:tc>
      </w:tr>
      <w:tr w:rsidR="00B07FEB" w:rsidRPr="00B07FEB" w14:paraId="524E791E"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78DDABDA" w14:textId="77777777" w:rsidR="00B07FEB" w:rsidRPr="00B07FEB" w:rsidRDefault="00B07FEB" w:rsidP="00BA79EC">
            <w:pPr>
              <w:ind w:right="159"/>
              <w:jc w:val="left"/>
              <w:rPr>
                <w:rFonts w:cs="Arial"/>
                <w:szCs w:val="22"/>
                <w:lang w:val="en-US"/>
              </w:rPr>
            </w:pPr>
            <w:r w:rsidRPr="00B07FEB">
              <w:rPr>
                <w:rFonts w:cs="Arial"/>
                <w:szCs w:val="22"/>
              </w:rPr>
              <w:t>Baseline scenario survey</w:t>
            </w:r>
            <w:r w:rsidRPr="00B07FEB">
              <w:rPr>
                <w:rFonts w:cs="Arial"/>
                <w:szCs w:val="22"/>
                <w:lang w:val="en-US"/>
              </w:rPr>
              <w:t> </w:t>
            </w:r>
          </w:p>
          <w:p w14:paraId="6B16D436" w14:textId="77777777" w:rsidR="00B07FEB" w:rsidRPr="00B07FEB" w:rsidRDefault="00B07FEB" w:rsidP="00BA79EC">
            <w:pPr>
              <w:ind w:right="159"/>
              <w:jc w:val="left"/>
              <w:rPr>
                <w:rFonts w:cs="Arial"/>
                <w:szCs w:val="22"/>
                <w:lang w:val="en-US"/>
              </w:rPr>
            </w:pP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65D80BEF" w14:textId="7D6A1E0B" w:rsidR="00B07FEB" w:rsidRPr="00B07FEB" w:rsidRDefault="00B07FEB" w:rsidP="00BA79EC">
            <w:pPr>
              <w:ind w:right="159"/>
              <w:jc w:val="center"/>
              <w:rPr>
                <w:rFonts w:cs="Arial"/>
                <w:szCs w:val="22"/>
                <w:lang w:val="en-US"/>
              </w:rPr>
            </w:pPr>
            <w:r w:rsidRPr="00B07FEB">
              <w:rPr>
                <w:rFonts w:cs="Arial"/>
                <w:szCs w:val="22"/>
              </w:rPr>
              <w:t>X</w:t>
            </w:r>
          </w:p>
        </w:tc>
        <w:tc>
          <w:tcPr>
            <w:tcW w:w="1620" w:type="dxa"/>
            <w:tcBorders>
              <w:top w:val="single" w:sz="6" w:space="0" w:color="auto"/>
              <w:left w:val="single" w:sz="6" w:space="0" w:color="auto"/>
              <w:bottom w:val="single" w:sz="6" w:space="0" w:color="auto"/>
              <w:right w:val="single" w:sz="6" w:space="0" w:color="auto"/>
            </w:tcBorders>
            <w:vAlign w:val="bottom"/>
            <w:hideMark/>
          </w:tcPr>
          <w:p w14:paraId="2C4EB474" w14:textId="6B0F8022" w:rsidR="00B07FEB" w:rsidRPr="00B07FEB" w:rsidRDefault="00B07FEB" w:rsidP="00BA79EC">
            <w:pPr>
              <w:ind w:right="159"/>
              <w:jc w:val="center"/>
              <w:rPr>
                <w:rFonts w:cs="Arial"/>
                <w:szCs w:val="22"/>
                <w:lang w:val="en-US"/>
              </w:rPr>
            </w:pPr>
          </w:p>
        </w:tc>
        <w:tc>
          <w:tcPr>
            <w:tcW w:w="1080" w:type="dxa"/>
            <w:tcBorders>
              <w:top w:val="single" w:sz="6" w:space="0" w:color="auto"/>
              <w:left w:val="single" w:sz="6" w:space="0" w:color="auto"/>
              <w:bottom w:val="single" w:sz="6" w:space="0" w:color="auto"/>
              <w:right w:val="single" w:sz="6" w:space="0" w:color="auto"/>
            </w:tcBorders>
            <w:vAlign w:val="bottom"/>
            <w:hideMark/>
          </w:tcPr>
          <w:p w14:paraId="626D9DCE" w14:textId="4CB3872C" w:rsidR="00B07FEB" w:rsidRPr="00B07FEB" w:rsidRDefault="00B07FEB" w:rsidP="00BA79EC">
            <w:pPr>
              <w:ind w:right="159"/>
              <w:jc w:val="center"/>
              <w:rPr>
                <w:rFonts w:cs="Arial"/>
                <w:szCs w:val="22"/>
                <w:lang w:val="en-US"/>
              </w:rPr>
            </w:pPr>
          </w:p>
        </w:tc>
        <w:tc>
          <w:tcPr>
            <w:tcW w:w="1380" w:type="dxa"/>
            <w:tcBorders>
              <w:top w:val="single" w:sz="6" w:space="0" w:color="auto"/>
              <w:left w:val="single" w:sz="6" w:space="0" w:color="auto"/>
              <w:bottom w:val="single" w:sz="6" w:space="0" w:color="auto"/>
              <w:right w:val="single" w:sz="6" w:space="0" w:color="auto"/>
            </w:tcBorders>
            <w:vAlign w:val="bottom"/>
            <w:hideMark/>
          </w:tcPr>
          <w:p w14:paraId="224BD59C" w14:textId="1E556F57" w:rsidR="00B07FEB" w:rsidRPr="00B07FEB" w:rsidRDefault="00B07FEB" w:rsidP="00BA79EC">
            <w:pPr>
              <w:ind w:right="159"/>
              <w:jc w:val="center"/>
              <w:rPr>
                <w:rFonts w:cs="Arial"/>
                <w:szCs w:val="22"/>
                <w:lang w:val="en-US"/>
              </w:rPr>
            </w:pPr>
          </w:p>
        </w:tc>
      </w:tr>
      <w:tr w:rsidR="00B07FEB" w:rsidRPr="00B07FEB" w14:paraId="14B52125"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27895DA0" w14:textId="77777777" w:rsidR="00B07FEB" w:rsidRPr="00B07FEB" w:rsidRDefault="00B07FEB" w:rsidP="00BA79EC">
            <w:pPr>
              <w:ind w:right="159"/>
              <w:jc w:val="left"/>
              <w:rPr>
                <w:rFonts w:cs="Arial"/>
                <w:szCs w:val="22"/>
                <w:lang w:val="en-US"/>
              </w:rPr>
            </w:pPr>
            <w:r w:rsidRPr="00B07FEB">
              <w:rPr>
                <w:rFonts w:cs="Arial"/>
                <w:szCs w:val="22"/>
              </w:rPr>
              <w:t>Baseline energy consumption measurement (from KPTs) (required for all projects not using global default value)</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5BD981EA" w14:textId="4E9D139A" w:rsidR="00B07FEB" w:rsidRPr="00B07FEB" w:rsidRDefault="00B07FEB" w:rsidP="00BA79EC">
            <w:pPr>
              <w:ind w:right="159"/>
              <w:jc w:val="center"/>
              <w:rPr>
                <w:rFonts w:cs="Arial"/>
                <w:szCs w:val="22"/>
                <w:lang w:val="en-US"/>
              </w:rPr>
            </w:pPr>
          </w:p>
        </w:tc>
        <w:tc>
          <w:tcPr>
            <w:tcW w:w="1620" w:type="dxa"/>
            <w:tcBorders>
              <w:top w:val="single" w:sz="6" w:space="0" w:color="auto"/>
              <w:left w:val="single" w:sz="6" w:space="0" w:color="auto"/>
              <w:bottom w:val="single" w:sz="6" w:space="0" w:color="auto"/>
              <w:right w:val="single" w:sz="6" w:space="0" w:color="auto"/>
            </w:tcBorders>
            <w:vAlign w:val="bottom"/>
            <w:hideMark/>
          </w:tcPr>
          <w:p w14:paraId="4259D017" w14:textId="7B05E138" w:rsidR="00B07FEB" w:rsidRPr="00B07FEB" w:rsidRDefault="00B07FEB" w:rsidP="00BA79EC">
            <w:pPr>
              <w:ind w:right="159"/>
              <w:jc w:val="center"/>
              <w:rPr>
                <w:rFonts w:cs="Arial"/>
                <w:szCs w:val="22"/>
                <w:lang w:val="en-US"/>
              </w:rPr>
            </w:pPr>
            <w:r w:rsidRPr="00B07FEB">
              <w:rPr>
                <w:rFonts w:cs="Arial"/>
                <w:szCs w:val="22"/>
              </w:rPr>
              <w:t>X</w:t>
            </w:r>
          </w:p>
        </w:tc>
        <w:tc>
          <w:tcPr>
            <w:tcW w:w="1080" w:type="dxa"/>
            <w:tcBorders>
              <w:top w:val="single" w:sz="6" w:space="0" w:color="auto"/>
              <w:left w:val="single" w:sz="6" w:space="0" w:color="auto"/>
              <w:bottom w:val="single" w:sz="6" w:space="0" w:color="auto"/>
              <w:right w:val="single" w:sz="6" w:space="0" w:color="auto"/>
            </w:tcBorders>
            <w:vAlign w:val="bottom"/>
            <w:hideMark/>
          </w:tcPr>
          <w:p w14:paraId="0A90D348" w14:textId="2B9E1F3A" w:rsidR="00B07FEB" w:rsidRPr="00B07FEB" w:rsidRDefault="00B07FEB" w:rsidP="00BA79EC">
            <w:pPr>
              <w:ind w:right="159"/>
              <w:jc w:val="center"/>
              <w:rPr>
                <w:rFonts w:cs="Arial"/>
                <w:szCs w:val="22"/>
                <w:lang w:val="en-US"/>
              </w:rPr>
            </w:pPr>
          </w:p>
        </w:tc>
        <w:tc>
          <w:tcPr>
            <w:tcW w:w="1380" w:type="dxa"/>
            <w:tcBorders>
              <w:top w:val="single" w:sz="6" w:space="0" w:color="auto"/>
              <w:left w:val="single" w:sz="6" w:space="0" w:color="auto"/>
              <w:bottom w:val="single" w:sz="6" w:space="0" w:color="auto"/>
              <w:right w:val="single" w:sz="6" w:space="0" w:color="auto"/>
            </w:tcBorders>
            <w:vAlign w:val="bottom"/>
            <w:hideMark/>
          </w:tcPr>
          <w:p w14:paraId="71062B39" w14:textId="6C20AD8A" w:rsidR="00B07FEB" w:rsidRPr="00B07FEB" w:rsidRDefault="00B07FEB" w:rsidP="00BA79EC">
            <w:pPr>
              <w:ind w:right="159"/>
              <w:jc w:val="center"/>
              <w:rPr>
                <w:rFonts w:cs="Arial"/>
                <w:szCs w:val="22"/>
                <w:lang w:val="en-US"/>
              </w:rPr>
            </w:pPr>
          </w:p>
        </w:tc>
      </w:tr>
      <w:tr w:rsidR="00B07FEB" w:rsidRPr="00B07FEB" w14:paraId="182C4136"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03C5509A" w14:textId="77777777" w:rsidR="00B07FEB" w:rsidRPr="00B07FEB" w:rsidRDefault="00B07FEB" w:rsidP="00BA79EC">
            <w:pPr>
              <w:ind w:right="159"/>
              <w:jc w:val="left"/>
              <w:rPr>
                <w:rFonts w:cs="Arial"/>
                <w:szCs w:val="22"/>
                <w:lang w:val="en-US"/>
              </w:rPr>
            </w:pPr>
            <w:r w:rsidRPr="00B07FEB">
              <w:rPr>
                <w:rFonts w:cs="Arial"/>
                <w:b/>
                <w:bCs/>
                <w:szCs w:val="22"/>
              </w:rPr>
              <w:t>Project studies</w:t>
            </w:r>
            <w:r w:rsidRPr="00B07FEB">
              <w:rPr>
                <w:rFonts w:cs="Arial"/>
                <w:szCs w:val="22"/>
                <w:lang w:val="en-US"/>
              </w:rPr>
              <w:t> </w:t>
            </w:r>
          </w:p>
        </w:tc>
        <w:tc>
          <w:tcPr>
            <w:tcW w:w="5520" w:type="dxa"/>
            <w:gridSpan w:val="4"/>
            <w:tcBorders>
              <w:top w:val="single" w:sz="6" w:space="0" w:color="auto"/>
              <w:left w:val="single" w:sz="6" w:space="0" w:color="auto"/>
              <w:bottom w:val="single" w:sz="6" w:space="0" w:color="auto"/>
              <w:right w:val="single" w:sz="6" w:space="0" w:color="auto"/>
            </w:tcBorders>
            <w:vAlign w:val="bottom"/>
            <w:hideMark/>
          </w:tcPr>
          <w:p w14:paraId="43B1D459" w14:textId="3CAE6D30" w:rsidR="00B07FEB" w:rsidRPr="00B07FEB" w:rsidRDefault="00B07FEB" w:rsidP="00BA79EC">
            <w:pPr>
              <w:ind w:right="159"/>
              <w:jc w:val="center"/>
              <w:rPr>
                <w:rFonts w:cs="Arial"/>
                <w:szCs w:val="22"/>
                <w:lang w:val="en-US"/>
              </w:rPr>
            </w:pPr>
          </w:p>
        </w:tc>
      </w:tr>
      <w:tr w:rsidR="00B07FEB" w:rsidRPr="00B07FEB" w14:paraId="48CACB9F"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74CE7727" w14:textId="77777777" w:rsidR="00B07FEB" w:rsidRPr="00B07FEB" w:rsidRDefault="00B07FEB" w:rsidP="00BA79EC">
            <w:pPr>
              <w:ind w:right="159"/>
              <w:jc w:val="left"/>
              <w:rPr>
                <w:rFonts w:cs="Arial"/>
                <w:szCs w:val="22"/>
                <w:lang w:val="en-US"/>
              </w:rPr>
            </w:pPr>
            <w:r w:rsidRPr="00B07FEB">
              <w:rPr>
                <w:rFonts w:cs="Arial"/>
                <w:szCs w:val="22"/>
              </w:rPr>
              <w:t>Usage surveys </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2FBDF866" w14:textId="0A9F8D34" w:rsidR="00B07FEB" w:rsidRPr="00B07FEB" w:rsidRDefault="00B07FEB" w:rsidP="00BA79EC">
            <w:pPr>
              <w:ind w:right="159"/>
              <w:jc w:val="center"/>
              <w:rPr>
                <w:rFonts w:cs="Arial"/>
                <w:szCs w:val="22"/>
                <w:lang w:val="en-US"/>
              </w:rPr>
            </w:pPr>
          </w:p>
        </w:tc>
        <w:tc>
          <w:tcPr>
            <w:tcW w:w="1620" w:type="dxa"/>
            <w:tcBorders>
              <w:top w:val="single" w:sz="6" w:space="0" w:color="auto"/>
              <w:left w:val="single" w:sz="6" w:space="0" w:color="auto"/>
              <w:bottom w:val="single" w:sz="6" w:space="0" w:color="auto"/>
              <w:right w:val="single" w:sz="6" w:space="0" w:color="auto"/>
            </w:tcBorders>
            <w:vAlign w:val="bottom"/>
            <w:hideMark/>
          </w:tcPr>
          <w:p w14:paraId="25EF23D1" w14:textId="25F8B14D" w:rsidR="00B07FEB" w:rsidRPr="00B07FEB" w:rsidRDefault="00B07FEB" w:rsidP="00BA79EC">
            <w:pPr>
              <w:ind w:right="159"/>
              <w:jc w:val="center"/>
              <w:rPr>
                <w:rFonts w:cs="Arial"/>
                <w:szCs w:val="22"/>
                <w:lang w:val="en-US"/>
              </w:rPr>
            </w:pPr>
          </w:p>
        </w:tc>
        <w:tc>
          <w:tcPr>
            <w:tcW w:w="1080" w:type="dxa"/>
            <w:tcBorders>
              <w:top w:val="single" w:sz="6" w:space="0" w:color="auto"/>
              <w:left w:val="single" w:sz="6" w:space="0" w:color="auto"/>
              <w:bottom w:val="single" w:sz="6" w:space="0" w:color="auto"/>
              <w:right w:val="single" w:sz="6" w:space="0" w:color="auto"/>
            </w:tcBorders>
            <w:vAlign w:val="bottom"/>
            <w:hideMark/>
          </w:tcPr>
          <w:p w14:paraId="623DDCB2" w14:textId="50B68D4C" w:rsidR="00B07FEB" w:rsidRPr="00B07FEB" w:rsidRDefault="00B07FEB" w:rsidP="00BA79EC">
            <w:pPr>
              <w:ind w:right="159"/>
              <w:jc w:val="center"/>
              <w:rPr>
                <w:rFonts w:cs="Arial"/>
                <w:szCs w:val="22"/>
                <w:lang w:val="en-US"/>
              </w:rPr>
            </w:pPr>
            <w:r w:rsidRPr="00B07FEB">
              <w:rPr>
                <w:rFonts w:cs="Arial"/>
                <w:szCs w:val="22"/>
              </w:rPr>
              <w:t>X</w:t>
            </w:r>
          </w:p>
        </w:tc>
        <w:tc>
          <w:tcPr>
            <w:tcW w:w="1380" w:type="dxa"/>
            <w:tcBorders>
              <w:top w:val="single" w:sz="6" w:space="0" w:color="auto"/>
              <w:left w:val="single" w:sz="6" w:space="0" w:color="auto"/>
              <w:bottom w:val="single" w:sz="6" w:space="0" w:color="auto"/>
              <w:right w:val="single" w:sz="6" w:space="0" w:color="auto"/>
            </w:tcBorders>
            <w:vAlign w:val="bottom"/>
            <w:hideMark/>
          </w:tcPr>
          <w:p w14:paraId="7A487559" w14:textId="06576A8A" w:rsidR="00B07FEB" w:rsidRPr="00B07FEB" w:rsidRDefault="00B07FEB" w:rsidP="00BA79EC">
            <w:pPr>
              <w:ind w:right="159"/>
              <w:jc w:val="center"/>
              <w:rPr>
                <w:rFonts w:cs="Arial"/>
                <w:szCs w:val="22"/>
                <w:lang w:val="en-US"/>
              </w:rPr>
            </w:pPr>
          </w:p>
        </w:tc>
      </w:tr>
      <w:tr w:rsidR="00B07FEB" w:rsidRPr="00B07FEB" w14:paraId="4B0B0C11"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26F26902" w14:textId="77777777" w:rsidR="00B07FEB" w:rsidRPr="00B07FEB" w:rsidRDefault="00B07FEB" w:rsidP="00BA79EC">
            <w:pPr>
              <w:ind w:right="159"/>
              <w:jc w:val="left"/>
              <w:rPr>
                <w:rFonts w:cs="Arial"/>
                <w:szCs w:val="22"/>
                <w:lang w:val="en-US"/>
              </w:rPr>
            </w:pPr>
            <w:r w:rsidRPr="00B07FEB">
              <w:rPr>
                <w:rFonts w:cs="Arial"/>
                <w:szCs w:val="22"/>
              </w:rPr>
              <w:t>Project energy consumption measurement (from KPTs). KPTs must be performed no less frequently than every two years even if the monitoring period is longer.</w:t>
            </w:r>
            <w:r w:rsidRPr="00B07FEB">
              <w:rPr>
                <w:rFonts w:cs="Arial"/>
                <w:szCs w:val="22"/>
                <w:lang w:val="en-US"/>
              </w:rPr>
              <w:t> </w:t>
            </w:r>
          </w:p>
        </w:tc>
        <w:tc>
          <w:tcPr>
            <w:tcW w:w="1440" w:type="dxa"/>
            <w:tcBorders>
              <w:top w:val="single" w:sz="6" w:space="0" w:color="auto"/>
              <w:left w:val="single" w:sz="6" w:space="0" w:color="auto"/>
              <w:bottom w:val="single" w:sz="6" w:space="0" w:color="auto"/>
              <w:right w:val="single" w:sz="6" w:space="0" w:color="auto"/>
            </w:tcBorders>
            <w:vAlign w:val="bottom"/>
            <w:hideMark/>
          </w:tcPr>
          <w:p w14:paraId="3CB327D3" w14:textId="629EE003" w:rsidR="00B07FEB" w:rsidRPr="00B07FEB" w:rsidRDefault="00B07FEB" w:rsidP="00BA79EC">
            <w:pPr>
              <w:ind w:right="159"/>
              <w:jc w:val="center"/>
              <w:rPr>
                <w:rFonts w:cs="Arial"/>
                <w:szCs w:val="22"/>
                <w:lang w:val="en-US"/>
              </w:rPr>
            </w:pPr>
          </w:p>
        </w:tc>
        <w:tc>
          <w:tcPr>
            <w:tcW w:w="1620" w:type="dxa"/>
            <w:tcBorders>
              <w:top w:val="single" w:sz="6" w:space="0" w:color="auto"/>
              <w:left w:val="single" w:sz="6" w:space="0" w:color="auto"/>
              <w:bottom w:val="single" w:sz="6" w:space="0" w:color="auto"/>
              <w:right w:val="single" w:sz="6" w:space="0" w:color="auto"/>
            </w:tcBorders>
            <w:vAlign w:val="bottom"/>
            <w:hideMark/>
          </w:tcPr>
          <w:p w14:paraId="400BA909" w14:textId="0404AF8E" w:rsidR="00B07FEB" w:rsidRPr="00B07FEB" w:rsidRDefault="00B07FEB" w:rsidP="00BA79EC">
            <w:pPr>
              <w:ind w:right="159"/>
              <w:jc w:val="center"/>
              <w:rPr>
                <w:rFonts w:cs="Arial"/>
                <w:szCs w:val="22"/>
                <w:lang w:val="en-US"/>
              </w:rPr>
            </w:pPr>
            <w:r w:rsidRPr="00B07FEB">
              <w:rPr>
                <w:rFonts w:cs="Arial"/>
                <w:szCs w:val="22"/>
              </w:rPr>
              <w:t>X</w:t>
            </w:r>
          </w:p>
        </w:tc>
        <w:tc>
          <w:tcPr>
            <w:tcW w:w="1080" w:type="dxa"/>
            <w:tcBorders>
              <w:top w:val="single" w:sz="6" w:space="0" w:color="auto"/>
              <w:left w:val="single" w:sz="6" w:space="0" w:color="auto"/>
              <w:bottom w:val="single" w:sz="6" w:space="0" w:color="auto"/>
              <w:right w:val="single" w:sz="6" w:space="0" w:color="auto"/>
            </w:tcBorders>
            <w:vAlign w:val="bottom"/>
            <w:hideMark/>
          </w:tcPr>
          <w:p w14:paraId="1A60A0E1" w14:textId="42CF939B" w:rsidR="00B07FEB" w:rsidRPr="00B07FEB" w:rsidRDefault="00B07FEB" w:rsidP="00BA79EC">
            <w:pPr>
              <w:ind w:right="159"/>
              <w:jc w:val="center"/>
              <w:rPr>
                <w:rFonts w:cs="Arial"/>
                <w:szCs w:val="22"/>
                <w:lang w:val="en-US"/>
              </w:rPr>
            </w:pPr>
          </w:p>
        </w:tc>
        <w:tc>
          <w:tcPr>
            <w:tcW w:w="1380" w:type="dxa"/>
            <w:tcBorders>
              <w:top w:val="single" w:sz="6" w:space="0" w:color="auto"/>
              <w:left w:val="single" w:sz="6" w:space="0" w:color="auto"/>
              <w:bottom w:val="single" w:sz="6" w:space="0" w:color="auto"/>
              <w:right w:val="single" w:sz="6" w:space="0" w:color="auto"/>
            </w:tcBorders>
            <w:vAlign w:val="bottom"/>
            <w:hideMark/>
          </w:tcPr>
          <w:p w14:paraId="08088CB7" w14:textId="305E83EA" w:rsidR="00B07FEB" w:rsidRPr="00B07FEB" w:rsidRDefault="00B07FEB" w:rsidP="00BA79EC">
            <w:pPr>
              <w:ind w:right="159"/>
              <w:jc w:val="center"/>
              <w:rPr>
                <w:rFonts w:cs="Arial"/>
                <w:szCs w:val="22"/>
                <w:lang w:val="en-US"/>
              </w:rPr>
            </w:pPr>
            <w:r w:rsidRPr="00B07FEB">
              <w:rPr>
                <w:rFonts w:cs="Arial"/>
                <w:szCs w:val="22"/>
              </w:rPr>
              <w:t>X</w:t>
            </w:r>
          </w:p>
        </w:tc>
      </w:tr>
      <w:tr w:rsidR="00B07FEB" w:rsidRPr="00B07FEB" w14:paraId="4E41EAFB"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01DABBE0" w14:textId="77777777" w:rsidR="00B07FEB" w:rsidRPr="00B07FEB" w:rsidRDefault="00B07FEB" w:rsidP="00BA79EC">
            <w:pPr>
              <w:ind w:right="159"/>
              <w:jc w:val="left"/>
              <w:rPr>
                <w:rFonts w:cs="Arial"/>
                <w:szCs w:val="22"/>
                <w:lang w:val="en-US"/>
              </w:rPr>
            </w:pPr>
            <w:r w:rsidRPr="00B07FEB">
              <w:rPr>
                <w:rFonts w:cs="Arial"/>
                <w:b/>
                <w:bCs/>
                <w:szCs w:val="22"/>
              </w:rPr>
              <w:t>Ongoing monitoring tasks</w:t>
            </w:r>
            <w:r w:rsidRPr="00B07FEB">
              <w:rPr>
                <w:rFonts w:cs="Arial"/>
                <w:szCs w:val="22"/>
                <w:lang w:val="en-US"/>
              </w:rPr>
              <w:t> </w:t>
            </w:r>
          </w:p>
        </w:tc>
        <w:tc>
          <w:tcPr>
            <w:tcW w:w="5520" w:type="dxa"/>
            <w:gridSpan w:val="4"/>
            <w:tcBorders>
              <w:top w:val="single" w:sz="6" w:space="0" w:color="auto"/>
              <w:left w:val="single" w:sz="6" w:space="0" w:color="auto"/>
              <w:bottom w:val="single" w:sz="6" w:space="0" w:color="auto"/>
              <w:right w:val="single" w:sz="6" w:space="0" w:color="auto"/>
            </w:tcBorders>
            <w:vAlign w:val="bottom"/>
            <w:hideMark/>
          </w:tcPr>
          <w:p w14:paraId="3F662FBB" w14:textId="34F78359" w:rsidR="00B07FEB" w:rsidRPr="00B07FEB" w:rsidRDefault="00B07FEB" w:rsidP="00BA79EC">
            <w:pPr>
              <w:ind w:right="159"/>
              <w:jc w:val="center"/>
              <w:rPr>
                <w:rFonts w:cs="Arial"/>
                <w:szCs w:val="22"/>
                <w:lang w:val="en-US"/>
              </w:rPr>
            </w:pPr>
          </w:p>
        </w:tc>
      </w:tr>
      <w:tr w:rsidR="00B07FEB" w:rsidRPr="00B07FEB" w14:paraId="2BC410D1" w14:textId="77777777" w:rsidTr="00B07FEB">
        <w:trPr>
          <w:trHeight w:val="300"/>
        </w:trPr>
        <w:tc>
          <w:tcPr>
            <w:tcW w:w="3675" w:type="dxa"/>
            <w:tcBorders>
              <w:top w:val="single" w:sz="6" w:space="0" w:color="auto"/>
              <w:left w:val="single" w:sz="6" w:space="0" w:color="auto"/>
              <w:bottom w:val="single" w:sz="6" w:space="0" w:color="auto"/>
              <w:right w:val="single" w:sz="6" w:space="0" w:color="auto"/>
            </w:tcBorders>
            <w:vAlign w:val="bottom"/>
            <w:hideMark/>
          </w:tcPr>
          <w:p w14:paraId="51E08C0E" w14:textId="77777777" w:rsidR="00B07FEB" w:rsidRPr="00B07FEB" w:rsidRDefault="00B07FEB" w:rsidP="00BA79EC">
            <w:pPr>
              <w:ind w:right="159"/>
              <w:jc w:val="left"/>
              <w:rPr>
                <w:rFonts w:cs="Arial"/>
                <w:szCs w:val="22"/>
                <w:lang w:val="en-US"/>
              </w:rPr>
            </w:pPr>
            <w:r w:rsidRPr="00B07FEB">
              <w:rPr>
                <w:rFonts w:cs="Arial"/>
                <w:szCs w:val="22"/>
              </w:rPr>
              <w:t>Maintenance of total sales and service records, and project databases</w:t>
            </w:r>
            <w:r w:rsidRPr="00B07FEB">
              <w:rPr>
                <w:rFonts w:cs="Arial"/>
                <w:szCs w:val="22"/>
                <w:lang w:val="en-US"/>
              </w:rPr>
              <w:t> </w:t>
            </w:r>
          </w:p>
        </w:tc>
        <w:tc>
          <w:tcPr>
            <w:tcW w:w="5520" w:type="dxa"/>
            <w:gridSpan w:val="4"/>
            <w:tcBorders>
              <w:top w:val="single" w:sz="6" w:space="0" w:color="auto"/>
              <w:left w:val="single" w:sz="6" w:space="0" w:color="auto"/>
              <w:bottom w:val="single" w:sz="6" w:space="0" w:color="auto"/>
              <w:right w:val="single" w:sz="6" w:space="0" w:color="auto"/>
            </w:tcBorders>
            <w:vAlign w:val="bottom"/>
            <w:hideMark/>
          </w:tcPr>
          <w:p w14:paraId="2E69CC01" w14:textId="1676B0EC" w:rsidR="00B07FEB" w:rsidRPr="00B07FEB" w:rsidRDefault="00B07FEB" w:rsidP="00BA79EC">
            <w:pPr>
              <w:ind w:right="159"/>
              <w:jc w:val="center"/>
              <w:rPr>
                <w:rFonts w:cs="Arial"/>
                <w:szCs w:val="22"/>
                <w:lang w:val="en-US"/>
              </w:rPr>
            </w:pPr>
            <w:r w:rsidRPr="00B07FEB">
              <w:rPr>
                <w:rFonts w:cs="Arial"/>
                <w:szCs w:val="22"/>
              </w:rPr>
              <w:t>Continuous</w:t>
            </w:r>
          </w:p>
        </w:tc>
      </w:tr>
    </w:tbl>
    <w:p w14:paraId="1BC5DC39" w14:textId="77777777" w:rsidR="00B07FEB" w:rsidRPr="00B07FEB" w:rsidRDefault="00B07FEB" w:rsidP="00B07FEB">
      <w:pPr>
        <w:ind w:right="159"/>
        <w:rPr>
          <w:rFonts w:cs="Arial"/>
          <w:szCs w:val="22"/>
          <w:lang w:val="en-US"/>
        </w:rPr>
      </w:pPr>
      <w:r w:rsidRPr="00B07FEB">
        <w:rPr>
          <w:rFonts w:cs="Arial"/>
          <w:szCs w:val="22"/>
          <w:lang w:val="en-US"/>
        </w:rPr>
        <w:t> </w:t>
      </w:r>
    </w:p>
    <w:p w14:paraId="2096C9CC" w14:textId="08839C0F" w:rsidR="00D2757C" w:rsidRPr="00B07FEB" w:rsidRDefault="00B07FEB" w:rsidP="00B07FEB">
      <w:pPr>
        <w:pStyle w:val="SDMPara"/>
        <w:ind w:right="159"/>
        <w:rPr>
          <w:lang w:val="en-US"/>
        </w:rPr>
      </w:pPr>
      <w:r w:rsidRPr="00D2757C">
        <w:rPr>
          <w:b/>
        </w:rPr>
        <w:t>Other monitoring requirements</w:t>
      </w:r>
      <w:r w:rsidR="00D2757C">
        <w:rPr>
          <w:b/>
          <w:bCs/>
        </w:rPr>
        <w:t>:</w:t>
      </w:r>
      <w:r w:rsidRPr="00D2757C">
        <w:rPr>
          <w:lang w:val="en-US"/>
        </w:rPr>
        <w:t> </w:t>
      </w:r>
    </w:p>
    <w:p w14:paraId="53C86110" w14:textId="77777777" w:rsidR="00D2757C" w:rsidRPr="00B07FEB" w:rsidRDefault="00B07FEB" w:rsidP="00B07FEB">
      <w:pPr>
        <w:pStyle w:val="SDMSubPara1"/>
        <w:ind w:right="159"/>
        <w:rPr>
          <w:lang w:val="en-US"/>
        </w:rPr>
      </w:pPr>
      <w:r w:rsidRPr="00D2757C">
        <w:t>KPTs must be undertaken every two years, within the last four months of the monitoring period for which credits are being validated and issued, rather than at the beginning of a monitoring period. For a five-year crediting period, project proponents are expected to conduct KPTs at the end of Year 2 and Year 4. They may either conduct an additional KPT in Year 5 or if the project is renewed, apply the results from KPTs conducted in Year 6. </w:t>
      </w:r>
      <w:r w:rsidRPr="00D2757C">
        <w:rPr>
          <w:lang w:val="en-US"/>
        </w:rPr>
        <w:t> </w:t>
      </w:r>
    </w:p>
    <w:p w14:paraId="4B95F1D9" w14:textId="77777777" w:rsidR="00D2757C" w:rsidRPr="00B07FEB" w:rsidRDefault="00B07FEB" w:rsidP="00B07FEB">
      <w:pPr>
        <w:pStyle w:val="SDMSubPara1"/>
        <w:ind w:right="159"/>
        <w:rPr>
          <w:lang w:val="en-US"/>
        </w:rPr>
      </w:pPr>
      <w:r w:rsidRPr="00D2757C">
        <w:rPr>
          <w:u w:val="single"/>
        </w:rPr>
        <w:t>Evolving baselines:</w:t>
      </w:r>
      <w:r w:rsidRPr="00D2757C">
        <w:rPr>
          <w:b/>
        </w:rPr>
        <w:t xml:space="preserve"> </w:t>
      </w:r>
      <w:r w:rsidRPr="00D2757C">
        <w:t>For projects with KPT baselines, project proponents must identify any mismatch between values documented during the baseline scenario and those reported by actual project households during the first project usage survey for primary fuel type and household size. This assessment shall be carried out using retrospective questions of project households during the first usage survey in any given household. Where a material discrepancy between the baseline scenario and the baseline observed in project households occurs, project proponents must either not claim emission reductions for households that do not conform to the baseline scenario profile or follow requirements on adjusting the baseline (toward lower baseline emissions).</w:t>
      </w:r>
      <w:r w:rsidRPr="00D2757C">
        <w:rPr>
          <w:lang w:val="en-US"/>
        </w:rPr>
        <w:t> </w:t>
      </w:r>
    </w:p>
    <w:p w14:paraId="0F17EFDC" w14:textId="02C93337" w:rsidR="00D2757C" w:rsidRPr="00B07FEB" w:rsidRDefault="00B07FEB" w:rsidP="00B07FEB">
      <w:pPr>
        <w:pStyle w:val="SDMSubPara1"/>
        <w:ind w:right="159"/>
        <w:rPr>
          <w:lang w:val="en-US"/>
        </w:rPr>
      </w:pPr>
      <w:r w:rsidRPr="00D2757C">
        <w:rPr>
          <w:u w:val="single"/>
        </w:rPr>
        <w:t>Seasonality:</w:t>
      </w:r>
      <w:r w:rsidRPr="00D2757C">
        <w:t xml:space="preserve"> Projects are required to account for the impact of seasonal variation on fuel-use measurements in the baseline and project scenarios. Prior to project validation, projects must collect data during the baseline scenario </w:t>
      </w:r>
      <w:r w:rsidRPr="00D2757C">
        <w:lastRenderedPageBreak/>
        <w:t xml:space="preserve">survey on the relative fuel use at different times of the year. Project proponents are required to incorporate the resulting information into their monitoring plan design and to justify on the </w:t>
      </w:r>
      <w:hyperlink w:anchor="A1" w:history="1">
        <w:r w:rsidRPr="00073CB1">
          <w:rPr>
            <w:rStyle w:val="Hyperlink"/>
          </w:rPr>
          <w:t>Project Information Cover Sheet</w:t>
        </w:r>
      </w:hyperlink>
      <w:r w:rsidRPr="00D2757C">
        <w:t xml:space="preserve"> how the approach they are taking will result in accurate baseline and project fuel use measurements. If space heating is common in the project area, the justification must include an explanation of how space heating has been addressed in the project design. If an accurate approach cannot be taken, then the project proponent must instead select and justify a conservative approach.  </w:t>
      </w:r>
      <w:r w:rsidRPr="00D2757C">
        <w:rPr>
          <w:lang w:val="en-US"/>
        </w:rPr>
        <w:t> </w:t>
      </w:r>
    </w:p>
    <w:p w14:paraId="1B3B5F3C" w14:textId="77777777" w:rsidR="00D2757C" w:rsidRPr="00B07FEB" w:rsidRDefault="00B07FEB" w:rsidP="00B07FEB">
      <w:pPr>
        <w:pStyle w:val="SDMSubPara1"/>
        <w:ind w:right="159"/>
        <w:rPr>
          <w:lang w:val="en-US"/>
        </w:rPr>
      </w:pPr>
      <w:r w:rsidRPr="00D2757C">
        <w:rPr>
          <w:bCs/>
          <w:u w:val="single"/>
        </w:rPr>
        <w:t>CTEC monitoring data</w:t>
      </w:r>
      <w:r w:rsidRPr="00D2757C">
        <w:rPr>
          <w:b/>
        </w:rPr>
        <w:t xml:space="preserve">: </w:t>
      </w:r>
      <w:r w:rsidRPr="00D2757C">
        <w:t>For any given project participant or technology, if more than half of the possible CTEC data for a monitoring period is missing, only available CTEC data may be included in emission reduction calculations. If missing CTEC data for a given project participant or technology consists of less than half of the possible data, then the project proponent may use the 25th percentile of the available tracked project energy consumption for that project participant or technology as a conservative replacement of the missing data.</w:t>
      </w:r>
      <w:r w:rsidRPr="00D2757C">
        <w:rPr>
          <w:lang w:val="en-US"/>
        </w:rPr>
        <w:t> </w:t>
      </w:r>
    </w:p>
    <w:p w14:paraId="42F3881C" w14:textId="77777777" w:rsidR="00D2757C" w:rsidRPr="00B07FEB" w:rsidRDefault="00B07FEB" w:rsidP="00D2757C">
      <w:pPr>
        <w:pStyle w:val="SDMSubPara1"/>
        <w:ind w:right="159"/>
        <w:rPr>
          <w:lang w:val="en-US"/>
        </w:rPr>
      </w:pPr>
      <w:r w:rsidRPr="00D2757C">
        <w:rPr>
          <w:bCs/>
          <w:u w:val="single"/>
        </w:rPr>
        <w:t>Stove use monitoring</w:t>
      </w:r>
      <w:r w:rsidRPr="00D2757C">
        <w:rPr>
          <w:b/>
        </w:rPr>
        <w:t>:</w:t>
      </w:r>
      <w:r w:rsidRPr="00D2757C">
        <w:rPr>
          <w:lang w:val="en-US"/>
        </w:rPr>
        <w:t> </w:t>
      </w:r>
    </w:p>
    <w:p w14:paraId="13B96E8B" w14:textId="77777777" w:rsidR="00D2757C" w:rsidRPr="00B07FEB" w:rsidRDefault="00B07FEB" w:rsidP="00D2757C">
      <w:pPr>
        <w:pStyle w:val="SDMSubPara2"/>
        <w:ind w:right="159"/>
        <w:rPr>
          <w:lang w:val="en-US"/>
        </w:rPr>
      </w:pPr>
      <w:r w:rsidRPr="00D2757C">
        <w:rPr>
          <w:lang w:val="en-US"/>
        </w:rPr>
        <w:t>The algorithm for estimating technology use events must be able to reliably distinguish cookstove use events from other potential factors that could be interpreted as cookstove use events that are caused by external reasons (e.g., temperature fluctuations from typical diurnal patterns). The algorithms shall be clearly presented publicly with associated equations and/or logic rules.  </w:t>
      </w:r>
    </w:p>
    <w:p w14:paraId="4BD29234" w14:textId="77777777" w:rsidR="00D2757C" w:rsidRPr="00B07FEB" w:rsidRDefault="00B07FEB" w:rsidP="00D2757C">
      <w:pPr>
        <w:pStyle w:val="SDMSubPara2"/>
        <w:ind w:right="159"/>
        <w:rPr>
          <w:lang w:val="en-US"/>
        </w:rPr>
      </w:pPr>
      <w:r w:rsidRPr="00D2757C">
        <w:rPr>
          <w:lang w:val="en-US"/>
        </w:rPr>
        <w:t>The same algorithm and SUM device type shall be used for the duration of the project. </w:t>
      </w:r>
    </w:p>
    <w:p w14:paraId="683FA835" w14:textId="58DABF55" w:rsidR="002B3EDF" w:rsidRPr="009E42A3" w:rsidRDefault="00B07FEB" w:rsidP="002B3EDF">
      <w:pPr>
        <w:pStyle w:val="SDMSubPara2"/>
        <w:ind w:right="159"/>
        <w:rPr>
          <w:lang w:val="en-US"/>
        </w:rPr>
      </w:pPr>
      <w:r w:rsidRPr="00D2757C">
        <w:rPr>
          <w:lang w:val="en-US"/>
        </w:rPr>
        <w:t xml:space="preserve">Sampling must meet the 95/10 precision guidelines, per the sampling guidance </w:t>
      </w:r>
      <w:r w:rsidRPr="009E42A3">
        <w:rPr>
          <w:lang w:val="en-US"/>
        </w:rPr>
        <w:t xml:space="preserve">included in </w:t>
      </w:r>
      <w:hyperlink w:anchor="A10" w:history="1">
        <w:r w:rsidRPr="009E42A3">
          <w:rPr>
            <w:rStyle w:val="Hyperlink"/>
            <w:lang w:val="en-US"/>
          </w:rPr>
          <w:t>Appendix 10</w:t>
        </w:r>
      </w:hyperlink>
      <w:r w:rsidRPr="009E42A3">
        <w:rPr>
          <w:lang w:val="en-US"/>
        </w:rPr>
        <w:t>. </w:t>
      </w:r>
    </w:p>
    <w:p w14:paraId="6D24F8DB" w14:textId="1B1DAA51" w:rsidR="00B07FEB" w:rsidRPr="009E42A3" w:rsidRDefault="00B07FEB" w:rsidP="002B3EDF">
      <w:pPr>
        <w:pStyle w:val="SDMSubPara2"/>
        <w:ind w:right="159"/>
        <w:rPr>
          <w:lang w:val="en-US"/>
        </w:rPr>
      </w:pPr>
      <w:r w:rsidRPr="009E42A3">
        <w:rPr>
          <w:lang w:val="en-US"/>
        </w:rPr>
        <w:t xml:space="preserve">SUMs sampling protocols (installation, placement, downloading) and algorithms used to convert raw data into cooking events must not change between sampling during KPTs and sampling following KPTs. Project participants in the SUMs sample shall not receive any support different or additional to those not in the sample. See </w:t>
      </w:r>
      <w:hyperlink w:anchor="A10" w:history="1">
        <w:r w:rsidRPr="009E42A3">
          <w:rPr>
            <w:rStyle w:val="Hyperlink"/>
            <w:lang w:val="en-US"/>
          </w:rPr>
          <w:t>Appendix 10</w:t>
        </w:r>
      </w:hyperlink>
      <w:r w:rsidRPr="009E42A3">
        <w:rPr>
          <w:lang w:val="en-US"/>
        </w:rPr>
        <w:t>. </w:t>
      </w:r>
    </w:p>
    <w:p w14:paraId="3E6BD036" w14:textId="77777777" w:rsidR="00B07FEB" w:rsidRPr="00B07FEB" w:rsidRDefault="00B07FEB" w:rsidP="00B07FEB">
      <w:pPr>
        <w:ind w:right="159"/>
        <w:rPr>
          <w:rFonts w:cs="Arial"/>
          <w:szCs w:val="22"/>
          <w:lang w:val="en-US"/>
        </w:rPr>
      </w:pPr>
      <w:r w:rsidRPr="00B07FEB">
        <w:rPr>
          <w:rFonts w:cs="Arial"/>
          <w:szCs w:val="22"/>
          <w:lang w:val="en-US"/>
        </w:rPr>
        <w:t> </w:t>
      </w:r>
    </w:p>
    <w:p w14:paraId="5CEE6187" w14:textId="0028DBD5" w:rsidR="00533CCB" w:rsidRPr="002B3EDF" w:rsidRDefault="00B07FEB" w:rsidP="002B3EDF">
      <w:pPr>
        <w:pStyle w:val="SDMSubPara1"/>
        <w:ind w:right="159"/>
        <w:rPr>
          <w:lang w:val="en-US"/>
        </w:rPr>
      </w:pPr>
      <w:r w:rsidRPr="002B3EDF">
        <w:t>For non-CTEC projects using the KPT and SUMs approach, the average of the cookstove use events per day during the full 1-month of stove use monitoring must be used to adjust for potential Hawthorn Effects. If SUMs data is incomplete or missing, it must be omitted from the analysis.</w:t>
      </w:r>
      <w:r w:rsidRPr="002B3EDF">
        <w:rPr>
          <w:lang w:val="en-US"/>
        </w:rPr>
        <w:t> </w:t>
      </w:r>
    </w:p>
    <w:p w14:paraId="4AEB0474" w14:textId="2FCE8C23" w:rsidR="00693C63" w:rsidRPr="00E27CDF" w:rsidRDefault="00AB487A" w:rsidP="00620061">
      <w:pPr>
        <w:pStyle w:val="SDMHead1"/>
        <w:numPr>
          <w:ilvl w:val="0"/>
          <w:numId w:val="18"/>
        </w:numPr>
        <w:rPr>
          <w:color w:val="808080" w:themeColor="background1" w:themeShade="80"/>
        </w:rPr>
      </w:pPr>
      <w:r w:rsidRPr="00E27CDF">
        <w:rPr>
          <w:color w:val="808080" w:themeColor="background1" w:themeShade="80"/>
        </w:rPr>
        <w:t>Methodologies principle</w:t>
      </w:r>
      <w:r w:rsidR="00526300">
        <w:rPr>
          <w:color w:val="808080" w:themeColor="background1" w:themeShade="80"/>
        </w:rPr>
        <w:t>s</w:t>
      </w:r>
    </w:p>
    <w:p w14:paraId="5D258C53" w14:textId="1726D77B" w:rsidR="00BB54B7" w:rsidRPr="00FC5628" w:rsidRDefault="00BB54B7" w:rsidP="00BB54B7">
      <w:pPr>
        <w:pStyle w:val="SDMHead2"/>
        <w:rPr>
          <w:color w:val="808080" w:themeColor="background1" w:themeShade="80"/>
        </w:rPr>
      </w:pPr>
      <w:r w:rsidRPr="00FC5628">
        <w:rPr>
          <w:color w:val="808080" w:themeColor="background1" w:themeShade="80"/>
        </w:rPr>
        <w:t>Encouraging ambition over time</w:t>
      </w:r>
    </w:p>
    <w:p w14:paraId="66C25B1B" w14:textId="77777777" w:rsidR="00DB759B" w:rsidRPr="00CB5222" w:rsidRDefault="003F0D1A" w:rsidP="003F0D1A">
      <w:pPr>
        <w:pStyle w:val="SDMPara"/>
        <w:ind w:right="159"/>
        <w:rPr>
          <w:color w:val="808080" w:themeColor="background1" w:themeShade="80"/>
        </w:rPr>
      </w:pPr>
      <w:r w:rsidRPr="00DB759B">
        <w:rPr>
          <w:color w:val="808080" w:themeColor="background1" w:themeShade="80"/>
        </w:rPr>
        <w:t xml:space="preserve">The CLEAR methodology includes several provisions designed to encourage ambition over time. The methodology includes incentives for project proponents to provide knowledge products and capacity building to project participants. It also supports projects to develop customer service and repair facilities, which embeds the cookstove </w:t>
      </w:r>
      <w:r w:rsidRPr="00DB759B">
        <w:rPr>
          <w:color w:val="808080" w:themeColor="background1" w:themeShade="80"/>
        </w:rPr>
        <w:lastRenderedPageBreak/>
        <w:t>more firmly into the local and regional infrastructure and encourages use of the project technologies and/or fuels.</w:t>
      </w:r>
    </w:p>
    <w:p w14:paraId="08AF7530" w14:textId="77777777" w:rsidR="00DB759B" w:rsidRPr="00CB5222" w:rsidRDefault="003F0D1A" w:rsidP="00DB759B">
      <w:pPr>
        <w:pStyle w:val="SDMPara"/>
        <w:ind w:right="159"/>
        <w:rPr>
          <w:color w:val="808080" w:themeColor="background1" w:themeShade="80"/>
        </w:rPr>
      </w:pPr>
      <w:r w:rsidRPr="00DB759B">
        <w:rPr>
          <w:color w:val="808080" w:themeColor="background1" w:themeShade="80"/>
        </w:rPr>
        <w:t xml:space="preserve">CLEAR also has more stringent applicability requirements for improved biomass cookstoves than what has been the norm for cooking carbon methodologies previously. As the performance of these technologies improves over time, the criteria will continue to be tightened </w:t>
      </w:r>
      <w:proofErr w:type="gramStart"/>
      <w:r w:rsidRPr="00DB759B">
        <w:rPr>
          <w:color w:val="808080" w:themeColor="background1" w:themeShade="80"/>
        </w:rPr>
        <w:t>in order to</w:t>
      </w:r>
      <w:proofErr w:type="gramEnd"/>
      <w:r w:rsidRPr="00DB759B">
        <w:rPr>
          <w:color w:val="808080" w:themeColor="background1" w:themeShade="80"/>
        </w:rPr>
        <w:t xml:space="preserve"> maximize emission reductions. </w:t>
      </w:r>
    </w:p>
    <w:p w14:paraId="0C5FA86F" w14:textId="77777777" w:rsidR="00DB759B" w:rsidRPr="00CB5222" w:rsidRDefault="003F0D1A" w:rsidP="00DB759B">
      <w:pPr>
        <w:pStyle w:val="SDMPara"/>
        <w:ind w:right="159"/>
        <w:rPr>
          <w:color w:val="808080" w:themeColor="background1" w:themeShade="80"/>
        </w:rPr>
      </w:pPr>
      <w:r w:rsidRPr="00DB759B">
        <w:rPr>
          <w:color w:val="808080" w:themeColor="background1" w:themeShade="80"/>
        </w:rPr>
        <w:t xml:space="preserve">Further, under the CLEAR methodology, all projects must identify and replace or retrofit malfunctioning cookstoves with a technology of comparable or better quality and thermal </w:t>
      </w:r>
      <w:proofErr w:type="gramStart"/>
      <w:r w:rsidRPr="00DB759B">
        <w:rPr>
          <w:color w:val="808080" w:themeColor="background1" w:themeShade="80"/>
        </w:rPr>
        <w:t>efficiency, or</w:t>
      </w:r>
      <w:proofErr w:type="gramEnd"/>
      <w:r w:rsidRPr="00DB759B">
        <w:rPr>
          <w:color w:val="808080" w:themeColor="background1" w:themeShade="80"/>
        </w:rPr>
        <w:t xml:space="preserve"> not claim emission reductions for households when such failures occur. Projects must include a documented plan for this process at the project design phase.</w:t>
      </w:r>
    </w:p>
    <w:p w14:paraId="5ADBF46F" w14:textId="766335AB" w:rsidR="00533CCB" w:rsidRPr="00DB759B" w:rsidRDefault="003F0D1A" w:rsidP="00DB759B">
      <w:pPr>
        <w:pStyle w:val="SDMPara"/>
        <w:ind w:right="159"/>
        <w:rPr>
          <w:rFonts w:eastAsia="Arial"/>
          <w:color w:val="808080" w:themeColor="background1" w:themeShade="80"/>
        </w:rPr>
      </w:pPr>
      <w:r w:rsidRPr="00DB759B">
        <w:rPr>
          <w:color w:val="808080" w:themeColor="background1" w:themeShade="80"/>
        </w:rPr>
        <w:t>Finally, the crediting period for cookstove projects under CLEAR is only five years. At the beginning of each crediting period, the baseline must be completely reassessed, ensuring that projects must select technologies for the project activity that are more efficient than any emissions reductions occurring generally in the baseline at large.</w:t>
      </w:r>
    </w:p>
    <w:p w14:paraId="417E5B34" w14:textId="7334BA14" w:rsidR="00DB759B" w:rsidRPr="00DB759B" w:rsidRDefault="00FA25CE" w:rsidP="00DB759B">
      <w:pPr>
        <w:pStyle w:val="SDMHead2"/>
        <w:rPr>
          <w:color w:val="808080" w:themeColor="background1" w:themeShade="80"/>
        </w:rPr>
      </w:pPr>
      <w:r w:rsidRPr="00FC5628">
        <w:rPr>
          <w:color w:val="808080" w:themeColor="background1" w:themeShade="80"/>
        </w:rPr>
        <w:t>Contributing to the equitable sharing of mitigation benefits between participating Parties</w:t>
      </w:r>
    </w:p>
    <w:p w14:paraId="1190BC80" w14:textId="4B625E09" w:rsidR="00533CCB" w:rsidRPr="00DB759B" w:rsidRDefault="003E77BA" w:rsidP="00DB759B">
      <w:pPr>
        <w:pStyle w:val="SDMPara"/>
        <w:spacing w:before="60" w:after="60"/>
        <w:ind w:right="159"/>
        <w:rPr>
          <w:rFonts w:eastAsia="Arial"/>
          <w:color w:val="808080" w:themeColor="background1" w:themeShade="80"/>
        </w:rPr>
      </w:pPr>
      <w:r w:rsidRPr="00DB759B">
        <w:rPr>
          <w:color w:val="808080" w:themeColor="background1" w:themeShade="80"/>
        </w:rPr>
        <w:t xml:space="preserve">Unlike other project types that require communities to limit or forgo certain activities (such as gathering fuelwood, hunting, or harvesting non-timber forest products), which can lead to direct economic losses, cooking energy transition projects provide end users an immediate benefit. Cookstove adoption can directly reduce household expenses by lowering fuel costs and improve indoor air quality and family well-being. Further, many cooking carbon project proponents use carbon revenue to subsidize the cost of the cookstove to consumers. This type of benefit sharing allows households who wouldn’t otherwise be able to afford them access to high performing cooking solutions. Of note, participation in cookstove projects is usually at the household level, with household members making the personal choice to opt in based on their own needs and willingness. Clean cooking interventions aim to provide additional resources (in the form of cleaner, more efficient cooking solutions) without requiring any trade-off in terms of rights or access to resources. </w:t>
      </w:r>
    </w:p>
    <w:p w14:paraId="5F72A085" w14:textId="2B718C79" w:rsidR="00A51774" w:rsidRPr="00A51774" w:rsidRDefault="00461467" w:rsidP="00A51774">
      <w:pPr>
        <w:pStyle w:val="SDMHead2"/>
        <w:rPr>
          <w:color w:val="808080" w:themeColor="background1" w:themeShade="80"/>
        </w:rPr>
      </w:pPr>
      <w:r w:rsidRPr="00FC5628">
        <w:rPr>
          <w:color w:val="808080" w:themeColor="background1" w:themeShade="80"/>
        </w:rPr>
        <w:t>Encouraging broad participation</w:t>
      </w:r>
    </w:p>
    <w:p w14:paraId="072329F5" w14:textId="77777777" w:rsidR="00DB759B" w:rsidRDefault="006D48B9" w:rsidP="00DB759B">
      <w:pPr>
        <w:pStyle w:val="SDMPara"/>
        <w:spacing w:after="240"/>
        <w:rPr>
          <w:color w:val="808080" w:themeColor="background1" w:themeShade="80"/>
        </w:rPr>
      </w:pPr>
      <w:r w:rsidRPr="00DB759B">
        <w:rPr>
          <w:color w:val="808080" w:themeColor="background1" w:themeShade="80"/>
        </w:rPr>
        <w:t>CLEAR is a comprehensive carbon project methodology for estimating emission reductions from more efficient cookstoves and/or cooking fuel switch projects. It was developed by the clean cooking sector, for the clean cooking sector, through a process facilitated by 4C. Its development involved collaboration with more than 250 stakeholders, including the United Nations Framework Convention on Climate Change (UNFCCC) secretariat, voluntary carbon standards bodies, project proponents, researchers, carbon buyers, and others.</w:t>
      </w:r>
    </w:p>
    <w:p w14:paraId="59BDD69B" w14:textId="77777777" w:rsidR="00DB759B" w:rsidRPr="002A035E" w:rsidRDefault="006D48B9" w:rsidP="00DB759B">
      <w:pPr>
        <w:pStyle w:val="SDMPara"/>
        <w:spacing w:after="240"/>
        <w:rPr>
          <w:color w:val="808080" w:themeColor="background1" w:themeShade="80"/>
        </w:rPr>
      </w:pPr>
      <w:r w:rsidRPr="00DB759B">
        <w:rPr>
          <w:color w:val="808080" w:themeColor="background1" w:themeShade="80"/>
        </w:rPr>
        <w:t xml:space="preserve">Throughout the methodology development process, 4C has used our deep collective sector experience as well as the extensive input from stakeholders to balance accuracy, conservativeness, and accessibility. The requirements for field measurements combined with applicability performance criteria that are higher than previous cooking carbon methodologies uphold stringency, while the applicability of CLEAR to both fuel-efficiency and fuel-switch projects as well as the flexibility to choose among multiple monitoring pathways encourages broad participation. Moreover, this new methodology covers all </w:t>
      </w:r>
      <w:r w:rsidRPr="00DB759B">
        <w:rPr>
          <w:color w:val="808080" w:themeColor="background1" w:themeShade="80"/>
        </w:rPr>
        <w:lastRenderedPageBreak/>
        <w:t>common cooking transition scenarios, and it has been developed as a public good available for use by any standards body or bilateral/multilateral agreement.</w:t>
      </w:r>
    </w:p>
    <w:p w14:paraId="62DED358" w14:textId="77777777" w:rsidR="00DB759B" w:rsidRPr="002A035E" w:rsidRDefault="006D48B9" w:rsidP="00DB759B">
      <w:pPr>
        <w:pStyle w:val="SDMPara"/>
        <w:spacing w:after="240"/>
        <w:rPr>
          <w:color w:val="808080" w:themeColor="background1" w:themeShade="80"/>
        </w:rPr>
      </w:pPr>
      <w:r w:rsidRPr="00DB759B">
        <w:rPr>
          <w:color w:val="808080" w:themeColor="background1" w:themeShade="80"/>
        </w:rPr>
        <w:t xml:space="preserve">CLEAR has been developed specifically for the LMIC context where biomass cooking remains a major source of carbon emissions. Several input-gathering sessions were held in sub-Saharan Africa, and public comments were received from stakeholders in many LMICs. </w:t>
      </w:r>
    </w:p>
    <w:p w14:paraId="195ECB69" w14:textId="266B85FB" w:rsidR="00DB759B" w:rsidRDefault="006D48B9" w:rsidP="00DB759B">
      <w:pPr>
        <w:pStyle w:val="SDMPara"/>
        <w:spacing w:after="240"/>
        <w:rPr>
          <w:color w:val="808080" w:themeColor="background1" w:themeShade="80"/>
        </w:rPr>
      </w:pPr>
      <w:r w:rsidRPr="00DB759B">
        <w:rPr>
          <w:color w:val="808080" w:themeColor="background1" w:themeShade="80"/>
        </w:rPr>
        <w:t>CLEAR requires that all field data collection be conducted in consultation with all relevant authorities and community leaders. It also mandates that surveys be conducted in the local language(s).</w:t>
      </w:r>
    </w:p>
    <w:p w14:paraId="02B31C1A" w14:textId="088A8DBC" w:rsidR="00533CCB" w:rsidRPr="00DB759B" w:rsidRDefault="006D48B9" w:rsidP="00DB759B">
      <w:pPr>
        <w:pStyle w:val="SDMPara"/>
        <w:spacing w:after="240"/>
        <w:rPr>
          <w:color w:val="808080" w:themeColor="background1" w:themeShade="80"/>
        </w:rPr>
      </w:pPr>
      <w:r w:rsidRPr="00DB759B">
        <w:rPr>
          <w:color w:val="808080" w:themeColor="background1" w:themeShade="80"/>
        </w:rPr>
        <w:t>CLEAR allows for the use of a conservative default value for baseline fuel consumption, reducing the monitoring burden. External data sources are also required to substantiate the project baseline scenario(s), and guidance is given on how to select appropriate data sources. As resources permit, 4C is also committed to providing web-based resources to assist practitioners in accessing relevant studies. Finally, where possible, the methodology provides project proponents with the option to collect additional monitoring data to improve accuracy or cap the parameter value to ensure conservativeness</w:t>
      </w:r>
      <w:r w:rsidR="00A51774" w:rsidRPr="00DB759B">
        <w:rPr>
          <w:color w:val="808080" w:themeColor="background1" w:themeShade="80"/>
        </w:rPr>
        <w:t>.</w:t>
      </w:r>
    </w:p>
    <w:p w14:paraId="53B4923F" w14:textId="3BC8C4F2" w:rsidR="004B650B" w:rsidRPr="008569FE" w:rsidRDefault="00D90D4D" w:rsidP="00D90D4D">
      <w:pPr>
        <w:pStyle w:val="SDMHead2"/>
        <w:rPr>
          <w:color w:val="808080" w:themeColor="background1" w:themeShade="80"/>
        </w:rPr>
      </w:pPr>
      <w:r w:rsidRPr="008569FE">
        <w:rPr>
          <w:color w:val="808080" w:themeColor="background1" w:themeShade="80"/>
        </w:rPr>
        <w:t>Attributability of emission reductions or net removals to the Article 6.4 activity</w:t>
      </w:r>
    </w:p>
    <w:p w14:paraId="42A877FE" w14:textId="0E19FCDD" w:rsidR="00533CCB" w:rsidRPr="008569FE" w:rsidRDefault="00637E6A" w:rsidP="008569FE">
      <w:pPr>
        <w:pStyle w:val="SDMPara"/>
        <w:rPr>
          <w:color w:val="808080" w:themeColor="background1" w:themeShade="80"/>
        </w:rPr>
      </w:pPr>
      <w:r>
        <w:rPr>
          <w:color w:val="808080" w:themeColor="background1" w:themeShade="80"/>
        </w:rPr>
        <w:t xml:space="preserve">CLEAR </w:t>
      </w:r>
      <w:r w:rsidRPr="008569FE">
        <w:rPr>
          <w:color w:val="808080" w:themeColor="background1" w:themeShade="80"/>
        </w:rPr>
        <w:t>ensure</w:t>
      </w:r>
      <w:r>
        <w:rPr>
          <w:color w:val="808080" w:themeColor="background1" w:themeShade="80"/>
        </w:rPr>
        <w:t>s</w:t>
      </w:r>
      <w:r w:rsidRPr="008569FE">
        <w:rPr>
          <w:color w:val="808080" w:themeColor="background1" w:themeShade="80"/>
        </w:rPr>
        <w:t xml:space="preserve"> that the quantified emission reductions result from the implementation of the Article 6.4 activity</w:t>
      </w:r>
      <w:r w:rsidR="0063459D">
        <w:rPr>
          <w:color w:val="808080" w:themeColor="background1" w:themeShade="80"/>
        </w:rPr>
        <w:t xml:space="preserve"> </w:t>
      </w:r>
      <w:r w:rsidR="00394229">
        <w:rPr>
          <w:color w:val="808080" w:themeColor="background1" w:themeShade="80"/>
        </w:rPr>
        <w:t xml:space="preserve">by defining </w:t>
      </w:r>
      <w:r w:rsidR="00B320D9" w:rsidRPr="00B320D9">
        <w:rPr>
          <w:color w:val="808080" w:themeColor="background1" w:themeShade="80"/>
        </w:rPr>
        <w:t xml:space="preserve">project boundaries </w:t>
      </w:r>
      <w:r w:rsidR="001F0A6C">
        <w:rPr>
          <w:color w:val="808080" w:themeColor="background1" w:themeShade="80"/>
        </w:rPr>
        <w:t xml:space="preserve">as </w:t>
      </w:r>
      <w:r w:rsidR="00B320D9" w:rsidRPr="00B320D9">
        <w:rPr>
          <w:color w:val="808080" w:themeColor="background1" w:themeShade="80"/>
        </w:rPr>
        <w:t xml:space="preserve">the specific set of households adopting the project technologies, </w:t>
      </w:r>
      <w:r w:rsidR="00862444">
        <w:rPr>
          <w:color w:val="808080" w:themeColor="background1" w:themeShade="80"/>
        </w:rPr>
        <w:t>which are</w:t>
      </w:r>
      <w:r w:rsidR="00B320D9" w:rsidRPr="00B320D9">
        <w:rPr>
          <w:color w:val="808080" w:themeColor="background1" w:themeShade="80"/>
        </w:rPr>
        <w:t xml:space="preserve"> </w:t>
      </w:r>
      <w:r w:rsidR="00862444">
        <w:rPr>
          <w:color w:val="808080" w:themeColor="background1" w:themeShade="80"/>
        </w:rPr>
        <w:t xml:space="preserve">themselves </w:t>
      </w:r>
      <w:r w:rsidR="00B320D9" w:rsidRPr="00B320D9">
        <w:rPr>
          <w:color w:val="808080" w:themeColor="background1" w:themeShade="80"/>
        </w:rPr>
        <w:t xml:space="preserve">uniquely identified and monitored. </w:t>
      </w:r>
      <w:r w:rsidR="00D04296" w:rsidRPr="00D04296">
        <w:rPr>
          <w:color w:val="808080" w:themeColor="background1" w:themeShade="80"/>
        </w:rPr>
        <w:t>CLEAR uses a robust, conservative approach to define baselines through direct measurement</w:t>
      </w:r>
      <w:r w:rsidR="00E93C55">
        <w:rPr>
          <w:color w:val="808080" w:themeColor="background1" w:themeShade="80"/>
        </w:rPr>
        <w:t xml:space="preserve"> wherever </w:t>
      </w:r>
      <w:r w:rsidR="00210B47">
        <w:rPr>
          <w:color w:val="808080" w:themeColor="background1" w:themeShade="80"/>
        </w:rPr>
        <w:t xml:space="preserve">baselines </w:t>
      </w:r>
      <w:r w:rsidR="007F139D">
        <w:rPr>
          <w:color w:val="808080" w:themeColor="background1" w:themeShade="80"/>
        </w:rPr>
        <w:t xml:space="preserve">greater than the minimum level of energy </w:t>
      </w:r>
      <w:r w:rsidR="00210B47">
        <w:rPr>
          <w:color w:val="808080" w:themeColor="background1" w:themeShade="80"/>
        </w:rPr>
        <w:t xml:space="preserve">service required for </w:t>
      </w:r>
      <w:r w:rsidR="002C0716">
        <w:rPr>
          <w:color w:val="808080" w:themeColor="background1" w:themeShade="80"/>
        </w:rPr>
        <w:t xml:space="preserve">household </w:t>
      </w:r>
      <w:r w:rsidR="00210B47">
        <w:rPr>
          <w:color w:val="808080" w:themeColor="background1" w:themeShade="80"/>
        </w:rPr>
        <w:t>cooking</w:t>
      </w:r>
      <w:r w:rsidR="00753D66">
        <w:rPr>
          <w:color w:val="808080" w:themeColor="background1" w:themeShade="80"/>
        </w:rPr>
        <w:t xml:space="preserve"> are claimed. Project fuel consumption must be directly measured through KPTs </w:t>
      </w:r>
      <w:r w:rsidR="007E01E0">
        <w:rPr>
          <w:color w:val="808080" w:themeColor="background1" w:themeShade="80"/>
        </w:rPr>
        <w:t>or continuously tracked in all project households</w:t>
      </w:r>
      <w:r w:rsidR="00D04296" w:rsidRPr="00D04296">
        <w:rPr>
          <w:color w:val="808080" w:themeColor="background1" w:themeShade="80"/>
        </w:rPr>
        <w:t>.</w:t>
      </w:r>
      <w:r w:rsidR="00805AFF">
        <w:rPr>
          <w:color w:val="808080" w:themeColor="background1" w:themeShade="80"/>
        </w:rPr>
        <w:t xml:space="preserve"> Emission reductions are</w:t>
      </w:r>
      <w:r w:rsidR="004C16CA">
        <w:rPr>
          <w:color w:val="808080" w:themeColor="background1" w:themeShade="80"/>
        </w:rPr>
        <w:t xml:space="preserve"> </w:t>
      </w:r>
      <w:r w:rsidR="00805AFF">
        <w:rPr>
          <w:color w:val="808080" w:themeColor="background1" w:themeShade="80"/>
        </w:rPr>
        <w:t xml:space="preserve">calculated based on the difference between </w:t>
      </w:r>
      <w:r w:rsidR="004C16CA">
        <w:rPr>
          <w:color w:val="808080" w:themeColor="background1" w:themeShade="80"/>
        </w:rPr>
        <w:t>the downward adjust</w:t>
      </w:r>
      <w:r w:rsidR="002E4232">
        <w:rPr>
          <w:color w:val="808080" w:themeColor="background1" w:themeShade="80"/>
        </w:rPr>
        <w:t>ed</w:t>
      </w:r>
      <w:r w:rsidR="004C16CA">
        <w:rPr>
          <w:color w:val="808080" w:themeColor="background1" w:themeShade="80"/>
        </w:rPr>
        <w:t xml:space="preserve"> </w:t>
      </w:r>
      <w:r w:rsidR="00805AFF">
        <w:rPr>
          <w:color w:val="808080" w:themeColor="background1" w:themeShade="80"/>
        </w:rPr>
        <w:t xml:space="preserve">measured baselines </w:t>
      </w:r>
      <w:r w:rsidR="002E4232">
        <w:rPr>
          <w:color w:val="808080" w:themeColor="background1" w:themeShade="80"/>
        </w:rPr>
        <w:t xml:space="preserve">and measured project </w:t>
      </w:r>
      <w:r w:rsidR="001D1E73">
        <w:rPr>
          <w:color w:val="808080" w:themeColor="background1" w:themeShade="80"/>
        </w:rPr>
        <w:t xml:space="preserve">scenarios of </w:t>
      </w:r>
      <w:r w:rsidR="004B40A3">
        <w:rPr>
          <w:color w:val="808080" w:themeColor="background1" w:themeShade="80"/>
        </w:rPr>
        <w:t xml:space="preserve">actual </w:t>
      </w:r>
      <w:r w:rsidR="001D1E73">
        <w:rPr>
          <w:color w:val="808080" w:themeColor="background1" w:themeShade="80"/>
        </w:rPr>
        <w:t>project households.</w:t>
      </w:r>
    </w:p>
    <w:p w14:paraId="70F06582" w14:textId="20383B34" w:rsidR="000C5851" w:rsidRPr="008569FE" w:rsidRDefault="000C5851" w:rsidP="000C5851">
      <w:pPr>
        <w:pStyle w:val="SDMHead2"/>
        <w:rPr>
          <w:color w:val="808080" w:themeColor="background1" w:themeShade="80"/>
        </w:rPr>
      </w:pPr>
      <w:r w:rsidRPr="008569FE">
        <w:rPr>
          <w:color w:val="808080" w:themeColor="background1" w:themeShade="80"/>
        </w:rPr>
        <w:t xml:space="preserve">Potential perverse incentives </w:t>
      </w:r>
    </w:p>
    <w:p w14:paraId="2EDBC949" w14:textId="531D16E9" w:rsidR="00DB759B" w:rsidRDefault="5199838F" w:rsidP="00DB759B">
      <w:pPr>
        <w:pStyle w:val="SDMPara"/>
        <w:rPr>
          <w:color w:val="808080" w:themeColor="background1" w:themeShade="80"/>
        </w:rPr>
      </w:pPr>
      <w:bookmarkStart w:id="89" w:name="_Hlk204023294"/>
      <w:r w:rsidRPr="7D956FC6">
        <w:rPr>
          <w:color w:val="808080" w:themeColor="background1" w:themeShade="80"/>
        </w:rPr>
        <w:t xml:space="preserve">The risk of perverse incentives is relatively low for cookstove projects. The most common potential perverse incentives are </w:t>
      </w:r>
      <w:r w:rsidR="4DF0C283" w:rsidRPr="7D956FC6">
        <w:rPr>
          <w:color w:val="808080" w:themeColor="background1" w:themeShade="80"/>
        </w:rPr>
        <w:t>related to conditional cash-transfer projects, where households receive cash payments in return for using pro</w:t>
      </w:r>
      <w:r w:rsidR="20A81F4A" w:rsidRPr="7D956FC6">
        <w:rPr>
          <w:color w:val="808080" w:themeColor="background1" w:themeShade="80"/>
        </w:rPr>
        <w:t xml:space="preserve">ject technologies. If these incentives are not carefully tuned to the local cost of fuel, they may create an incentive for households to use their </w:t>
      </w:r>
      <w:r w:rsidR="3E8B5AC0" w:rsidRPr="44675ED3">
        <w:rPr>
          <w:color w:val="808080" w:themeColor="background1" w:themeShade="80"/>
        </w:rPr>
        <w:t>project</w:t>
      </w:r>
      <w:r w:rsidR="61E446B8" w:rsidRPr="44675ED3">
        <w:rPr>
          <w:color w:val="808080" w:themeColor="background1" w:themeShade="80"/>
        </w:rPr>
        <w:t xml:space="preserve"> </w:t>
      </w:r>
      <w:r w:rsidR="00541DD7">
        <w:rPr>
          <w:color w:val="808080" w:themeColor="background1" w:themeShade="80"/>
        </w:rPr>
        <w:t>cook</w:t>
      </w:r>
      <w:r w:rsidR="20A81F4A" w:rsidRPr="7D956FC6">
        <w:rPr>
          <w:color w:val="808080" w:themeColor="background1" w:themeShade="80"/>
        </w:rPr>
        <w:t xml:space="preserve">stove more than is necessary. </w:t>
      </w:r>
      <w:r w:rsidR="1944FE0A" w:rsidRPr="7D956FC6">
        <w:rPr>
          <w:color w:val="808080" w:themeColor="background1" w:themeShade="80"/>
        </w:rPr>
        <w:t>Projects that offer c</w:t>
      </w:r>
      <w:r w:rsidR="20A81F4A" w:rsidRPr="7D956FC6">
        <w:rPr>
          <w:color w:val="808080" w:themeColor="background1" w:themeShade="80"/>
        </w:rPr>
        <w:t>ookstoves that also provide c</w:t>
      </w:r>
      <w:r w:rsidR="5564FD07" w:rsidRPr="7D956FC6">
        <w:rPr>
          <w:color w:val="808080" w:themeColor="background1" w:themeShade="80"/>
        </w:rPr>
        <w:t>harging for cell phone</w:t>
      </w:r>
      <w:r w:rsidR="187A16BF" w:rsidRPr="44675ED3">
        <w:rPr>
          <w:color w:val="808080" w:themeColor="background1" w:themeShade="80"/>
        </w:rPr>
        <w:t>,</w:t>
      </w:r>
      <w:r w:rsidR="5564FD07" w:rsidRPr="7D956FC6">
        <w:rPr>
          <w:color w:val="808080" w:themeColor="background1" w:themeShade="80"/>
        </w:rPr>
        <w:t xml:space="preserve"> electric lights</w:t>
      </w:r>
      <w:r w:rsidR="7007D656" w:rsidRPr="44675ED3">
        <w:rPr>
          <w:color w:val="808080" w:themeColor="background1" w:themeShade="80"/>
        </w:rPr>
        <w:t>, or other small electronic devices</w:t>
      </w:r>
      <w:r w:rsidR="5564FD07" w:rsidRPr="7D956FC6">
        <w:rPr>
          <w:color w:val="808080" w:themeColor="background1" w:themeShade="80"/>
        </w:rPr>
        <w:t xml:space="preserve"> may also </w:t>
      </w:r>
      <w:r w:rsidR="79207B06" w:rsidRPr="7D956FC6">
        <w:rPr>
          <w:color w:val="808080" w:themeColor="background1" w:themeShade="80"/>
        </w:rPr>
        <w:t xml:space="preserve">find that households are sometimes operating those </w:t>
      </w:r>
      <w:r w:rsidR="00541DD7">
        <w:rPr>
          <w:color w:val="808080" w:themeColor="background1" w:themeShade="80"/>
        </w:rPr>
        <w:t>cook</w:t>
      </w:r>
      <w:r w:rsidR="79207B06" w:rsidRPr="7D956FC6">
        <w:rPr>
          <w:color w:val="808080" w:themeColor="background1" w:themeShade="80"/>
        </w:rPr>
        <w:t xml:space="preserve">stoves solely for the charging benefits. </w:t>
      </w:r>
    </w:p>
    <w:p w14:paraId="630538A7" w14:textId="0C81565C" w:rsidR="00533CCB" w:rsidRPr="00DB759B" w:rsidRDefault="79207B06" w:rsidP="00DB759B">
      <w:pPr>
        <w:pStyle w:val="SDMPara"/>
        <w:rPr>
          <w:color w:val="808080" w:themeColor="background1" w:themeShade="80"/>
        </w:rPr>
      </w:pPr>
      <w:r w:rsidRPr="00DB759B">
        <w:rPr>
          <w:color w:val="808080" w:themeColor="background1" w:themeShade="80"/>
        </w:rPr>
        <w:t xml:space="preserve">Projects shall guard against the risk of perverse incentives by </w:t>
      </w:r>
      <w:proofErr w:type="gramStart"/>
      <w:r w:rsidRPr="00DB759B">
        <w:rPr>
          <w:color w:val="808080" w:themeColor="background1" w:themeShade="80"/>
        </w:rPr>
        <w:t>conducting an assessment of</w:t>
      </w:r>
      <w:proofErr w:type="gramEnd"/>
      <w:r w:rsidRPr="00DB759B">
        <w:rPr>
          <w:color w:val="808080" w:themeColor="background1" w:themeShade="80"/>
        </w:rPr>
        <w:t xml:space="preserve"> such risks at the project design stage. </w:t>
      </w:r>
      <w:r w:rsidR="2F352C9B" w:rsidRPr="00DB759B">
        <w:rPr>
          <w:color w:val="808080" w:themeColor="background1" w:themeShade="80"/>
        </w:rPr>
        <w:t xml:space="preserve">If any perverse incentive risks are identified, the project proponent shall report these together with robust strategies for their mitigation on the </w:t>
      </w:r>
      <w:hyperlink w:anchor="A1" w:history="1">
        <w:r w:rsidR="2F352C9B" w:rsidRPr="00073CB1">
          <w:rPr>
            <w:rStyle w:val="Hyperlink"/>
          </w:rPr>
          <w:t>Project In</w:t>
        </w:r>
        <w:r w:rsidR="548F4E97" w:rsidRPr="00073CB1">
          <w:rPr>
            <w:rStyle w:val="Hyperlink"/>
          </w:rPr>
          <w:t>formation Cover Sheet</w:t>
        </w:r>
      </w:hyperlink>
      <w:r w:rsidR="548F4E97" w:rsidRPr="00DB759B">
        <w:rPr>
          <w:color w:val="808080" w:themeColor="background1" w:themeShade="80"/>
        </w:rPr>
        <w:t xml:space="preserve">. </w:t>
      </w:r>
    </w:p>
    <w:p w14:paraId="206E0B3F" w14:textId="4C7661BA" w:rsidR="007C3660" w:rsidRPr="008569FE" w:rsidRDefault="000C5851" w:rsidP="00620061">
      <w:pPr>
        <w:pStyle w:val="SDMHead2"/>
        <w:rPr>
          <w:color w:val="808080" w:themeColor="background1" w:themeShade="80"/>
        </w:rPr>
      </w:pPr>
      <w:bookmarkStart w:id="90" w:name="_Hlk204023360"/>
      <w:bookmarkEnd w:id="89"/>
      <w:r w:rsidRPr="008569FE">
        <w:rPr>
          <w:color w:val="808080" w:themeColor="background1" w:themeShade="80"/>
        </w:rPr>
        <w:lastRenderedPageBreak/>
        <w:t>Rebound effects</w:t>
      </w:r>
    </w:p>
    <w:p w14:paraId="72CC295A" w14:textId="24102779" w:rsidR="00994F60" w:rsidRPr="00BF5E1C" w:rsidRDefault="00994F60" w:rsidP="00BF5E1C">
      <w:pPr>
        <w:pStyle w:val="SDMPara"/>
        <w:rPr>
          <w:color w:val="A6A6A6" w:themeColor="background1" w:themeShade="A6"/>
        </w:rPr>
      </w:pPr>
      <w:r w:rsidRPr="00BF5E1C">
        <w:rPr>
          <w:color w:val="A6A6A6" w:themeColor="background1" w:themeShade="A6"/>
        </w:rPr>
        <w:t xml:space="preserve">The CLEAR methodology </w:t>
      </w:r>
      <w:r w:rsidR="002567EF" w:rsidRPr="00BF5E1C">
        <w:rPr>
          <w:color w:val="A6A6A6" w:themeColor="background1" w:themeShade="A6"/>
        </w:rPr>
        <w:t xml:space="preserve">addresses potential rebound effects by requiring all projects to either continually track appliance usage or conduct </w:t>
      </w:r>
      <w:r w:rsidR="004C15C0" w:rsidRPr="00BF5E1C">
        <w:rPr>
          <w:color w:val="A6A6A6" w:themeColor="background1" w:themeShade="A6"/>
        </w:rPr>
        <w:t xml:space="preserve">statistically representative KPTs to determine fuel consumption in the project scenarios. </w:t>
      </w:r>
      <w:r w:rsidR="009318CC" w:rsidRPr="00BF5E1C">
        <w:rPr>
          <w:color w:val="A6A6A6" w:themeColor="background1" w:themeShade="A6"/>
        </w:rPr>
        <w:t xml:space="preserve">As such, the project scenario </w:t>
      </w:r>
      <w:r w:rsidR="004C4726" w:rsidRPr="00BF5E1C">
        <w:rPr>
          <w:color w:val="A6A6A6" w:themeColor="background1" w:themeShade="A6"/>
        </w:rPr>
        <w:t>accounts for any rebound effects.</w:t>
      </w:r>
    </w:p>
    <w:p w14:paraId="06AB1A6B" w14:textId="77777777" w:rsidR="00533CCB" w:rsidRPr="00687E50" w:rsidRDefault="00533CCB" w:rsidP="00B51F53">
      <w:pPr>
        <w:pStyle w:val="SDMPara"/>
        <w:numPr>
          <w:ilvl w:val="0"/>
          <w:numId w:val="0"/>
        </w:numPr>
        <w:ind w:left="709"/>
        <w:rPr>
          <w:color w:val="808080" w:themeColor="background1" w:themeShade="80"/>
        </w:rPr>
      </w:pPr>
    </w:p>
    <w:bookmarkEnd w:id="90"/>
    <w:p w14:paraId="32EAEF86" w14:textId="77777777" w:rsidR="00D90D4D" w:rsidRDefault="00D90D4D" w:rsidP="00D90D4D">
      <w:pPr>
        <w:pStyle w:val="SDMHead2"/>
        <w:numPr>
          <w:ilvl w:val="0"/>
          <w:numId w:val="0"/>
        </w:numPr>
        <w:ind w:left="709"/>
      </w:pPr>
    </w:p>
    <w:p w14:paraId="1E7F893C" w14:textId="0FFBC2B2" w:rsidR="002454C9" w:rsidRDefault="00BF5E1C" w:rsidP="007A2213">
      <w:pPr>
        <w:pStyle w:val="SDMAppTitle"/>
      </w:pPr>
      <w:r>
        <w:lastRenderedPageBreak/>
        <w:t>Project Information Cover Sheet</w:t>
      </w:r>
    </w:p>
    <w:p w14:paraId="44FB3AE7" w14:textId="77777777" w:rsidR="00620061" w:rsidRPr="00216F75" w:rsidRDefault="00620061" w:rsidP="00620061">
      <w:pPr>
        <w:rPr>
          <w:rFonts w:eastAsia="Montserrat" w:cs="Arial"/>
          <w:iCs/>
          <w:szCs w:val="22"/>
        </w:rPr>
      </w:pPr>
      <w:r w:rsidRPr="00216F75">
        <w:rPr>
          <w:rFonts w:eastAsia="Montserrat" w:cs="Arial"/>
          <w:i/>
          <w:iCs/>
          <w:szCs w:val="22"/>
        </w:rPr>
        <w:t>To be completed at the project design stage (validation) and updated at time of each verification (highlighting changes from originals)</w:t>
      </w:r>
    </w:p>
    <w:p w14:paraId="750F91C5" w14:textId="77777777" w:rsidR="00620061" w:rsidRPr="00216F75" w:rsidRDefault="00620061" w:rsidP="00620061">
      <w:pPr>
        <w:rPr>
          <w:rFonts w:eastAsia="Montserrat" w:cs="Arial"/>
          <w:iCs/>
          <w:szCs w:val="22"/>
        </w:rPr>
      </w:pPr>
      <w:r w:rsidRPr="00216F75">
        <w:rPr>
          <w:rFonts w:eastAsia="Montserrat" w:cs="Arial"/>
          <w:iCs/>
          <w:szCs w:val="22"/>
        </w:rPr>
        <w:t> </w:t>
      </w:r>
    </w:p>
    <w:p w14:paraId="71583B4F" w14:textId="77777777" w:rsidR="00620061" w:rsidRPr="00216F75" w:rsidRDefault="00620061" w:rsidP="00620061">
      <w:pPr>
        <w:rPr>
          <w:rFonts w:eastAsia="Montserrat" w:cs="Arial"/>
          <w:iCs/>
          <w:szCs w:val="22"/>
        </w:rPr>
      </w:pPr>
      <w:bookmarkStart w:id="91" w:name="A1"/>
      <w:r w:rsidRPr="00216F75">
        <w:rPr>
          <w:rFonts w:eastAsia="Montserrat" w:cs="Arial"/>
          <w:iCs/>
          <w:szCs w:val="22"/>
        </w:rPr>
        <w:t xml:space="preserve">Name </w:t>
      </w:r>
      <w:bookmarkEnd w:id="91"/>
      <w:r w:rsidRPr="00216F75">
        <w:rPr>
          <w:rFonts w:eastAsia="Montserrat" w:cs="Arial"/>
          <w:iCs/>
          <w:szCs w:val="22"/>
        </w:rPr>
        <w:t>of project proponent:</w:t>
      </w:r>
    </w:p>
    <w:p w14:paraId="60E83291" w14:textId="77777777" w:rsidR="00620061" w:rsidRPr="00216F75" w:rsidRDefault="00620061" w:rsidP="00620061">
      <w:pPr>
        <w:rPr>
          <w:rFonts w:eastAsia="Montserrat" w:cs="Arial"/>
          <w:iCs/>
          <w:szCs w:val="22"/>
        </w:rPr>
      </w:pPr>
      <w:r w:rsidRPr="00216F75">
        <w:rPr>
          <w:rFonts w:eastAsia="Montserrat" w:cs="Arial"/>
          <w:iCs/>
          <w:szCs w:val="22"/>
        </w:rPr>
        <w:t>Organization name:</w:t>
      </w:r>
    </w:p>
    <w:p w14:paraId="46E8E208" w14:textId="77777777" w:rsidR="00620061" w:rsidRPr="00216F75" w:rsidRDefault="00620061" w:rsidP="00620061">
      <w:pPr>
        <w:rPr>
          <w:rFonts w:eastAsia="Montserrat" w:cs="Arial"/>
          <w:iCs/>
          <w:szCs w:val="22"/>
        </w:rPr>
      </w:pPr>
      <w:r w:rsidRPr="00216F75">
        <w:rPr>
          <w:rFonts w:eastAsia="Montserrat" w:cs="Arial"/>
          <w:iCs/>
          <w:szCs w:val="22"/>
        </w:rPr>
        <w:t>Phone:</w:t>
      </w:r>
    </w:p>
    <w:p w14:paraId="6F342252" w14:textId="77777777" w:rsidR="00620061" w:rsidRPr="00216F75" w:rsidRDefault="00620061" w:rsidP="00620061">
      <w:pPr>
        <w:rPr>
          <w:rFonts w:eastAsia="Montserrat" w:cs="Arial"/>
          <w:iCs/>
          <w:szCs w:val="22"/>
        </w:rPr>
      </w:pPr>
      <w:r w:rsidRPr="00216F75">
        <w:rPr>
          <w:rFonts w:eastAsia="Montserrat" w:cs="Arial"/>
          <w:iCs/>
          <w:szCs w:val="22"/>
        </w:rPr>
        <w:t>Email:</w:t>
      </w:r>
    </w:p>
    <w:p w14:paraId="3E15A6B0" w14:textId="77777777" w:rsidR="00620061" w:rsidRPr="00216F75" w:rsidRDefault="00620061" w:rsidP="00620061">
      <w:pPr>
        <w:rPr>
          <w:rFonts w:eastAsia="Montserrat" w:cs="Arial"/>
          <w:iCs/>
          <w:szCs w:val="22"/>
        </w:rPr>
      </w:pPr>
      <w:r w:rsidRPr="00216F75">
        <w:rPr>
          <w:rFonts w:eastAsia="Montserrat" w:cs="Arial"/>
          <w:iCs/>
          <w:szCs w:val="22"/>
        </w:rPr>
        <w:t> </w:t>
      </w:r>
    </w:p>
    <w:p w14:paraId="5FA8945D" w14:textId="77777777" w:rsidR="00620061" w:rsidRPr="00216F75" w:rsidRDefault="00620061" w:rsidP="00620061">
      <w:pPr>
        <w:rPr>
          <w:rFonts w:eastAsia="Montserrat" w:cs="Arial"/>
          <w:iCs/>
          <w:szCs w:val="22"/>
        </w:rPr>
      </w:pPr>
      <w:r w:rsidRPr="00216F75">
        <w:rPr>
          <w:rFonts w:eastAsia="Montserrat" w:cs="Arial"/>
          <w:iCs/>
          <w:szCs w:val="22"/>
        </w:rPr>
        <w:t>Project title:</w:t>
      </w:r>
    </w:p>
    <w:p w14:paraId="6150993D" w14:textId="77777777" w:rsidR="00620061" w:rsidRPr="00216F75" w:rsidRDefault="00620061" w:rsidP="00620061">
      <w:pPr>
        <w:rPr>
          <w:rFonts w:eastAsia="Montserrat" w:cs="Arial"/>
          <w:iCs/>
          <w:szCs w:val="22"/>
        </w:rPr>
      </w:pPr>
      <w:r w:rsidRPr="00216F75">
        <w:rPr>
          <w:rFonts w:eastAsia="Montserrat" w:cs="Arial"/>
          <w:iCs/>
          <w:szCs w:val="22"/>
        </w:rPr>
        <w:t>Project ID:</w:t>
      </w:r>
    </w:p>
    <w:p w14:paraId="6C1390C0" w14:textId="77777777" w:rsidR="00620061" w:rsidRPr="00216F75" w:rsidRDefault="00620061" w:rsidP="00620061">
      <w:pPr>
        <w:rPr>
          <w:rFonts w:eastAsia="Montserrat" w:cs="Arial"/>
          <w:iCs/>
          <w:szCs w:val="22"/>
        </w:rPr>
      </w:pPr>
      <w:r w:rsidRPr="00216F75">
        <w:rPr>
          <w:rFonts w:eastAsia="Montserrat" w:cs="Arial"/>
          <w:iCs/>
          <w:szCs w:val="22"/>
        </w:rPr>
        <w:t>Project location:</w:t>
      </w:r>
    </w:p>
    <w:p w14:paraId="45A4FC8D" w14:textId="77777777" w:rsidR="00620061" w:rsidRPr="00216F75" w:rsidRDefault="00620061" w:rsidP="00620061">
      <w:pPr>
        <w:rPr>
          <w:rFonts w:eastAsia="Montserrat" w:cs="Arial"/>
          <w:iCs/>
          <w:szCs w:val="22"/>
        </w:rPr>
      </w:pPr>
      <w:r w:rsidRPr="00216F75">
        <w:rPr>
          <w:rFonts w:eastAsia="Montserrat" w:cs="Arial"/>
          <w:iCs/>
          <w:szCs w:val="22"/>
        </w:rPr>
        <w:t xml:space="preserve">Crediting </w:t>
      </w:r>
      <w:proofErr w:type="gramStart"/>
      <w:r w:rsidRPr="00216F75">
        <w:rPr>
          <w:rFonts w:eastAsia="Montserrat" w:cs="Arial"/>
          <w:iCs/>
          <w:szCs w:val="22"/>
        </w:rPr>
        <w:t>period</w:t>
      </w:r>
      <w:proofErr w:type="gramEnd"/>
      <w:r w:rsidRPr="00216F75">
        <w:rPr>
          <w:rFonts w:eastAsia="Montserrat" w:cs="Arial"/>
          <w:iCs/>
          <w:szCs w:val="22"/>
        </w:rPr>
        <w:t xml:space="preserve"> start date:</w:t>
      </w:r>
    </w:p>
    <w:p w14:paraId="65798F27" w14:textId="77777777" w:rsidR="00620061" w:rsidRPr="00216F75" w:rsidRDefault="00620061" w:rsidP="00620061">
      <w:pPr>
        <w:rPr>
          <w:rFonts w:eastAsia="Montserrat" w:cs="Arial"/>
          <w:iCs/>
          <w:szCs w:val="22"/>
        </w:rPr>
      </w:pPr>
      <w:r w:rsidRPr="00216F75">
        <w:rPr>
          <w:rFonts w:eastAsia="Montserrat" w:cs="Arial"/>
          <w:iCs/>
          <w:szCs w:val="22"/>
        </w:rPr>
        <w:t>Crediting period end date:</w:t>
      </w:r>
    </w:p>
    <w:p w14:paraId="0375B485" w14:textId="77777777" w:rsidR="00620061" w:rsidRPr="00216F75" w:rsidRDefault="00620061" w:rsidP="00620061">
      <w:pPr>
        <w:rPr>
          <w:rFonts w:eastAsia="Montserrat" w:cs="Arial"/>
          <w:iCs/>
          <w:szCs w:val="22"/>
        </w:rPr>
      </w:pPr>
      <w:r w:rsidRPr="00216F75">
        <w:rPr>
          <w:rFonts w:eastAsia="Montserrat" w:cs="Arial"/>
          <w:iCs/>
          <w:szCs w:val="22"/>
        </w:rPr>
        <w:t> </w:t>
      </w:r>
    </w:p>
    <w:p w14:paraId="559B14A1" w14:textId="77777777" w:rsidR="00620061" w:rsidRPr="00216F75" w:rsidRDefault="00620061" w:rsidP="00620061">
      <w:pPr>
        <w:rPr>
          <w:rFonts w:eastAsia="Montserrat" w:cs="Arial"/>
          <w:iCs/>
          <w:szCs w:val="22"/>
        </w:rPr>
      </w:pPr>
      <w:r w:rsidRPr="00216F75">
        <w:rPr>
          <w:rFonts w:eastAsia="Montserrat" w:cs="Arial"/>
          <w:iCs/>
          <w:szCs w:val="22"/>
        </w:rPr>
        <w:t>Baseline fuel type(s):</w:t>
      </w:r>
    </w:p>
    <w:p w14:paraId="397334D0" w14:textId="77777777" w:rsidR="00620061" w:rsidRPr="00216F75" w:rsidRDefault="00620061" w:rsidP="00620061">
      <w:pPr>
        <w:rPr>
          <w:rFonts w:eastAsia="Montserrat" w:cs="Arial"/>
          <w:iCs/>
          <w:szCs w:val="22"/>
        </w:rPr>
      </w:pPr>
      <w:r w:rsidRPr="00216F75">
        <w:rPr>
          <w:rFonts w:eastAsia="Montserrat" w:cs="Arial"/>
          <w:iCs/>
          <w:szCs w:val="22"/>
        </w:rPr>
        <w:t>Project fuel type(s):</w:t>
      </w:r>
    </w:p>
    <w:p w14:paraId="13BDDE9D" w14:textId="77777777" w:rsidR="00620061" w:rsidRPr="00216F75" w:rsidRDefault="00620061" w:rsidP="00620061">
      <w:pPr>
        <w:rPr>
          <w:rFonts w:eastAsia="Montserrat" w:cs="Arial"/>
          <w:iCs/>
          <w:szCs w:val="22"/>
        </w:rPr>
      </w:pPr>
      <w:r w:rsidRPr="00216F75">
        <w:rPr>
          <w:rFonts w:eastAsia="Montserrat" w:cs="Arial"/>
          <w:iCs/>
          <w:szCs w:val="22"/>
        </w:rPr>
        <w:t xml:space="preserve">Project </w:t>
      </w:r>
      <w:r w:rsidRPr="00216F75">
        <w:rPr>
          <w:rFonts w:eastAsia="Montserrat" w:cs="Arial"/>
          <w:szCs w:val="22"/>
        </w:rPr>
        <w:t>cookstove(s)</w:t>
      </w:r>
      <w:r w:rsidRPr="00216F75">
        <w:rPr>
          <w:rFonts w:eastAsia="Montserrat" w:cs="Arial"/>
          <w:iCs/>
          <w:szCs w:val="22"/>
        </w:rPr>
        <w:t xml:space="preserve"> type(s), model(s):</w:t>
      </w:r>
    </w:p>
    <w:p w14:paraId="7611F8B6" w14:textId="77777777" w:rsidR="00620061" w:rsidRPr="00216F75" w:rsidRDefault="00620061" w:rsidP="00620061">
      <w:pPr>
        <w:rPr>
          <w:rFonts w:eastAsia="Montserrat" w:cs="Arial"/>
          <w:iCs/>
          <w:szCs w:val="22"/>
        </w:rPr>
      </w:pPr>
      <w:r w:rsidRPr="00216F75">
        <w:rPr>
          <w:rFonts w:eastAsia="Montserrat" w:cs="Arial"/>
          <w:iCs/>
          <w:szCs w:val="22"/>
        </w:rPr>
        <w:t xml:space="preserve">Project </w:t>
      </w:r>
      <w:r w:rsidRPr="00216F75">
        <w:rPr>
          <w:rFonts w:eastAsia="Montserrat" w:cs="Arial"/>
          <w:szCs w:val="22"/>
        </w:rPr>
        <w:t>cookstove</w:t>
      </w:r>
      <w:r w:rsidRPr="00216F75">
        <w:rPr>
          <w:rFonts w:eastAsia="Montserrat" w:cs="Arial"/>
          <w:iCs/>
          <w:szCs w:val="22"/>
        </w:rPr>
        <w:t>(s) ISO thermal efficiency(</w:t>
      </w:r>
      <w:proofErr w:type="spellStart"/>
      <w:r w:rsidRPr="00216F75">
        <w:rPr>
          <w:rFonts w:eastAsia="Montserrat" w:cs="Arial"/>
          <w:iCs/>
          <w:szCs w:val="22"/>
        </w:rPr>
        <w:t>ies</w:t>
      </w:r>
      <w:proofErr w:type="spellEnd"/>
      <w:r w:rsidRPr="00216F75">
        <w:rPr>
          <w:rFonts w:eastAsia="Montserrat" w:cs="Arial"/>
          <w:iCs/>
          <w:szCs w:val="22"/>
        </w:rPr>
        <w:t>):</w:t>
      </w:r>
    </w:p>
    <w:p w14:paraId="2A7F497E" w14:textId="77777777" w:rsidR="00620061" w:rsidRPr="00216F75" w:rsidRDefault="00620061" w:rsidP="00620061">
      <w:pPr>
        <w:rPr>
          <w:rFonts w:eastAsia="Montserrat" w:cs="Arial"/>
          <w:iCs/>
          <w:szCs w:val="22"/>
        </w:rPr>
      </w:pPr>
      <w:r w:rsidRPr="00216F75">
        <w:rPr>
          <w:rFonts w:eastAsia="Montserrat" w:cs="Arial"/>
          <w:iCs/>
          <w:szCs w:val="22"/>
        </w:rPr>
        <w:t>ISO tier(s) for PM2.5 emissions (optional):</w:t>
      </w:r>
    </w:p>
    <w:p w14:paraId="7033257C" w14:textId="77777777" w:rsidR="00620061" w:rsidRPr="00216F75" w:rsidRDefault="00620061" w:rsidP="00620061">
      <w:pPr>
        <w:rPr>
          <w:rFonts w:eastAsia="Montserrat" w:cs="Arial"/>
          <w:iCs/>
          <w:szCs w:val="22"/>
        </w:rPr>
      </w:pPr>
      <w:r w:rsidRPr="00216F75">
        <w:rPr>
          <w:rFonts w:eastAsia="Montserrat" w:cs="Arial"/>
          <w:iCs/>
          <w:szCs w:val="22"/>
        </w:rPr>
        <w:t>ISO tier(s) for CO emissions (optional):</w:t>
      </w:r>
    </w:p>
    <w:p w14:paraId="75320785" w14:textId="77777777" w:rsidR="00620061" w:rsidRPr="00216F75" w:rsidRDefault="00620061" w:rsidP="00620061">
      <w:pPr>
        <w:rPr>
          <w:rFonts w:eastAsia="Montserrat" w:cs="Arial"/>
          <w:iCs/>
          <w:szCs w:val="22"/>
        </w:rPr>
      </w:pPr>
      <w:r w:rsidRPr="00216F75">
        <w:rPr>
          <w:rFonts w:eastAsia="Montserrat" w:cs="Arial"/>
          <w:iCs/>
          <w:szCs w:val="22"/>
        </w:rPr>
        <w:t>Number of households:</w:t>
      </w:r>
    </w:p>
    <w:p w14:paraId="1B5774BA" w14:textId="77777777" w:rsidR="00620061" w:rsidRPr="00216F75" w:rsidRDefault="00620061" w:rsidP="00620061">
      <w:pPr>
        <w:rPr>
          <w:rFonts w:eastAsia="Montserrat" w:cs="Arial"/>
          <w:iCs/>
          <w:szCs w:val="22"/>
        </w:rPr>
      </w:pPr>
      <w:r w:rsidRPr="00216F75">
        <w:rPr>
          <w:rFonts w:eastAsia="Montserrat" w:cs="Arial"/>
          <w:iCs/>
          <w:szCs w:val="22"/>
        </w:rPr>
        <w:t>Average household size (persons per household, regardless of age or gender):</w:t>
      </w:r>
    </w:p>
    <w:p w14:paraId="0525BD58" w14:textId="77777777" w:rsidR="00620061" w:rsidRPr="00216F75" w:rsidRDefault="00620061" w:rsidP="00620061">
      <w:pPr>
        <w:rPr>
          <w:rFonts w:eastAsia="Montserrat" w:cs="Arial"/>
          <w:iCs/>
          <w:szCs w:val="22"/>
        </w:rPr>
      </w:pPr>
      <w:r w:rsidRPr="00216F75">
        <w:rPr>
          <w:rFonts w:eastAsia="Montserrat" w:cs="Arial"/>
          <w:iCs/>
          <w:szCs w:val="22"/>
        </w:rPr>
        <w:t xml:space="preserve">Number of </w:t>
      </w:r>
      <w:r w:rsidRPr="00216F75">
        <w:rPr>
          <w:rFonts w:eastAsia="Montserrat" w:cs="Arial"/>
          <w:szCs w:val="22"/>
        </w:rPr>
        <w:t>cookstoves</w:t>
      </w:r>
      <w:r w:rsidRPr="00216F75">
        <w:rPr>
          <w:rFonts w:eastAsia="Montserrat" w:cs="Arial"/>
          <w:iCs/>
          <w:szCs w:val="22"/>
        </w:rPr>
        <w:t xml:space="preserve"> of each type:</w:t>
      </w:r>
    </w:p>
    <w:p w14:paraId="13DD8E2C" w14:textId="77777777" w:rsidR="00620061" w:rsidRPr="00216F75" w:rsidRDefault="00620061" w:rsidP="00620061">
      <w:pPr>
        <w:rPr>
          <w:rFonts w:eastAsia="Montserrat" w:cs="Arial"/>
          <w:iCs/>
          <w:szCs w:val="22"/>
        </w:rPr>
      </w:pPr>
      <w:r w:rsidRPr="00216F75">
        <w:rPr>
          <w:rFonts w:eastAsia="Montserrat" w:cs="Arial"/>
          <w:iCs/>
          <w:szCs w:val="22"/>
        </w:rPr>
        <w:t>Expected CO</w:t>
      </w:r>
      <w:r w:rsidRPr="00216F75">
        <w:rPr>
          <w:rFonts w:eastAsia="Montserrat" w:cs="Arial"/>
          <w:szCs w:val="22"/>
          <w:vertAlign w:val="subscript"/>
        </w:rPr>
        <w:t>2</w:t>
      </w:r>
      <w:r w:rsidRPr="00216F75">
        <w:rPr>
          <w:rFonts w:eastAsia="Montserrat" w:cs="Arial"/>
          <w:iCs/>
          <w:szCs w:val="22"/>
        </w:rPr>
        <w:t>e emission reductions (per household):</w:t>
      </w:r>
    </w:p>
    <w:p w14:paraId="35A3E01D" w14:textId="77777777" w:rsidR="00620061" w:rsidRPr="00216F75" w:rsidRDefault="00620061" w:rsidP="00620061">
      <w:pPr>
        <w:rPr>
          <w:rFonts w:eastAsia="Montserrat" w:cs="Arial"/>
          <w:iCs/>
          <w:szCs w:val="22"/>
        </w:rPr>
      </w:pPr>
      <w:r w:rsidRPr="00216F75">
        <w:rPr>
          <w:rFonts w:eastAsia="Montserrat" w:cs="Arial"/>
          <w:iCs/>
          <w:szCs w:val="22"/>
        </w:rPr>
        <w:t>Calculation sheet publicly available? (Y/N)</w:t>
      </w:r>
    </w:p>
    <w:p w14:paraId="6AD97FDD" w14:textId="77777777" w:rsidR="00620061" w:rsidRPr="00216F75" w:rsidRDefault="00620061" w:rsidP="00620061">
      <w:pPr>
        <w:rPr>
          <w:rFonts w:eastAsia="Montserrat" w:cs="Arial"/>
          <w:iCs/>
          <w:szCs w:val="22"/>
        </w:rPr>
      </w:pPr>
      <w:r w:rsidRPr="00216F75">
        <w:rPr>
          <w:rFonts w:eastAsia="Montserrat" w:cs="Arial"/>
          <w:iCs/>
          <w:szCs w:val="22"/>
        </w:rPr>
        <w:t> </w:t>
      </w:r>
    </w:p>
    <w:p w14:paraId="350B3E7E" w14:textId="77777777" w:rsidR="00620061" w:rsidRPr="00216F75" w:rsidRDefault="00620061" w:rsidP="00620061">
      <w:pPr>
        <w:rPr>
          <w:rFonts w:eastAsia="Montserrat" w:cs="Arial"/>
          <w:iCs/>
          <w:szCs w:val="22"/>
        </w:rPr>
      </w:pPr>
      <w:r w:rsidRPr="00216F75">
        <w:rPr>
          <w:rFonts w:eastAsia="Montserrat" w:cs="Arial"/>
          <w:iCs/>
          <w:szCs w:val="22"/>
        </w:rPr>
        <w:t xml:space="preserve">Fuel consumption continuously tracked for all project </w:t>
      </w:r>
      <w:r w:rsidRPr="00216F75">
        <w:rPr>
          <w:rFonts w:eastAsia="Montserrat" w:cs="Arial"/>
          <w:szCs w:val="22"/>
        </w:rPr>
        <w:t>cookstoves</w:t>
      </w:r>
      <w:r w:rsidRPr="00216F75">
        <w:rPr>
          <w:rFonts w:eastAsia="Montserrat" w:cs="Arial"/>
          <w:iCs/>
          <w:szCs w:val="22"/>
        </w:rPr>
        <w:t xml:space="preserve"> in all households?  (Y/N)</w:t>
      </w:r>
    </w:p>
    <w:p w14:paraId="0B692F55" w14:textId="77777777" w:rsidR="00620061" w:rsidRPr="00216F75" w:rsidRDefault="00620061" w:rsidP="00620061">
      <w:pPr>
        <w:rPr>
          <w:rFonts w:eastAsia="Montserrat" w:cs="Arial"/>
          <w:iCs/>
          <w:szCs w:val="22"/>
        </w:rPr>
      </w:pPr>
      <w:r w:rsidRPr="00216F75">
        <w:rPr>
          <w:rFonts w:eastAsia="Montserrat" w:cs="Arial"/>
          <w:iCs/>
          <w:szCs w:val="22"/>
        </w:rPr>
        <w:t>If no (non-CTEC projects):</w:t>
      </w:r>
    </w:p>
    <w:p w14:paraId="5D499543" w14:textId="77777777" w:rsidR="00620061" w:rsidRPr="00216F75" w:rsidRDefault="00620061" w:rsidP="00620061">
      <w:pPr>
        <w:ind w:left="720"/>
        <w:rPr>
          <w:rFonts w:eastAsia="Montserrat" w:cs="Arial"/>
          <w:iCs/>
          <w:szCs w:val="22"/>
        </w:rPr>
      </w:pPr>
      <w:r w:rsidRPr="00216F75">
        <w:rPr>
          <w:rFonts w:eastAsia="Montserrat" w:cs="Arial"/>
          <w:iCs/>
          <w:szCs w:val="22"/>
        </w:rPr>
        <w:t>Baseline fuel consumption approach (default or KPT):</w:t>
      </w:r>
    </w:p>
    <w:p w14:paraId="6AF00CD2" w14:textId="77777777" w:rsidR="00620061" w:rsidRPr="00216F75" w:rsidRDefault="00620061" w:rsidP="00620061">
      <w:pPr>
        <w:ind w:left="720"/>
        <w:rPr>
          <w:rFonts w:eastAsia="Montserrat" w:cs="Arial"/>
          <w:iCs/>
          <w:szCs w:val="22"/>
        </w:rPr>
      </w:pPr>
      <w:r w:rsidRPr="00216F75">
        <w:rPr>
          <w:rFonts w:eastAsia="Montserrat" w:cs="Arial"/>
          <w:iCs/>
          <w:szCs w:val="22"/>
        </w:rPr>
        <w:t>Baseline fuel consumption value:</w:t>
      </w:r>
    </w:p>
    <w:p w14:paraId="1628BA32" w14:textId="77777777" w:rsidR="00620061" w:rsidRPr="00216F75" w:rsidRDefault="00620061" w:rsidP="00620061">
      <w:pPr>
        <w:ind w:left="720"/>
        <w:rPr>
          <w:rFonts w:eastAsia="Montserrat" w:cs="Arial"/>
          <w:iCs/>
          <w:szCs w:val="22"/>
        </w:rPr>
      </w:pPr>
      <w:r w:rsidRPr="00216F75">
        <w:rPr>
          <w:rFonts w:eastAsia="Montserrat" w:cs="Arial"/>
          <w:iCs/>
          <w:szCs w:val="22"/>
        </w:rPr>
        <w:t>Justification if value over flagged threshold:</w:t>
      </w:r>
    </w:p>
    <w:p w14:paraId="337BC4D7" w14:textId="77777777" w:rsidR="00620061" w:rsidRPr="00216F75" w:rsidRDefault="00620061" w:rsidP="00620061">
      <w:pPr>
        <w:ind w:left="720"/>
        <w:rPr>
          <w:rFonts w:eastAsia="Montserrat" w:cs="Arial"/>
          <w:iCs/>
          <w:szCs w:val="22"/>
        </w:rPr>
      </w:pPr>
      <w:r w:rsidRPr="00216F75">
        <w:rPr>
          <w:rFonts w:eastAsia="Montserrat" w:cs="Arial"/>
          <w:iCs/>
          <w:szCs w:val="22"/>
        </w:rPr>
        <w:t>Project monitoring approach (KPT or KPT+</w:t>
      </w:r>
      <w:r w:rsidRPr="00216F75">
        <w:rPr>
          <w:rFonts w:eastAsia="Montserrat" w:cs="Arial"/>
          <w:szCs w:val="22"/>
        </w:rPr>
        <w:t>SUMs</w:t>
      </w:r>
      <w:r w:rsidRPr="00216F75">
        <w:rPr>
          <w:rFonts w:eastAsia="Montserrat" w:cs="Arial"/>
          <w:iCs/>
          <w:szCs w:val="22"/>
        </w:rPr>
        <w:t>):</w:t>
      </w:r>
    </w:p>
    <w:p w14:paraId="2E3B3A2F" w14:textId="77777777" w:rsidR="00620061" w:rsidRPr="00216F75" w:rsidRDefault="00620061" w:rsidP="00620061">
      <w:pPr>
        <w:ind w:left="720"/>
        <w:rPr>
          <w:rFonts w:eastAsia="Montserrat" w:cs="Arial"/>
          <w:iCs/>
          <w:szCs w:val="22"/>
        </w:rPr>
      </w:pPr>
      <w:r w:rsidRPr="00216F75">
        <w:rPr>
          <w:rFonts w:eastAsia="Montserrat" w:cs="Arial"/>
          <w:iCs/>
          <w:szCs w:val="22"/>
        </w:rPr>
        <w:t>Third party used for KPTs? (Y/N):</w:t>
      </w:r>
    </w:p>
    <w:p w14:paraId="3133DAE4" w14:textId="77777777" w:rsidR="00620061" w:rsidRPr="00216F75" w:rsidRDefault="00620061" w:rsidP="00620061">
      <w:pPr>
        <w:ind w:left="720"/>
        <w:rPr>
          <w:rFonts w:eastAsia="Montserrat" w:cs="Arial"/>
          <w:iCs/>
          <w:szCs w:val="22"/>
        </w:rPr>
      </w:pPr>
      <w:r w:rsidRPr="00216F75">
        <w:rPr>
          <w:rFonts w:eastAsia="Montserrat" w:cs="Arial"/>
          <w:iCs/>
          <w:szCs w:val="22"/>
        </w:rPr>
        <w:t>Number of households sampled for KPT:</w:t>
      </w:r>
    </w:p>
    <w:p w14:paraId="2D61310D" w14:textId="77777777" w:rsidR="00620061" w:rsidRPr="00216F75" w:rsidRDefault="00620061" w:rsidP="00620061">
      <w:pPr>
        <w:ind w:left="720"/>
        <w:rPr>
          <w:rFonts w:eastAsia="Montserrat" w:cs="Arial"/>
          <w:iCs/>
          <w:szCs w:val="22"/>
        </w:rPr>
      </w:pPr>
      <w:r w:rsidRPr="00216F75">
        <w:rPr>
          <w:rFonts w:eastAsia="Montserrat" w:cs="Arial"/>
          <w:iCs/>
          <w:szCs w:val="22"/>
        </w:rPr>
        <w:t xml:space="preserve">Number of households sampled for </w:t>
      </w:r>
      <w:r w:rsidRPr="00216F75">
        <w:rPr>
          <w:rFonts w:eastAsia="Montserrat" w:cs="Arial"/>
          <w:szCs w:val="22"/>
        </w:rPr>
        <w:t>SUMs</w:t>
      </w:r>
      <w:r w:rsidRPr="00216F75">
        <w:rPr>
          <w:rFonts w:eastAsia="Montserrat" w:cs="Arial"/>
          <w:iCs/>
          <w:szCs w:val="22"/>
        </w:rPr>
        <w:t>:</w:t>
      </w:r>
    </w:p>
    <w:p w14:paraId="04A3797F" w14:textId="77777777" w:rsidR="00620061" w:rsidRPr="00216F75" w:rsidRDefault="00620061" w:rsidP="00620061">
      <w:pPr>
        <w:rPr>
          <w:rFonts w:eastAsia="Montserrat" w:cs="Arial"/>
          <w:iCs/>
          <w:szCs w:val="22"/>
        </w:rPr>
      </w:pPr>
    </w:p>
    <w:p w14:paraId="0E78B257" w14:textId="77777777" w:rsidR="00620061" w:rsidRPr="00216F75" w:rsidRDefault="00620061" w:rsidP="00620061">
      <w:pPr>
        <w:rPr>
          <w:rFonts w:eastAsia="Montserrat" w:cs="Arial"/>
          <w:iCs/>
          <w:szCs w:val="22"/>
        </w:rPr>
      </w:pPr>
      <w:r w:rsidRPr="00216F75">
        <w:rPr>
          <w:rFonts w:eastAsia="Montserrat" w:cs="Arial"/>
          <w:iCs/>
          <w:szCs w:val="22"/>
        </w:rPr>
        <w:t>If yes (CTEC projects):</w:t>
      </w:r>
    </w:p>
    <w:p w14:paraId="475E65BB" w14:textId="77777777" w:rsidR="00620061" w:rsidRPr="00216F75" w:rsidRDefault="00620061" w:rsidP="00620061">
      <w:pPr>
        <w:ind w:left="720"/>
        <w:rPr>
          <w:rFonts w:eastAsia="Montserrat" w:cs="Arial"/>
          <w:iCs/>
          <w:szCs w:val="22"/>
        </w:rPr>
      </w:pPr>
      <w:r w:rsidRPr="00216F75">
        <w:rPr>
          <w:rFonts w:eastAsia="Montserrat" w:cs="Arial"/>
          <w:iCs/>
          <w:szCs w:val="22"/>
        </w:rPr>
        <w:t xml:space="preserve">Project monitoring approach (tracked fuel </w:t>
      </w:r>
      <w:proofErr w:type="spellStart"/>
      <w:r w:rsidRPr="00216F75">
        <w:rPr>
          <w:rFonts w:eastAsia="Montserrat" w:cs="Arial"/>
          <w:iCs/>
          <w:szCs w:val="22"/>
        </w:rPr>
        <w:t>consumption+back-calculated</w:t>
      </w:r>
      <w:proofErr w:type="spellEnd"/>
      <w:r w:rsidRPr="00216F75">
        <w:rPr>
          <w:rFonts w:eastAsia="Montserrat" w:cs="Arial"/>
          <w:iCs/>
          <w:szCs w:val="22"/>
        </w:rPr>
        <w:t xml:space="preserve"> baseline displacement or </w:t>
      </w:r>
      <w:proofErr w:type="spellStart"/>
      <w:r w:rsidRPr="00216F75">
        <w:rPr>
          <w:rFonts w:eastAsia="Montserrat" w:cs="Arial"/>
          <w:iCs/>
          <w:szCs w:val="22"/>
        </w:rPr>
        <w:t>baseline+project</w:t>
      </w:r>
      <w:proofErr w:type="spellEnd"/>
      <w:r w:rsidRPr="00216F75">
        <w:rPr>
          <w:rFonts w:eastAsia="Montserrat" w:cs="Arial"/>
          <w:iCs/>
          <w:szCs w:val="22"/>
        </w:rPr>
        <w:t xml:space="preserve"> KPTs):</w:t>
      </w:r>
    </w:p>
    <w:p w14:paraId="0B71A4A2" w14:textId="77777777" w:rsidR="00620061" w:rsidRPr="00216F75" w:rsidRDefault="00620061" w:rsidP="00620061">
      <w:pPr>
        <w:ind w:left="720"/>
        <w:rPr>
          <w:rFonts w:eastAsia="Montserrat" w:cs="Arial"/>
          <w:iCs/>
          <w:szCs w:val="22"/>
        </w:rPr>
      </w:pPr>
      <w:r w:rsidRPr="00216F75">
        <w:rPr>
          <w:rFonts w:eastAsia="Montserrat" w:cs="Arial"/>
          <w:iCs/>
          <w:szCs w:val="22"/>
        </w:rPr>
        <w:t>Type of fuel consumption data:</w:t>
      </w:r>
    </w:p>
    <w:p w14:paraId="21C58B55" w14:textId="77777777" w:rsidR="00620061" w:rsidRPr="00216F75" w:rsidRDefault="00620061" w:rsidP="00620061">
      <w:pPr>
        <w:ind w:left="720"/>
        <w:rPr>
          <w:rFonts w:eastAsia="Montserrat" w:cs="Arial"/>
          <w:iCs/>
          <w:szCs w:val="22"/>
        </w:rPr>
      </w:pPr>
      <w:r w:rsidRPr="00216F75">
        <w:rPr>
          <w:rFonts w:eastAsia="Montserrat" w:cs="Arial"/>
          <w:iCs/>
          <w:szCs w:val="22"/>
        </w:rPr>
        <w:t>Third party used for KPTs? (Y/N)</w:t>
      </w:r>
    </w:p>
    <w:p w14:paraId="327F035D" w14:textId="77777777" w:rsidR="00620061" w:rsidRPr="00216F75" w:rsidRDefault="00620061" w:rsidP="00620061">
      <w:pPr>
        <w:ind w:left="720"/>
        <w:rPr>
          <w:rFonts w:eastAsia="Montserrat" w:cs="Arial"/>
          <w:iCs/>
          <w:szCs w:val="22"/>
        </w:rPr>
      </w:pPr>
      <w:r w:rsidRPr="00216F75">
        <w:rPr>
          <w:rFonts w:eastAsia="Montserrat" w:cs="Arial"/>
          <w:iCs/>
          <w:szCs w:val="22"/>
        </w:rPr>
        <w:t>Number of households sampled for KPT:</w:t>
      </w:r>
    </w:p>
    <w:p w14:paraId="4DB0C533" w14:textId="77777777" w:rsidR="00620061" w:rsidRPr="00216F75" w:rsidRDefault="00620061" w:rsidP="00620061">
      <w:pPr>
        <w:rPr>
          <w:rFonts w:eastAsia="Montserrat" w:cs="Arial"/>
          <w:iCs/>
          <w:szCs w:val="22"/>
        </w:rPr>
      </w:pPr>
      <w:r w:rsidRPr="00216F75">
        <w:rPr>
          <w:rFonts w:eastAsia="Montserrat" w:cs="Arial"/>
          <w:iCs/>
          <w:szCs w:val="22"/>
        </w:rPr>
        <w:t> </w:t>
      </w:r>
    </w:p>
    <w:p w14:paraId="118A1B22" w14:textId="77777777" w:rsidR="00620061" w:rsidRPr="00216F75" w:rsidRDefault="00620061" w:rsidP="00620061">
      <w:pPr>
        <w:rPr>
          <w:rFonts w:eastAsia="Montserrat" w:cs="Arial"/>
          <w:iCs/>
          <w:szCs w:val="22"/>
        </w:rPr>
      </w:pPr>
      <w:proofErr w:type="spellStart"/>
      <w:r w:rsidRPr="00216F75">
        <w:rPr>
          <w:rFonts w:eastAsia="Montserrat" w:cs="Arial"/>
          <w:iCs/>
          <w:szCs w:val="22"/>
        </w:rPr>
        <w:t>fNRB</w:t>
      </w:r>
      <w:proofErr w:type="spellEnd"/>
      <w:r w:rsidRPr="00216F75">
        <w:rPr>
          <w:rFonts w:eastAsia="Montserrat" w:cs="Arial"/>
          <w:iCs/>
          <w:szCs w:val="22"/>
        </w:rPr>
        <w:t xml:space="preserve"> source (CDM TOOL33 defaults/</w:t>
      </w:r>
      <w:proofErr w:type="spellStart"/>
      <w:r w:rsidRPr="00216F75">
        <w:rPr>
          <w:rFonts w:eastAsia="Montserrat" w:cs="Arial"/>
          <w:iCs/>
          <w:szCs w:val="22"/>
        </w:rPr>
        <w:t>WebMoFuSS</w:t>
      </w:r>
      <w:proofErr w:type="spellEnd"/>
      <w:r w:rsidRPr="00216F75">
        <w:rPr>
          <w:rFonts w:eastAsia="Montserrat" w:cs="Arial"/>
          <w:iCs/>
          <w:szCs w:val="22"/>
        </w:rPr>
        <w:t>-derived):</w:t>
      </w:r>
    </w:p>
    <w:p w14:paraId="7A3FA683" w14:textId="77777777" w:rsidR="00620061" w:rsidRPr="00216F75" w:rsidRDefault="00620061" w:rsidP="00620061">
      <w:pPr>
        <w:rPr>
          <w:rFonts w:eastAsia="Montserrat" w:cs="Arial"/>
          <w:iCs/>
          <w:szCs w:val="22"/>
        </w:rPr>
      </w:pPr>
      <w:proofErr w:type="spellStart"/>
      <w:r w:rsidRPr="00216F75">
        <w:rPr>
          <w:rFonts w:eastAsia="Montserrat" w:cs="Arial"/>
          <w:iCs/>
          <w:szCs w:val="22"/>
        </w:rPr>
        <w:t>fNRB</w:t>
      </w:r>
      <w:proofErr w:type="spellEnd"/>
      <w:r w:rsidRPr="00216F75">
        <w:rPr>
          <w:rFonts w:eastAsia="Montserrat" w:cs="Arial"/>
          <w:iCs/>
          <w:szCs w:val="22"/>
        </w:rPr>
        <w:t xml:space="preserve"> value:</w:t>
      </w:r>
    </w:p>
    <w:p w14:paraId="76E3F482" w14:textId="77777777" w:rsidR="00620061" w:rsidRPr="00216F75" w:rsidRDefault="00620061" w:rsidP="00620061">
      <w:pPr>
        <w:rPr>
          <w:rFonts w:eastAsia="Montserrat" w:cs="Arial"/>
          <w:iCs/>
          <w:szCs w:val="22"/>
        </w:rPr>
      </w:pPr>
    </w:p>
    <w:p w14:paraId="2228286C" w14:textId="77777777" w:rsidR="00620061" w:rsidRPr="00216F75" w:rsidRDefault="00620061" w:rsidP="00620061">
      <w:pPr>
        <w:rPr>
          <w:rFonts w:eastAsia="Montserrat" w:cs="Arial"/>
          <w:iCs/>
          <w:szCs w:val="22"/>
        </w:rPr>
      </w:pPr>
      <w:r w:rsidRPr="00216F75">
        <w:rPr>
          <w:rFonts w:eastAsia="Montserrat" w:cs="Arial"/>
          <w:iCs/>
          <w:szCs w:val="22"/>
        </w:rPr>
        <w:t>Calculated downward adjustment for first calendar year:</w:t>
      </w:r>
    </w:p>
    <w:p w14:paraId="79A3812F" w14:textId="77777777" w:rsidR="00620061" w:rsidRPr="00216F75" w:rsidRDefault="00620061" w:rsidP="00620061">
      <w:pPr>
        <w:rPr>
          <w:rFonts w:eastAsia="Montserrat" w:cs="Arial"/>
          <w:iCs/>
          <w:szCs w:val="22"/>
        </w:rPr>
      </w:pPr>
      <w:r w:rsidRPr="00216F75">
        <w:rPr>
          <w:rFonts w:eastAsia="Montserrat" w:cs="Arial"/>
          <w:iCs/>
          <w:szCs w:val="22"/>
        </w:rPr>
        <w:lastRenderedPageBreak/>
        <w:t>Calculated downward adjustment annually thereafter:</w:t>
      </w:r>
    </w:p>
    <w:p w14:paraId="109FF2FF" w14:textId="77777777" w:rsidR="00620061" w:rsidRPr="00216F75" w:rsidRDefault="00620061" w:rsidP="00620061">
      <w:pPr>
        <w:rPr>
          <w:rFonts w:eastAsia="Montserrat" w:cs="Arial"/>
          <w:iCs/>
          <w:szCs w:val="22"/>
        </w:rPr>
      </w:pPr>
    </w:p>
    <w:p w14:paraId="6339CB1F" w14:textId="77777777" w:rsidR="00620061" w:rsidRPr="00216F75" w:rsidRDefault="00620061" w:rsidP="00620061">
      <w:pPr>
        <w:rPr>
          <w:rFonts w:eastAsia="Montserrat" w:cs="Arial"/>
          <w:iCs/>
          <w:szCs w:val="22"/>
        </w:rPr>
      </w:pPr>
      <w:r w:rsidRPr="00216F75">
        <w:rPr>
          <w:rFonts w:eastAsia="Montserrat" w:cs="Arial"/>
          <w:iCs/>
          <w:szCs w:val="22"/>
        </w:rPr>
        <w:t>NCV approach for other than wood and charcoal (default or self-determined):</w:t>
      </w:r>
    </w:p>
    <w:p w14:paraId="3B323DBA" w14:textId="77777777" w:rsidR="00620061" w:rsidRPr="00216F75" w:rsidRDefault="00620061" w:rsidP="00620061">
      <w:pPr>
        <w:rPr>
          <w:rFonts w:eastAsia="Montserrat" w:cs="Arial"/>
          <w:szCs w:val="22"/>
        </w:rPr>
      </w:pPr>
      <w:r w:rsidRPr="00216F75">
        <w:rPr>
          <w:rFonts w:eastAsia="Montserrat" w:cs="Arial"/>
          <w:szCs w:val="22"/>
        </w:rPr>
        <w:t>If self-determined, method used:</w:t>
      </w:r>
    </w:p>
    <w:p w14:paraId="1176DDC4" w14:textId="42E414EC" w:rsidR="00620061" w:rsidRPr="00216F75" w:rsidRDefault="00620061" w:rsidP="00620061">
      <w:pPr>
        <w:rPr>
          <w:rFonts w:eastAsia="Montserrat" w:cs="Arial"/>
          <w:iCs/>
          <w:szCs w:val="22"/>
        </w:rPr>
      </w:pPr>
      <w:r w:rsidRPr="00216F75">
        <w:rPr>
          <w:rFonts w:eastAsia="Montserrat" w:cs="Arial"/>
          <w:szCs w:val="22"/>
        </w:rPr>
        <w:t xml:space="preserve">If self-determined results vary significantly from </w:t>
      </w:r>
      <w:hyperlink w:anchor="A5" w:history="1">
        <w:r w:rsidRPr="009E42A3">
          <w:rPr>
            <w:rStyle w:val="Hyperlink"/>
            <w:rFonts w:eastAsia="Montserrat" w:cs="Arial"/>
            <w:szCs w:val="22"/>
          </w:rPr>
          <w:t>Appendix 5</w:t>
        </w:r>
      </w:hyperlink>
      <w:r w:rsidRPr="009E42A3">
        <w:rPr>
          <w:rFonts w:eastAsia="Montserrat" w:cs="Arial"/>
          <w:szCs w:val="22"/>
        </w:rPr>
        <w:t xml:space="preserve"> values</w:t>
      </w:r>
      <w:r w:rsidRPr="00216F75">
        <w:rPr>
          <w:rFonts w:eastAsia="Montserrat" w:cs="Arial"/>
          <w:szCs w:val="22"/>
        </w:rPr>
        <w:t xml:space="preserve">, justification for the difference: </w:t>
      </w:r>
    </w:p>
    <w:p w14:paraId="18266FD6" w14:textId="77777777" w:rsidR="00620061" w:rsidRPr="00216F75" w:rsidRDefault="00620061" w:rsidP="00620061">
      <w:pPr>
        <w:rPr>
          <w:rFonts w:eastAsia="Montserrat" w:cs="Arial"/>
          <w:iCs/>
          <w:szCs w:val="22"/>
        </w:rPr>
      </w:pPr>
    </w:p>
    <w:p w14:paraId="159D3119" w14:textId="77777777" w:rsidR="00620061" w:rsidRPr="00216F75" w:rsidRDefault="00620061" w:rsidP="00620061">
      <w:pPr>
        <w:rPr>
          <w:rFonts w:eastAsia="Montserrat" w:cs="Arial"/>
          <w:iCs/>
          <w:szCs w:val="22"/>
        </w:rPr>
      </w:pPr>
      <w:r w:rsidRPr="00216F75">
        <w:rPr>
          <w:rFonts w:eastAsia="Montserrat" w:cs="Arial"/>
          <w:iCs/>
          <w:szCs w:val="22"/>
        </w:rPr>
        <w:t>EFs default or self-determined:</w:t>
      </w:r>
    </w:p>
    <w:p w14:paraId="4A714314" w14:textId="77777777" w:rsidR="00620061" w:rsidRPr="00216F75" w:rsidRDefault="00620061" w:rsidP="00620061">
      <w:pPr>
        <w:rPr>
          <w:rFonts w:eastAsia="Montserrat" w:cs="Arial"/>
          <w:iCs/>
          <w:szCs w:val="22"/>
        </w:rPr>
      </w:pPr>
    </w:p>
    <w:p w14:paraId="76273C8A" w14:textId="77777777" w:rsidR="00620061" w:rsidRPr="00216F75" w:rsidRDefault="00620061" w:rsidP="00620061">
      <w:pPr>
        <w:rPr>
          <w:rFonts w:eastAsia="Montserrat" w:cs="Arial"/>
          <w:iCs/>
          <w:szCs w:val="22"/>
        </w:rPr>
      </w:pPr>
      <w:r w:rsidRPr="00216F75">
        <w:rPr>
          <w:rFonts w:eastAsia="Montserrat" w:cs="Arial"/>
          <w:iCs/>
          <w:szCs w:val="22"/>
        </w:rPr>
        <w:t>Details on customer support activities provided: </w:t>
      </w:r>
    </w:p>
    <w:p w14:paraId="5A4A7803" w14:textId="77777777" w:rsidR="00620061" w:rsidRPr="00216F75" w:rsidRDefault="00620061" w:rsidP="00620061">
      <w:pPr>
        <w:pStyle w:val="ListParagraph"/>
        <w:numPr>
          <w:ilvl w:val="0"/>
          <w:numId w:val="57"/>
        </w:numPr>
        <w:jc w:val="left"/>
        <w:rPr>
          <w:rFonts w:eastAsia="Montserrat" w:cs="Arial"/>
          <w:iCs/>
          <w:szCs w:val="22"/>
        </w:rPr>
      </w:pPr>
      <w:r w:rsidRPr="00216F75">
        <w:rPr>
          <w:rFonts w:eastAsia="Montserrat" w:cs="Arial"/>
          <w:iCs/>
          <w:szCs w:val="22"/>
        </w:rPr>
        <w:t>Demonstration that the project has selected technologies and fuels that meet the cooking needs of the target population:</w:t>
      </w:r>
    </w:p>
    <w:p w14:paraId="75EAEAEC" w14:textId="77777777" w:rsidR="00620061" w:rsidRPr="00216F75" w:rsidRDefault="00620061" w:rsidP="00620061">
      <w:pPr>
        <w:pStyle w:val="ListParagraph"/>
        <w:numPr>
          <w:ilvl w:val="0"/>
          <w:numId w:val="57"/>
        </w:numPr>
        <w:jc w:val="left"/>
        <w:rPr>
          <w:rFonts w:eastAsia="Montserrat" w:cs="Arial"/>
          <w:iCs/>
          <w:szCs w:val="22"/>
        </w:rPr>
      </w:pPr>
      <w:r w:rsidRPr="00216F75">
        <w:rPr>
          <w:rFonts w:eastAsia="Montserrat" w:cs="Arial"/>
          <w:iCs/>
          <w:szCs w:val="22"/>
        </w:rPr>
        <w:t>Project participant operations and maintenance support activities:</w:t>
      </w:r>
    </w:p>
    <w:p w14:paraId="504345C9" w14:textId="77777777" w:rsidR="00620061" w:rsidRPr="00216F75" w:rsidRDefault="00620061" w:rsidP="00620061">
      <w:pPr>
        <w:pStyle w:val="ListParagraph"/>
        <w:numPr>
          <w:ilvl w:val="0"/>
          <w:numId w:val="57"/>
        </w:numPr>
        <w:jc w:val="left"/>
        <w:rPr>
          <w:rFonts w:eastAsia="Montserrat" w:cs="Arial"/>
          <w:iCs/>
          <w:szCs w:val="22"/>
        </w:rPr>
      </w:pPr>
      <w:r w:rsidRPr="00216F75">
        <w:rPr>
          <w:rFonts w:eastAsia="Montserrat" w:cs="Arial"/>
          <w:iCs/>
          <w:szCs w:val="22"/>
        </w:rPr>
        <w:t>Support communication channels availability to project participants:</w:t>
      </w:r>
    </w:p>
    <w:p w14:paraId="3FD91925" w14:textId="77777777" w:rsidR="00620061" w:rsidRPr="00216F75" w:rsidRDefault="00620061" w:rsidP="00620061">
      <w:pPr>
        <w:rPr>
          <w:rFonts w:eastAsia="Montserrat" w:cs="Arial"/>
          <w:iCs/>
          <w:szCs w:val="22"/>
        </w:rPr>
      </w:pPr>
    </w:p>
    <w:p w14:paraId="06A67437" w14:textId="77777777" w:rsidR="00620061" w:rsidRPr="00216F75" w:rsidRDefault="00620061" w:rsidP="00620061">
      <w:pPr>
        <w:rPr>
          <w:rFonts w:eastAsia="Montserrat" w:cs="Arial"/>
          <w:iCs/>
          <w:szCs w:val="22"/>
        </w:rPr>
      </w:pPr>
      <w:r w:rsidRPr="00216F75">
        <w:rPr>
          <w:rFonts w:eastAsia="Montserrat" w:cs="Arial"/>
          <w:iCs/>
          <w:szCs w:val="22"/>
        </w:rPr>
        <w:t xml:space="preserve">How seasonality is addressed in the project monitoring plan: </w:t>
      </w:r>
    </w:p>
    <w:p w14:paraId="3AC5184E" w14:textId="77777777" w:rsidR="00620061" w:rsidRPr="00216F75" w:rsidRDefault="00620061" w:rsidP="00620061">
      <w:pPr>
        <w:pStyle w:val="ListParagraph"/>
        <w:numPr>
          <w:ilvl w:val="0"/>
          <w:numId w:val="56"/>
        </w:numPr>
        <w:jc w:val="left"/>
        <w:rPr>
          <w:rFonts w:eastAsia="Montserrat" w:cs="Arial"/>
          <w:iCs/>
          <w:szCs w:val="22"/>
        </w:rPr>
      </w:pPr>
      <w:r w:rsidRPr="00216F75">
        <w:rPr>
          <w:rFonts w:eastAsia="Montserrat" w:cs="Arial"/>
          <w:iCs/>
          <w:szCs w:val="22"/>
        </w:rPr>
        <w:t>Justification for how this approach will result in accurate baseline and project fuel use measurements:</w:t>
      </w:r>
    </w:p>
    <w:p w14:paraId="36423643" w14:textId="77777777" w:rsidR="00620061" w:rsidRPr="00216F75" w:rsidRDefault="00620061" w:rsidP="00620061">
      <w:pPr>
        <w:pStyle w:val="ListParagraph"/>
        <w:numPr>
          <w:ilvl w:val="0"/>
          <w:numId w:val="56"/>
        </w:numPr>
        <w:jc w:val="left"/>
        <w:rPr>
          <w:rFonts w:eastAsia="Montserrat" w:cs="Arial"/>
          <w:iCs/>
          <w:szCs w:val="22"/>
        </w:rPr>
      </w:pPr>
      <w:r w:rsidRPr="00216F75">
        <w:rPr>
          <w:rFonts w:eastAsia="Montserrat" w:cs="Arial"/>
          <w:iCs/>
          <w:szCs w:val="22"/>
        </w:rPr>
        <w:t xml:space="preserve">If space heating is common in the project area, how space heating has been addressed in the project design: </w:t>
      </w:r>
    </w:p>
    <w:p w14:paraId="25287E96" w14:textId="77777777" w:rsidR="00620061" w:rsidRPr="00216F75" w:rsidRDefault="00620061" w:rsidP="00620061">
      <w:pPr>
        <w:rPr>
          <w:rFonts w:eastAsia="Montserrat" w:cs="Arial"/>
          <w:iCs/>
          <w:szCs w:val="22"/>
        </w:rPr>
      </w:pPr>
    </w:p>
    <w:p w14:paraId="1D8CF698" w14:textId="77777777" w:rsidR="00620061" w:rsidRPr="00216F75" w:rsidRDefault="00620061" w:rsidP="00620061">
      <w:pPr>
        <w:rPr>
          <w:rFonts w:eastAsia="Montserrat" w:cs="Arial"/>
          <w:color w:val="000000" w:themeColor="text1"/>
          <w:szCs w:val="22"/>
        </w:rPr>
      </w:pPr>
      <w:r w:rsidRPr="00216F75">
        <w:rPr>
          <w:rFonts w:eastAsia="Montserrat" w:cs="Arial"/>
          <w:color w:val="000000" w:themeColor="text1"/>
          <w:szCs w:val="22"/>
        </w:rPr>
        <w:t>For CTEC projects using fuel sale records to track consumption of pellets, LPG or ethanol:</w:t>
      </w:r>
    </w:p>
    <w:p w14:paraId="43DCDE3D" w14:textId="77777777" w:rsidR="00620061" w:rsidRPr="00216F75" w:rsidRDefault="00620061" w:rsidP="00620061">
      <w:pPr>
        <w:pStyle w:val="ListParagraph"/>
        <w:numPr>
          <w:ilvl w:val="0"/>
          <w:numId w:val="87"/>
        </w:numPr>
        <w:jc w:val="left"/>
        <w:rPr>
          <w:rFonts w:eastAsia="Montserrat" w:cs="Arial"/>
          <w:iCs/>
          <w:szCs w:val="22"/>
        </w:rPr>
      </w:pPr>
      <w:r w:rsidRPr="00216F75">
        <w:rPr>
          <w:rFonts w:eastAsia="Montserrat" w:cs="Arial"/>
          <w:iCs/>
          <w:szCs w:val="22"/>
        </w:rPr>
        <w:t>Safeguards taken to prevent fuel diversion for non-project activities (e.g., sealed canisters, tamper-evident meters, delivery log cross-verification, etc.):</w:t>
      </w:r>
    </w:p>
    <w:p w14:paraId="0B46ACC5" w14:textId="77777777" w:rsidR="00620061" w:rsidRPr="00216F75" w:rsidRDefault="00620061" w:rsidP="00620061">
      <w:pPr>
        <w:pStyle w:val="ListParagraph"/>
        <w:numPr>
          <w:ilvl w:val="0"/>
          <w:numId w:val="87"/>
        </w:numPr>
        <w:jc w:val="left"/>
        <w:rPr>
          <w:rFonts w:eastAsia="Montserrat" w:cs="Arial"/>
          <w:szCs w:val="22"/>
        </w:rPr>
      </w:pPr>
      <w:r w:rsidRPr="00216F75">
        <w:rPr>
          <w:rFonts w:eastAsia="Montserrat" w:cs="Arial"/>
          <w:iCs/>
          <w:szCs w:val="22"/>
        </w:rPr>
        <w:t xml:space="preserve">Results of </w:t>
      </w:r>
      <w:r w:rsidRPr="00216F75">
        <w:rPr>
          <w:rFonts w:eastAsia="Montserrat" w:cs="Arial"/>
          <w:szCs w:val="22"/>
        </w:rPr>
        <w:t>cross-check of household fuel consumption tracked through fuel sale records against average project energy consumption values</w:t>
      </w:r>
      <w:r w:rsidRPr="00216F75">
        <w:rPr>
          <w:rFonts w:eastAsia="Montserrat" w:cs="Arial"/>
          <w:iCs/>
          <w:szCs w:val="22"/>
        </w:rPr>
        <w:t>, and justification or removal of any outliers</w:t>
      </w:r>
      <w:r w:rsidRPr="00216F75">
        <w:rPr>
          <w:rFonts w:eastAsia="Montserrat" w:cs="Arial"/>
          <w:szCs w:val="22"/>
        </w:rPr>
        <w:t>:</w:t>
      </w:r>
    </w:p>
    <w:p w14:paraId="315EB68B" w14:textId="77777777" w:rsidR="00620061" w:rsidRPr="00216F75" w:rsidRDefault="00620061" w:rsidP="00620061">
      <w:pPr>
        <w:rPr>
          <w:rFonts w:eastAsia="Montserrat" w:cs="Arial"/>
          <w:iCs/>
          <w:szCs w:val="22"/>
        </w:rPr>
      </w:pPr>
    </w:p>
    <w:p w14:paraId="198DB616" w14:textId="77777777" w:rsidR="00620061" w:rsidRPr="00216F75" w:rsidRDefault="00620061" w:rsidP="00620061">
      <w:pPr>
        <w:rPr>
          <w:rFonts w:eastAsia="Montserrat" w:cs="Arial"/>
          <w:iCs/>
          <w:szCs w:val="22"/>
        </w:rPr>
      </w:pPr>
      <w:r w:rsidRPr="00216F75">
        <w:rPr>
          <w:rFonts w:eastAsia="Montserrat" w:cs="Arial"/>
          <w:iCs/>
          <w:szCs w:val="22"/>
        </w:rPr>
        <w:t xml:space="preserve">Description of any missing and outlier/excluded data for KPTs, CCTs, SUMs, surveys: </w:t>
      </w:r>
    </w:p>
    <w:p w14:paraId="6C8F1752" w14:textId="77777777" w:rsidR="00620061" w:rsidRPr="00216F75" w:rsidRDefault="00620061" w:rsidP="00620061">
      <w:pPr>
        <w:rPr>
          <w:rFonts w:eastAsia="Montserrat" w:cs="Arial"/>
          <w:iCs/>
          <w:szCs w:val="22"/>
        </w:rPr>
      </w:pPr>
    </w:p>
    <w:p w14:paraId="487EA0DF" w14:textId="77777777" w:rsidR="00620061" w:rsidRPr="00216F75" w:rsidRDefault="00620061" w:rsidP="00620061">
      <w:pPr>
        <w:rPr>
          <w:rFonts w:eastAsia="Montserrat" w:cs="Arial"/>
          <w:iCs/>
          <w:szCs w:val="22"/>
        </w:rPr>
      </w:pPr>
      <w:r w:rsidRPr="00216F75">
        <w:rPr>
          <w:rFonts w:eastAsia="Montserrat" w:cs="Arial"/>
          <w:iCs/>
          <w:szCs w:val="22"/>
        </w:rPr>
        <w:t>Description of how sampling randomization was conducted and what proof is available to auditors:</w:t>
      </w:r>
    </w:p>
    <w:p w14:paraId="3CEE5D0F" w14:textId="77777777" w:rsidR="00620061" w:rsidRPr="00216F75" w:rsidRDefault="00620061" w:rsidP="00620061">
      <w:pPr>
        <w:rPr>
          <w:rFonts w:eastAsia="Montserrat" w:cs="Arial"/>
          <w:iCs/>
          <w:szCs w:val="22"/>
        </w:rPr>
      </w:pPr>
    </w:p>
    <w:p w14:paraId="1F74DE52" w14:textId="7AD085AE" w:rsidR="00620061" w:rsidRPr="00216F75" w:rsidRDefault="00620061" w:rsidP="00620061">
      <w:pPr>
        <w:rPr>
          <w:rFonts w:eastAsia="Montserrat" w:cs="Arial"/>
          <w:iCs/>
          <w:szCs w:val="22"/>
        </w:rPr>
      </w:pPr>
      <w:r w:rsidRPr="00216F75">
        <w:rPr>
          <w:rFonts w:eastAsia="Montserrat" w:cs="Arial"/>
          <w:iCs/>
          <w:szCs w:val="22"/>
        </w:rPr>
        <w:t xml:space="preserve">SUMs validation checks performed (as described </w:t>
      </w:r>
      <w:r w:rsidRPr="009E42A3">
        <w:rPr>
          <w:rFonts w:eastAsia="Montserrat" w:cs="Arial"/>
          <w:iCs/>
          <w:szCs w:val="22"/>
        </w:rPr>
        <w:t xml:space="preserve">in </w:t>
      </w:r>
      <w:hyperlink w:anchor="A9" w:history="1">
        <w:r w:rsidRPr="009E42A3">
          <w:rPr>
            <w:rStyle w:val="Hyperlink"/>
            <w:rFonts w:eastAsia="Montserrat" w:cs="Arial"/>
            <w:iCs/>
            <w:szCs w:val="22"/>
          </w:rPr>
          <w:t>Appendix 9</w:t>
        </w:r>
      </w:hyperlink>
      <w:r w:rsidRPr="009E42A3">
        <w:rPr>
          <w:rFonts w:eastAsia="Montserrat" w:cs="Arial"/>
          <w:iCs/>
          <w:szCs w:val="22"/>
        </w:rPr>
        <w:t>),</w:t>
      </w:r>
      <w:r w:rsidRPr="00216F75">
        <w:rPr>
          <w:rFonts w:eastAsia="Montserrat" w:cs="Arial"/>
          <w:iCs/>
          <w:szCs w:val="22"/>
        </w:rPr>
        <w:t xml:space="preserve"> for projects using SUMs:</w:t>
      </w:r>
    </w:p>
    <w:p w14:paraId="6181A968" w14:textId="77777777" w:rsidR="00620061" w:rsidRPr="00216F75" w:rsidRDefault="00620061" w:rsidP="00620061">
      <w:pPr>
        <w:rPr>
          <w:rFonts w:eastAsia="Montserrat" w:cs="Arial"/>
          <w:iCs/>
          <w:szCs w:val="22"/>
        </w:rPr>
      </w:pPr>
    </w:p>
    <w:p w14:paraId="464CEEC5" w14:textId="77777777" w:rsidR="00620061" w:rsidRPr="00216F75" w:rsidRDefault="00620061" w:rsidP="00620061">
      <w:pPr>
        <w:rPr>
          <w:rFonts w:eastAsia="Montserrat" w:cs="Arial"/>
          <w:szCs w:val="22"/>
        </w:rPr>
      </w:pPr>
      <w:r w:rsidRPr="00216F75">
        <w:rPr>
          <w:rFonts w:eastAsia="Montserrat" w:cs="Arial"/>
          <w:iCs/>
          <w:szCs w:val="22"/>
        </w:rPr>
        <w:t>Compliance with the Principles for Responsible Carbon Finance in Clean Cooking (optional):</w:t>
      </w:r>
      <w:r w:rsidRPr="00216F75">
        <w:rPr>
          <w:rFonts w:eastAsia="Montserrat" w:cs="Arial"/>
          <w:b/>
          <w:szCs w:val="22"/>
        </w:rPr>
        <w:t xml:space="preserve"> </w:t>
      </w:r>
    </w:p>
    <w:p w14:paraId="1070DC4D" w14:textId="77777777" w:rsidR="00620061" w:rsidRPr="00216F75" w:rsidRDefault="00620061" w:rsidP="00620061">
      <w:pPr>
        <w:rPr>
          <w:rFonts w:eastAsia="Montserrat" w:cs="Arial"/>
          <w:szCs w:val="22"/>
        </w:rPr>
        <w:sectPr w:rsidR="00620061" w:rsidRPr="00216F75" w:rsidSect="00F8767B">
          <w:headerReference w:type="default" r:id="rId62"/>
          <w:footerReference w:type="default" r:id="rId63"/>
          <w:pgSz w:w="12240" w:h="15840"/>
          <w:pgMar w:top="1411" w:right="1325" w:bottom="1411" w:left="1699" w:header="706" w:footer="706" w:gutter="0"/>
          <w:pgNumType w:start="1"/>
          <w:cols w:space="720"/>
          <w:docGrid w:linePitch="299"/>
        </w:sectPr>
      </w:pPr>
    </w:p>
    <w:p w14:paraId="5D103C35" w14:textId="5F987275" w:rsidR="00095627" w:rsidRDefault="00095627" w:rsidP="00095627">
      <w:pPr>
        <w:pStyle w:val="SDMAppTitle"/>
      </w:pPr>
      <w:bookmarkStart w:id="92" w:name="A2"/>
      <w:bookmarkStart w:id="93" w:name="_Toc193924645"/>
      <w:r>
        <w:lastRenderedPageBreak/>
        <w:t>Grid</w:t>
      </w:r>
      <w:bookmarkEnd w:id="92"/>
      <w:r>
        <w:t xml:space="preserve"> Emission Factors</w:t>
      </w:r>
    </w:p>
    <w:bookmarkEnd w:id="93"/>
    <w:p w14:paraId="6DDFF178" w14:textId="77777777" w:rsidR="00620061" w:rsidRPr="00216F75" w:rsidRDefault="00620061" w:rsidP="00620061">
      <w:pPr>
        <w:rPr>
          <w:rFonts w:eastAsia="Montserrat" w:cs="Arial"/>
          <w:szCs w:val="22"/>
        </w:rPr>
      </w:pPr>
      <w:r w:rsidRPr="00216F75">
        <w:rPr>
          <w:rFonts w:eastAsia="Montserrat" w:cs="Arial"/>
          <w:szCs w:val="22"/>
        </w:rPr>
        <w:t>The CLEAR methodology uses marginal grid emission factors. These grid emission factors should be sourced from the estimates provided by the</w:t>
      </w:r>
      <w:r w:rsidRPr="00216F75">
        <w:rPr>
          <w:rFonts w:eastAsia="Calibri Light" w:cs="Arial"/>
          <w:szCs w:val="22"/>
        </w:rPr>
        <w:t xml:space="preserve"> </w:t>
      </w:r>
      <w:hyperlink r:id="rId64">
        <w:r w:rsidRPr="00216F75">
          <w:rPr>
            <w:rStyle w:val="Hyperlink"/>
            <w:rFonts w:eastAsia="Montserrat" w:cs="Arial"/>
            <w:szCs w:val="22"/>
          </w:rPr>
          <w:t>International Financial Institution’s Technical Working Group</w:t>
        </w:r>
      </w:hyperlink>
      <w:r w:rsidRPr="00216F75">
        <w:rPr>
          <w:rFonts w:eastAsia="Montserrat" w:cs="Arial"/>
          <w:szCs w:val="22"/>
        </w:rPr>
        <w:t xml:space="preserve"> (IFI-TWG) on GHG Accounting, or from the marginal grid emission factors provided by the relevant national authority. Additionally, Article 6.4 Mechanism tools to derive electricity emission factors are currently under development.</w:t>
      </w:r>
    </w:p>
    <w:p w14:paraId="433F7949" w14:textId="77777777" w:rsidR="00620061" w:rsidRPr="00216F75" w:rsidRDefault="00620061" w:rsidP="00620061">
      <w:pPr>
        <w:rPr>
          <w:rFonts w:eastAsia="Montserrat" w:cs="Arial"/>
          <w:szCs w:val="22"/>
        </w:rPr>
      </w:pPr>
    </w:p>
    <w:p w14:paraId="751CC68C" w14:textId="77777777" w:rsidR="00620061" w:rsidRPr="00216F75" w:rsidRDefault="00620061" w:rsidP="00620061">
      <w:pPr>
        <w:rPr>
          <w:rFonts w:eastAsia="Montserrat" w:cs="Arial"/>
          <w:szCs w:val="22"/>
        </w:rPr>
      </w:pPr>
      <w:bookmarkStart w:id="94" w:name="_Toc183028853"/>
      <w:r w:rsidRPr="00216F75">
        <w:rPr>
          <w:rFonts w:eastAsia="Montserrat" w:cs="Arial"/>
          <w:szCs w:val="22"/>
        </w:rPr>
        <w:t>The IFI-TWG uses the Combined Margin (CM) grid emission factor for electricity consumption. CM is a weighted average of each country’s operating margin (33%) and build margin (67%). Operating margin is the cohort of existing power plants that are most likely to be brought online to meet an additional unit of demand. Build margin is the cohort of power plants expected to come online based on a country-specific assessment of planned and expected new generation capacity.</w:t>
      </w:r>
      <w:bookmarkEnd w:id="94"/>
    </w:p>
    <w:p w14:paraId="6BF9F1AD" w14:textId="77777777" w:rsidR="00620061" w:rsidRPr="00216F75" w:rsidRDefault="00620061" w:rsidP="00620061">
      <w:pPr>
        <w:rPr>
          <w:rFonts w:eastAsia="Montserrat" w:cs="Arial"/>
          <w:szCs w:val="22"/>
        </w:rPr>
      </w:pPr>
      <w:r w:rsidRPr="00216F75">
        <w:rPr>
          <w:rFonts w:eastAsia="Montserrat" w:cs="Arial"/>
          <w:szCs w:val="22"/>
        </w:rPr>
        <w:t xml:space="preserve"> </w:t>
      </w:r>
    </w:p>
    <w:p w14:paraId="6EB96DC2" w14:textId="77777777" w:rsidR="00620061" w:rsidRPr="00216F75" w:rsidRDefault="00620061" w:rsidP="00620061">
      <w:pPr>
        <w:rPr>
          <w:rFonts w:eastAsia="Montserrat" w:cs="Arial"/>
          <w:szCs w:val="22"/>
        </w:rPr>
      </w:pPr>
      <w:r w:rsidRPr="00216F75">
        <w:rPr>
          <w:rFonts w:eastAsia="Montserrat" w:cs="Arial"/>
          <w:b/>
          <w:szCs w:val="22"/>
        </w:rPr>
        <w:t xml:space="preserve">For IFI-TWG estimates, the most recent values should be used where available. </w:t>
      </w:r>
      <w:r w:rsidRPr="00216F75">
        <w:rPr>
          <w:rFonts w:eastAsia="Montserrat" w:cs="Arial"/>
          <w:szCs w:val="22"/>
        </w:rPr>
        <w:t xml:space="preserve">To obtain a grid emission factor for a specific country, download </w:t>
      </w:r>
      <w:hyperlink r:id="rId65" w:history="1">
        <w:r w:rsidRPr="00216F75">
          <w:rPr>
            <w:rStyle w:val="Hyperlink"/>
            <w:rFonts w:eastAsia="Montserrat" w:cs="Arial"/>
            <w:szCs w:val="22"/>
          </w:rPr>
          <w:t>the full database</w:t>
        </w:r>
      </w:hyperlink>
      <w:r w:rsidRPr="00216F75">
        <w:rPr>
          <w:rFonts w:eastAsia="Montserrat" w:cs="Arial"/>
          <w:szCs w:val="22"/>
        </w:rPr>
        <w:t xml:space="preserve"> and use the data from Column E “Electricity Consumption”.</w:t>
      </w:r>
      <w:r w:rsidRPr="00216F75">
        <w:rPr>
          <w:rFonts w:eastAsia="Montserrat" w:cs="Arial"/>
          <w:b/>
          <w:szCs w:val="22"/>
        </w:rPr>
        <w:t xml:space="preserve"> </w:t>
      </w:r>
      <w:r w:rsidRPr="00216F75">
        <w:rPr>
          <w:rFonts w:eastAsia="Montserrat" w:cs="Arial"/>
          <w:szCs w:val="22"/>
        </w:rPr>
        <w:t>For reference, grid emission factors from 2024 for several countries are provided below.</w:t>
      </w:r>
    </w:p>
    <w:p w14:paraId="5AB4ABAD" w14:textId="77777777" w:rsidR="00620061" w:rsidRPr="00216F75" w:rsidRDefault="00620061" w:rsidP="00620061">
      <w:pPr>
        <w:rPr>
          <w:rFonts w:eastAsia="Montserrat" w:cs="Arial"/>
          <w:szCs w:val="22"/>
        </w:rPr>
      </w:pPr>
    </w:p>
    <w:p w14:paraId="602B03F5" w14:textId="77777777" w:rsidR="00620061" w:rsidRPr="00216F75" w:rsidRDefault="00620061" w:rsidP="00620061">
      <w:pPr>
        <w:spacing w:after="60"/>
        <w:rPr>
          <w:rFonts w:eastAsia="Montserrat" w:cs="Arial"/>
          <w:b/>
          <w:bCs/>
          <w:szCs w:val="22"/>
        </w:rPr>
      </w:pPr>
      <w:r w:rsidRPr="00216F75">
        <w:rPr>
          <w:rFonts w:eastAsia="Montserrat" w:cs="Arial"/>
          <w:b/>
          <w:noProof/>
          <w:szCs w:val="22"/>
        </w:rPr>
        <w:lastRenderedPageBreak/>
        <w:drawing>
          <wp:inline distT="0" distB="0" distL="0" distR="0" wp14:anchorId="29154549" wp14:editId="300FD345">
            <wp:extent cx="5681133" cy="3064933"/>
            <wp:effectExtent l="0" t="0" r="0" b="0"/>
            <wp:docPr id="151751404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6"/>
                    <a:srcRect/>
                    <a:stretch>
                      <a:fillRect/>
                    </a:stretch>
                  </pic:blipFill>
                  <pic:spPr>
                    <a:xfrm>
                      <a:off x="0" y="0"/>
                      <a:ext cx="5683647" cy="3066289"/>
                    </a:xfrm>
                    <a:prstGeom prst="rect">
                      <a:avLst/>
                    </a:prstGeom>
                    <a:ln/>
                  </pic:spPr>
                </pic:pic>
              </a:graphicData>
            </a:graphic>
          </wp:inline>
        </w:drawing>
      </w:r>
    </w:p>
    <w:p w14:paraId="6D43AE5C" w14:textId="77777777" w:rsidR="00620061" w:rsidRPr="00216F75" w:rsidRDefault="00620061" w:rsidP="00620061">
      <w:pPr>
        <w:rPr>
          <w:rFonts w:eastAsia="Montserrat" w:cs="Arial"/>
          <w:szCs w:val="22"/>
        </w:rPr>
        <w:sectPr w:rsidR="00620061" w:rsidRPr="00216F75">
          <w:pgSz w:w="15840" w:h="12240" w:orient="landscape"/>
          <w:pgMar w:top="1325" w:right="1417" w:bottom="1699" w:left="1417" w:header="708" w:footer="708" w:gutter="0"/>
          <w:cols w:space="720"/>
        </w:sectPr>
      </w:pPr>
    </w:p>
    <w:p w14:paraId="2F3E3E9F" w14:textId="5AAD0BC5" w:rsidR="00095627" w:rsidRDefault="00095627" w:rsidP="00095627">
      <w:pPr>
        <w:pStyle w:val="SDMAppTitle"/>
      </w:pPr>
      <w:bookmarkStart w:id="95" w:name="A3"/>
      <w:bookmarkStart w:id="96" w:name="_Toc193924646"/>
      <w:r>
        <w:lastRenderedPageBreak/>
        <w:t xml:space="preserve">Off-Grid </w:t>
      </w:r>
      <w:bookmarkEnd w:id="95"/>
      <w:r>
        <w:t>Emission Factors for Select Technologies</w:t>
      </w:r>
    </w:p>
    <w:p w14:paraId="29795853" w14:textId="77777777" w:rsidR="00095627" w:rsidRDefault="00095627" w:rsidP="00095627">
      <w:pPr>
        <w:pStyle w:val="Heading2"/>
        <w:ind w:left="0" w:firstLine="0"/>
        <w:rPr>
          <w:rFonts w:ascii="Arial" w:hAnsi="Arial" w:cs="Arial"/>
          <w:sz w:val="22"/>
          <w:szCs w:val="22"/>
        </w:rPr>
      </w:pPr>
    </w:p>
    <w:bookmarkEnd w:id="96"/>
    <w:p w14:paraId="7EF3CA07" w14:textId="77777777" w:rsidR="00620061" w:rsidRPr="00216F75" w:rsidRDefault="00620061" w:rsidP="00620061">
      <w:pPr>
        <w:rPr>
          <w:rFonts w:eastAsia="Montserrat" w:cs="Arial"/>
          <w:szCs w:val="22"/>
        </w:rPr>
      </w:pPr>
      <w:r w:rsidRPr="00216F75">
        <w:rPr>
          <w:rFonts w:eastAsia="Montserrat" w:cs="Arial"/>
          <w:szCs w:val="22"/>
        </w:rPr>
        <w:t xml:space="preserve">If the project activity includes electric cooking from off-grid or mini-grid sources, then the emissions associated with those sources must be accounted for. Off-grid or mini-grid power may be derived from petrol or diesel generators as well as renewable sources. If off-grid or mini-grid power is derived from petrol or diesel generators, then emission factors for Equations </w:t>
      </w:r>
      <w:hyperlink w:anchor="E9" w:history="1">
        <w:r w:rsidRPr="00216F75">
          <w:rPr>
            <w:rStyle w:val="Hyperlink"/>
            <w:rFonts w:eastAsia="Montserrat" w:cs="Arial"/>
            <w:szCs w:val="22"/>
          </w:rPr>
          <w:t>9</w:t>
        </w:r>
      </w:hyperlink>
      <w:r w:rsidRPr="00216F75">
        <w:rPr>
          <w:rFonts w:eastAsia="Montserrat" w:cs="Arial"/>
          <w:szCs w:val="22"/>
        </w:rPr>
        <w:t xml:space="preserve"> and </w:t>
      </w:r>
      <w:hyperlink w:anchor="E22" w:history="1">
        <w:r w:rsidRPr="00216F75">
          <w:rPr>
            <w:rStyle w:val="Hyperlink"/>
            <w:rFonts w:eastAsia="Montserrat" w:cs="Arial"/>
            <w:szCs w:val="22"/>
          </w:rPr>
          <w:t>22</w:t>
        </w:r>
      </w:hyperlink>
      <w:r w:rsidRPr="00216F75">
        <w:rPr>
          <w:rFonts w:eastAsia="Montserrat" w:cs="Arial"/>
          <w:szCs w:val="22"/>
        </w:rPr>
        <w:t xml:space="preserve"> should be taken from the table below; values from the </w:t>
      </w:r>
      <w:proofErr w:type="spellStart"/>
      <w:r w:rsidRPr="00216F75">
        <w:rPr>
          <w:rFonts w:eastAsia="Montserrat" w:cs="Arial"/>
          <w:szCs w:val="22"/>
        </w:rPr>
        <w:t>SEforAll</w:t>
      </w:r>
      <w:proofErr w:type="spellEnd"/>
      <w:r w:rsidRPr="00216F75">
        <w:rPr>
          <w:rFonts w:eastAsia="Montserrat" w:cs="Arial"/>
          <w:szCs w:val="22"/>
        </w:rPr>
        <w:t xml:space="preserve"> Mini-Grid Emissions Tool. If off-grid or mini-grid power is derived from renewable sources, then CLEAR assumes the upstream emissions are negligible and does not require they be included in assessing emission reductions. Additionally, Article 6.4 Mechanism tools to derive electricity emission factors are currently under development.</w:t>
      </w:r>
    </w:p>
    <w:p w14:paraId="699A6454" w14:textId="77777777" w:rsidR="00620061" w:rsidRPr="00216F75" w:rsidRDefault="00620061" w:rsidP="00620061">
      <w:pPr>
        <w:rPr>
          <w:rFonts w:eastAsia="Montserrat" w:cs="Arial"/>
          <w:szCs w:val="22"/>
        </w:rPr>
      </w:pPr>
    </w:p>
    <w:tbl>
      <w:tblPr>
        <w:tblW w:w="9204"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706"/>
        <w:gridCol w:w="1691"/>
        <w:gridCol w:w="5807"/>
      </w:tblGrid>
      <w:tr w:rsidR="00620061" w:rsidRPr="00216F75" w14:paraId="0002A158" w14:textId="77777777">
        <w:trPr>
          <w:trHeight w:val="300"/>
        </w:trPr>
        <w:tc>
          <w:tcPr>
            <w:tcW w:w="1706" w:type="dxa"/>
            <w:vAlign w:val="center"/>
          </w:tcPr>
          <w:p w14:paraId="6307D908" w14:textId="77777777" w:rsidR="00620061" w:rsidRPr="00216F75" w:rsidRDefault="00620061">
            <w:pPr>
              <w:rPr>
                <w:rFonts w:eastAsia="Montserrat" w:cs="Arial"/>
                <w:b/>
                <w:color w:val="000000"/>
                <w:szCs w:val="22"/>
              </w:rPr>
            </w:pPr>
            <w:r w:rsidRPr="00216F75">
              <w:rPr>
                <w:rFonts w:eastAsia="Montserrat" w:cs="Arial"/>
                <w:b/>
                <w:color w:val="000000"/>
                <w:szCs w:val="22"/>
              </w:rPr>
              <w:t xml:space="preserve">Generation technology </w:t>
            </w:r>
          </w:p>
        </w:tc>
        <w:tc>
          <w:tcPr>
            <w:tcW w:w="1691" w:type="dxa"/>
            <w:vAlign w:val="center"/>
          </w:tcPr>
          <w:p w14:paraId="3F1E0509" w14:textId="77777777" w:rsidR="00620061" w:rsidRPr="00216F75" w:rsidRDefault="00620061">
            <w:pPr>
              <w:rPr>
                <w:rFonts w:eastAsia="Montserrat" w:cs="Arial"/>
                <w:b/>
                <w:color w:val="000000"/>
                <w:szCs w:val="22"/>
              </w:rPr>
            </w:pPr>
            <w:r w:rsidRPr="00216F75">
              <w:rPr>
                <w:rFonts w:eastAsia="Montserrat" w:cs="Arial"/>
                <w:b/>
                <w:color w:val="000000"/>
                <w:szCs w:val="22"/>
              </w:rPr>
              <w:t>gCO</w:t>
            </w:r>
            <w:r w:rsidRPr="00216F75">
              <w:rPr>
                <w:rFonts w:eastAsia="Montserrat" w:cs="Arial"/>
                <w:b/>
                <w:color w:val="000000"/>
                <w:szCs w:val="22"/>
                <w:vertAlign w:val="subscript"/>
              </w:rPr>
              <w:t>2</w:t>
            </w:r>
            <w:r w:rsidRPr="00216F75">
              <w:rPr>
                <w:rFonts w:eastAsia="Montserrat" w:cs="Arial"/>
                <w:b/>
                <w:color w:val="000000"/>
                <w:szCs w:val="22"/>
              </w:rPr>
              <w:t>e/kWh</w:t>
            </w:r>
          </w:p>
        </w:tc>
        <w:tc>
          <w:tcPr>
            <w:tcW w:w="5807" w:type="dxa"/>
            <w:vAlign w:val="center"/>
          </w:tcPr>
          <w:p w14:paraId="7DB41125" w14:textId="77777777" w:rsidR="00620061" w:rsidRPr="00216F75" w:rsidRDefault="00620061">
            <w:pPr>
              <w:rPr>
                <w:rFonts w:eastAsia="Montserrat" w:cs="Arial"/>
                <w:b/>
                <w:color w:val="000000"/>
                <w:szCs w:val="22"/>
              </w:rPr>
            </w:pPr>
            <w:r w:rsidRPr="00216F75">
              <w:rPr>
                <w:rFonts w:eastAsia="Montserrat" w:cs="Arial"/>
                <w:b/>
                <w:color w:val="000000"/>
                <w:szCs w:val="22"/>
              </w:rPr>
              <w:t>Source</w:t>
            </w:r>
          </w:p>
        </w:tc>
      </w:tr>
      <w:tr w:rsidR="00620061" w:rsidRPr="00216F75" w14:paraId="0EA87499" w14:textId="77777777">
        <w:trPr>
          <w:trHeight w:val="300"/>
        </w:trPr>
        <w:tc>
          <w:tcPr>
            <w:tcW w:w="1706" w:type="dxa"/>
            <w:vAlign w:val="center"/>
          </w:tcPr>
          <w:p w14:paraId="7FF46BD4" w14:textId="77777777" w:rsidR="00620061" w:rsidRPr="00216F75" w:rsidRDefault="00620061">
            <w:pPr>
              <w:rPr>
                <w:rFonts w:eastAsia="Montserrat" w:cs="Arial"/>
                <w:color w:val="000000"/>
                <w:szCs w:val="22"/>
              </w:rPr>
            </w:pPr>
            <w:r w:rsidRPr="00216F75">
              <w:rPr>
                <w:rFonts w:eastAsia="Montserrat" w:cs="Arial"/>
                <w:color w:val="000000"/>
                <w:szCs w:val="22"/>
              </w:rPr>
              <w:t>Petrol generator</w:t>
            </w:r>
          </w:p>
        </w:tc>
        <w:tc>
          <w:tcPr>
            <w:tcW w:w="1691" w:type="dxa"/>
            <w:vAlign w:val="center"/>
          </w:tcPr>
          <w:p w14:paraId="5ED9B36E" w14:textId="77777777" w:rsidR="00620061" w:rsidRPr="00216F75" w:rsidRDefault="00620061">
            <w:pPr>
              <w:rPr>
                <w:rFonts w:eastAsia="Montserrat" w:cs="Arial"/>
                <w:color w:val="000000"/>
                <w:szCs w:val="22"/>
              </w:rPr>
            </w:pPr>
            <w:r w:rsidRPr="00216F75">
              <w:rPr>
                <w:rFonts w:eastAsia="Montserrat" w:cs="Arial"/>
                <w:color w:val="000000"/>
                <w:szCs w:val="22"/>
              </w:rPr>
              <w:t>1252</w:t>
            </w:r>
          </w:p>
        </w:tc>
        <w:tc>
          <w:tcPr>
            <w:tcW w:w="5807" w:type="dxa"/>
            <w:vAlign w:val="center"/>
          </w:tcPr>
          <w:p w14:paraId="60C55DB3" w14:textId="77777777" w:rsidR="00620061" w:rsidRPr="00216F75" w:rsidRDefault="00620061">
            <w:pPr>
              <w:rPr>
                <w:rFonts w:eastAsia="Montserrat" w:cs="Arial"/>
                <w:color w:val="1163C1"/>
                <w:szCs w:val="22"/>
                <w:u w:val="single"/>
              </w:rPr>
            </w:pPr>
            <w:hyperlink r:id="rId67">
              <w:r w:rsidRPr="00216F75">
                <w:rPr>
                  <w:rFonts w:eastAsia="Montserrat" w:cs="Arial"/>
                  <w:color w:val="1163C1"/>
                  <w:szCs w:val="22"/>
                  <w:u w:val="single"/>
                </w:rPr>
                <w:t>https://www.seforall.org/system/files/2021-08/SEforALL_Carbon-emissions-methodology-note.pdf</w:t>
              </w:r>
            </w:hyperlink>
          </w:p>
        </w:tc>
      </w:tr>
      <w:tr w:rsidR="00620061" w:rsidRPr="00216F75" w14:paraId="695A8DAA" w14:textId="77777777">
        <w:trPr>
          <w:trHeight w:val="300"/>
        </w:trPr>
        <w:tc>
          <w:tcPr>
            <w:tcW w:w="1706" w:type="dxa"/>
            <w:vAlign w:val="center"/>
          </w:tcPr>
          <w:p w14:paraId="6F8DB984" w14:textId="77777777" w:rsidR="00620061" w:rsidRPr="00216F75" w:rsidRDefault="00620061">
            <w:pPr>
              <w:rPr>
                <w:rFonts w:eastAsia="Montserrat" w:cs="Arial"/>
                <w:color w:val="000000"/>
                <w:szCs w:val="22"/>
              </w:rPr>
            </w:pPr>
            <w:r w:rsidRPr="00216F75">
              <w:rPr>
                <w:rFonts w:eastAsia="Montserrat" w:cs="Arial"/>
                <w:color w:val="000000"/>
                <w:szCs w:val="22"/>
              </w:rPr>
              <w:t>Diesel generator</w:t>
            </w:r>
          </w:p>
        </w:tc>
        <w:tc>
          <w:tcPr>
            <w:tcW w:w="1691" w:type="dxa"/>
            <w:vAlign w:val="center"/>
          </w:tcPr>
          <w:p w14:paraId="2B12F60A" w14:textId="77777777" w:rsidR="00620061" w:rsidRPr="00216F75" w:rsidRDefault="00620061">
            <w:pPr>
              <w:rPr>
                <w:rFonts w:eastAsia="Montserrat" w:cs="Arial"/>
                <w:color w:val="000000"/>
                <w:szCs w:val="22"/>
              </w:rPr>
            </w:pPr>
            <w:r w:rsidRPr="00216F75">
              <w:rPr>
                <w:rFonts w:eastAsia="Montserrat" w:cs="Arial"/>
                <w:color w:val="000000"/>
                <w:szCs w:val="22"/>
              </w:rPr>
              <w:t>1000</w:t>
            </w:r>
          </w:p>
        </w:tc>
        <w:tc>
          <w:tcPr>
            <w:tcW w:w="5807" w:type="dxa"/>
            <w:vAlign w:val="center"/>
          </w:tcPr>
          <w:p w14:paraId="1175A57E" w14:textId="77777777" w:rsidR="00620061" w:rsidRPr="00216F75" w:rsidRDefault="00620061">
            <w:pPr>
              <w:rPr>
                <w:rFonts w:eastAsia="Montserrat" w:cs="Arial"/>
                <w:color w:val="1163C1"/>
                <w:szCs w:val="22"/>
                <w:u w:val="single"/>
              </w:rPr>
            </w:pPr>
            <w:hyperlink r:id="rId68">
              <w:r w:rsidRPr="00216F75">
                <w:rPr>
                  <w:rFonts w:eastAsia="Montserrat" w:cs="Arial"/>
                  <w:color w:val="1163C1"/>
                  <w:szCs w:val="22"/>
                  <w:u w:val="single"/>
                </w:rPr>
                <w:t>https://www.seforall.org/system/files/2021-08/SEforALL_Carbon-emissions-methodology-note.pdf</w:t>
              </w:r>
            </w:hyperlink>
          </w:p>
        </w:tc>
      </w:tr>
    </w:tbl>
    <w:p w14:paraId="51F9AA1E" w14:textId="77777777" w:rsidR="00620061" w:rsidRPr="00216F75" w:rsidRDefault="00620061" w:rsidP="00620061">
      <w:pPr>
        <w:rPr>
          <w:rFonts w:eastAsia="Montserrat" w:cs="Arial"/>
          <w:b/>
          <w:szCs w:val="22"/>
        </w:rPr>
      </w:pPr>
    </w:p>
    <w:p w14:paraId="7200284C" w14:textId="77777777" w:rsidR="00620061" w:rsidRPr="00216F75" w:rsidRDefault="00620061" w:rsidP="00620061">
      <w:pPr>
        <w:spacing w:after="160" w:line="259" w:lineRule="auto"/>
        <w:rPr>
          <w:rFonts w:eastAsia="Montserrat" w:cs="Arial"/>
          <w:b/>
          <w:szCs w:val="22"/>
        </w:rPr>
      </w:pPr>
      <w:r w:rsidRPr="00216F75">
        <w:rPr>
          <w:rFonts w:cs="Arial"/>
          <w:szCs w:val="22"/>
        </w:rPr>
        <w:br w:type="page"/>
      </w:r>
    </w:p>
    <w:p w14:paraId="296FFA36" w14:textId="2C38EB85" w:rsidR="00095627" w:rsidRDefault="00055C06" w:rsidP="00095627">
      <w:pPr>
        <w:pStyle w:val="SDMAppTitle"/>
      </w:pPr>
      <w:bookmarkStart w:id="97" w:name="A4"/>
      <w:bookmarkStart w:id="98" w:name="_Toc193924647"/>
      <w:r>
        <w:lastRenderedPageBreak/>
        <w:t>Upstrea</w:t>
      </w:r>
      <w:bookmarkEnd w:id="97"/>
      <w:r>
        <w:t>m Emissions from Other Fuels in tonne/TJ</w:t>
      </w:r>
    </w:p>
    <w:bookmarkEnd w:id="98"/>
    <w:p w14:paraId="0B16DEED" w14:textId="36ADF80C" w:rsidR="00620061" w:rsidRPr="00216F75" w:rsidRDefault="00620061" w:rsidP="00095627">
      <w:pPr>
        <w:pStyle w:val="Heading2"/>
        <w:ind w:left="0" w:firstLine="0"/>
        <w:rPr>
          <w:rFonts w:ascii="Arial" w:hAnsi="Arial" w:cs="Arial"/>
          <w:sz w:val="22"/>
          <w:szCs w:val="22"/>
        </w:rPr>
      </w:pPr>
    </w:p>
    <w:tbl>
      <w:tblPr>
        <w:tblW w:w="944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115" w:type="dxa"/>
          <w:right w:w="115" w:type="dxa"/>
        </w:tblCellMar>
        <w:tblLook w:val="0400" w:firstRow="0" w:lastRow="0" w:firstColumn="0" w:lastColumn="0" w:noHBand="0" w:noVBand="1"/>
      </w:tblPr>
      <w:tblGrid>
        <w:gridCol w:w="4560"/>
        <w:gridCol w:w="1020"/>
        <w:gridCol w:w="1320"/>
        <w:gridCol w:w="1125"/>
        <w:gridCol w:w="1420"/>
      </w:tblGrid>
      <w:tr w:rsidR="00620061" w:rsidRPr="00216F75" w14:paraId="3A2E37E6" w14:textId="77777777">
        <w:trPr>
          <w:trHeight w:val="300"/>
        </w:trPr>
        <w:tc>
          <w:tcPr>
            <w:tcW w:w="4560" w:type="dxa"/>
            <w:vAlign w:val="bottom"/>
          </w:tcPr>
          <w:p w14:paraId="0772F28F" w14:textId="77777777" w:rsidR="00620061" w:rsidRPr="00216F75" w:rsidRDefault="00620061">
            <w:pPr>
              <w:rPr>
                <w:rFonts w:eastAsia="Montserrat" w:cs="Arial"/>
                <w:b/>
                <w:color w:val="000000"/>
                <w:szCs w:val="22"/>
              </w:rPr>
            </w:pPr>
            <w:r w:rsidRPr="00216F75">
              <w:rPr>
                <w:rFonts w:eastAsia="Montserrat" w:cs="Arial"/>
                <w:b/>
                <w:color w:val="000000"/>
                <w:szCs w:val="22"/>
              </w:rPr>
              <w:t>Fuel</w:t>
            </w:r>
          </w:p>
        </w:tc>
        <w:tc>
          <w:tcPr>
            <w:tcW w:w="1020" w:type="dxa"/>
            <w:vAlign w:val="bottom"/>
          </w:tcPr>
          <w:p w14:paraId="5FCFFDDC" w14:textId="77777777" w:rsidR="00620061" w:rsidRPr="00216F75" w:rsidRDefault="00620061">
            <w:pPr>
              <w:jc w:val="center"/>
              <w:rPr>
                <w:rFonts w:eastAsia="Montserrat" w:cs="Arial"/>
                <w:b/>
                <w:color w:val="000000"/>
                <w:szCs w:val="22"/>
              </w:rPr>
            </w:pPr>
            <w:r w:rsidRPr="00216F75">
              <w:rPr>
                <w:rFonts w:eastAsia="Montserrat" w:cs="Arial"/>
                <w:b/>
                <w:color w:val="000000"/>
                <w:szCs w:val="22"/>
              </w:rPr>
              <w:t>CO</w:t>
            </w:r>
            <w:r w:rsidRPr="00216F75">
              <w:rPr>
                <w:rFonts w:eastAsia="Montserrat" w:cs="Arial"/>
                <w:b/>
                <w:color w:val="000000"/>
                <w:szCs w:val="22"/>
                <w:vertAlign w:val="subscript"/>
              </w:rPr>
              <w:t>2</w:t>
            </w:r>
          </w:p>
        </w:tc>
        <w:tc>
          <w:tcPr>
            <w:tcW w:w="1320" w:type="dxa"/>
            <w:vAlign w:val="bottom"/>
          </w:tcPr>
          <w:p w14:paraId="494ADDAD" w14:textId="77777777" w:rsidR="00620061" w:rsidRPr="00216F75" w:rsidRDefault="00620061">
            <w:pPr>
              <w:jc w:val="center"/>
              <w:rPr>
                <w:rFonts w:eastAsia="Montserrat" w:cs="Arial"/>
                <w:b/>
                <w:color w:val="000000"/>
                <w:szCs w:val="22"/>
              </w:rPr>
            </w:pPr>
            <w:r w:rsidRPr="00216F75">
              <w:rPr>
                <w:rFonts w:eastAsia="Montserrat" w:cs="Arial"/>
                <w:b/>
                <w:color w:val="000000"/>
                <w:szCs w:val="22"/>
              </w:rPr>
              <w:t>CH</w:t>
            </w:r>
            <w:r w:rsidRPr="00216F75">
              <w:rPr>
                <w:rFonts w:eastAsia="Montserrat" w:cs="Arial"/>
                <w:b/>
                <w:color w:val="000000"/>
                <w:szCs w:val="22"/>
                <w:vertAlign w:val="subscript"/>
              </w:rPr>
              <w:t>4</w:t>
            </w:r>
          </w:p>
        </w:tc>
        <w:tc>
          <w:tcPr>
            <w:tcW w:w="1125" w:type="dxa"/>
            <w:vAlign w:val="bottom"/>
          </w:tcPr>
          <w:p w14:paraId="5827203F" w14:textId="77777777" w:rsidR="00620061" w:rsidRPr="00216F75" w:rsidRDefault="00620061">
            <w:pPr>
              <w:jc w:val="center"/>
              <w:rPr>
                <w:rFonts w:eastAsia="Montserrat" w:cs="Arial"/>
                <w:b/>
                <w:color w:val="000000"/>
                <w:szCs w:val="22"/>
              </w:rPr>
            </w:pPr>
            <w:r w:rsidRPr="00216F75">
              <w:rPr>
                <w:rFonts w:eastAsia="Montserrat" w:cs="Arial"/>
                <w:b/>
                <w:color w:val="000000"/>
                <w:szCs w:val="22"/>
              </w:rPr>
              <w:t>N</w:t>
            </w:r>
            <w:r w:rsidRPr="00216F75">
              <w:rPr>
                <w:rFonts w:eastAsia="Montserrat" w:cs="Arial"/>
                <w:b/>
                <w:color w:val="000000"/>
                <w:szCs w:val="22"/>
                <w:vertAlign w:val="subscript"/>
              </w:rPr>
              <w:t>2</w:t>
            </w:r>
            <w:r w:rsidRPr="00216F75">
              <w:rPr>
                <w:rFonts w:eastAsia="Montserrat" w:cs="Arial"/>
                <w:b/>
                <w:color w:val="000000"/>
                <w:szCs w:val="22"/>
              </w:rPr>
              <w:t>O</w:t>
            </w:r>
          </w:p>
        </w:tc>
        <w:tc>
          <w:tcPr>
            <w:tcW w:w="1420" w:type="dxa"/>
            <w:vAlign w:val="bottom"/>
          </w:tcPr>
          <w:p w14:paraId="700CE807" w14:textId="77777777" w:rsidR="00620061" w:rsidRPr="00216F75" w:rsidRDefault="00620061">
            <w:pPr>
              <w:jc w:val="center"/>
              <w:rPr>
                <w:rFonts w:eastAsia="Montserrat" w:cs="Arial"/>
                <w:b/>
                <w:color w:val="000000"/>
                <w:szCs w:val="22"/>
              </w:rPr>
            </w:pPr>
            <w:r w:rsidRPr="00216F75">
              <w:rPr>
                <w:rFonts w:eastAsia="Montserrat" w:cs="Arial"/>
                <w:b/>
                <w:color w:val="000000"/>
                <w:szCs w:val="22"/>
              </w:rPr>
              <w:t>CO</w:t>
            </w:r>
            <w:r w:rsidRPr="00216F75">
              <w:rPr>
                <w:rFonts w:eastAsia="Montserrat" w:cs="Arial"/>
                <w:b/>
                <w:color w:val="000000"/>
                <w:szCs w:val="22"/>
                <w:vertAlign w:val="subscript"/>
              </w:rPr>
              <w:t>2</w:t>
            </w:r>
            <w:r w:rsidRPr="00216F75">
              <w:rPr>
                <w:rFonts w:eastAsia="Montserrat" w:cs="Arial"/>
                <w:b/>
                <w:color w:val="000000"/>
                <w:szCs w:val="22"/>
              </w:rPr>
              <w:t>e</w:t>
            </w:r>
          </w:p>
        </w:tc>
      </w:tr>
      <w:tr w:rsidR="00620061" w:rsidRPr="00216F75" w14:paraId="3107093F" w14:textId="77777777">
        <w:trPr>
          <w:trHeight w:val="300"/>
        </w:trPr>
        <w:tc>
          <w:tcPr>
            <w:tcW w:w="4560" w:type="dxa"/>
            <w:vAlign w:val="bottom"/>
          </w:tcPr>
          <w:p w14:paraId="1A234700" w14:textId="77777777" w:rsidR="00620061" w:rsidRPr="00216F75" w:rsidRDefault="00620061" w:rsidP="00E3192D">
            <w:pPr>
              <w:jc w:val="left"/>
              <w:rPr>
                <w:rFonts w:eastAsia="Montserrat" w:cs="Arial"/>
                <w:color w:val="000000"/>
                <w:szCs w:val="22"/>
              </w:rPr>
            </w:pPr>
            <w:proofErr w:type="spellStart"/>
            <w:r w:rsidRPr="00216F75">
              <w:rPr>
                <w:rFonts w:eastAsia="Montserrat" w:cs="Arial"/>
                <w:color w:val="000000"/>
                <w:szCs w:val="22"/>
              </w:rPr>
              <w:t>Kerosene</w:t>
            </w:r>
            <w:r w:rsidRPr="00216F75">
              <w:rPr>
                <w:rFonts w:eastAsia="Montserrat" w:cs="Arial"/>
                <w:color w:val="000000"/>
                <w:szCs w:val="22"/>
                <w:vertAlign w:val="superscript"/>
              </w:rPr>
              <w:t>a</w:t>
            </w:r>
            <w:proofErr w:type="spellEnd"/>
          </w:p>
        </w:tc>
        <w:tc>
          <w:tcPr>
            <w:tcW w:w="1020" w:type="dxa"/>
            <w:tcMar>
              <w:top w:w="0" w:type="dxa"/>
              <w:left w:w="0" w:type="dxa"/>
              <w:bottom w:w="0" w:type="dxa"/>
              <w:right w:w="0" w:type="dxa"/>
            </w:tcMar>
          </w:tcPr>
          <w:p w14:paraId="566799AC" w14:textId="77777777" w:rsidR="00620061" w:rsidRPr="00216F75" w:rsidRDefault="00620061">
            <w:pPr>
              <w:jc w:val="center"/>
              <w:rPr>
                <w:rFonts w:eastAsia="Montserrat" w:cs="Arial"/>
                <w:szCs w:val="22"/>
              </w:rPr>
            </w:pPr>
            <w:r w:rsidRPr="00216F75">
              <w:rPr>
                <w:rFonts w:cs="Arial"/>
                <w:szCs w:val="22"/>
              </w:rPr>
              <w:t>9.0</w:t>
            </w:r>
          </w:p>
        </w:tc>
        <w:tc>
          <w:tcPr>
            <w:tcW w:w="1320" w:type="dxa"/>
            <w:tcMar>
              <w:top w:w="0" w:type="dxa"/>
              <w:left w:w="0" w:type="dxa"/>
              <w:bottom w:w="0" w:type="dxa"/>
              <w:right w:w="0" w:type="dxa"/>
            </w:tcMar>
          </w:tcPr>
          <w:p w14:paraId="5F7F510C" w14:textId="77777777" w:rsidR="00620061" w:rsidRPr="00216F75" w:rsidRDefault="00620061">
            <w:pPr>
              <w:jc w:val="center"/>
              <w:rPr>
                <w:rFonts w:eastAsia="Montserrat" w:cs="Arial"/>
                <w:szCs w:val="22"/>
              </w:rPr>
            </w:pPr>
            <w:r w:rsidRPr="00216F75">
              <w:rPr>
                <w:rFonts w:cs="Arial"/>
                <w:szCs w:val="22"/>
              </w:rPr>
              <w:t>0.10</w:t>
            </w:r>
          </w:p>
        </w:tc>
        <w:tc>
          <w:tcPr>
            <w:tcW w:w="1125" w:type="dxa"/>
            <w:tcMar>
              <w:top w:w="0" w:type="dxa"/>
              <w:left w:w="0" w:type="dxa"/>
              <w:bottom w:w="0" w:type="dxa"/>
              <w:right w:w="0" w:type="dxa"/>
            </w:tcMar>
          </w:tcPr>
          <w:p w14:paraId="325512FA" w14:textId="77777777" w:rsidR="00620061" w:rsidRPr="00216F75" w:rsidRDefault="00620061">
            <w:pPr>
              <w:jc w:val="center"/>
              <w:rPr>
                <w:rFonts w:eastAsia="Montserrat" w:cs="Arial"/>
                <w:szCs w:val="22"/>
              </w:rPr>
            </w:pPr>
            <w:r w:rsidRPr="00216F75">
              <w:rPr>
                <w:rFonts w:cs="Arial"/>
                <w:szCs w:val="22"/>
              </w:rPr>
              <w:t>0.00016</w:t>
            </w:r>
          </w:p>
        </w:tc>
        <w:tc>
          <w:tcPr>
            <w:tcW w:w="1420" w:type="dxa"/>
            <w:tcMar>
              <w:top w:w="0" w:type="dxa"/>
              <w:left w:w="0" w:type="dxa"/>
              <w:bottom w:w="0" w:type="dxa"/>
              <w:right w:w="0" w:type="dxa"/>
            </w:tcMar>
          </w:tcPr>
          <w:p w14:paraId="04C5BD97" w14:textId="77777777" w:rsidR="00620061" w:rsidRPr="00216F75" w:rsidRDefault="00620061">
            <w:pPr>
              <w:jc w:val="center"/>
              <w:rPr>
                <w:rFonts w:eastAsia="Montserrat" w:cs="Arial"/>
                <w:szCs w:val="22"/>
              </w:rPr>
            </w:pPr>
            <w:r w:rsidRPr="00216F75">
              <w:rPr>
                <w:rFonts w:cs="Arial"/>
                <w:szCs w:val="22"/>
              </w:rPr>
              <w:t>11.9</w:t>
            </w:r>
          </w:p>
        </w:tc>
      </w:tr>
      <w:tr w:rsidR="00620061" w:rsidRPr="00216F75" w14:paraId="6E632E1A" w14:textId="77777777">
        <w:trPr>
          <w:trHeight w:val="300"/>
        </w:trPr>
        <w:tc>
          <w:tcPr>
            <w:tcW w:w="4560" w:type="dxa"/>
            <w:vAlign w:val="bottom"/>
          </w:tcPr>
          <w:p w14:paraId="75FA82FC" w14:textId="77777777" w:rsidR="00620061" w:rsidRPr="00216F75" w:rsidRDefault="00620061" w:rsidP="00E3192D">
            <w:pPr>
              <w:jc w:val="left"/>
              <w:rPr>
                <w:rFonts w:eastAsia="Montserrat" w:cs="Arial"/>
                <w:color w:val="000000"/>
                <w:szCs w:val="22"/>
              </w:rPr>
            </w:pPr>
            <w:r w:rsidRPr="00216F75">
              <w:rPr>
                <w:rFonts w:eastAsia="Montserrat" w:cs="Arial"/>
                <w:color w:val="000000"/>
                <w:szCs w:val="22"/>
              </w:rPr>
              <w:t>LPG from crude oil</w:t>
            </w:r>
          </w:p>
        </w:tc>
        <w:tc>
          <w:tcPr>
            <w:tcW w:w="1020" w:type="dxa"/>
            <w:tcMar>
              <w:top w:w="0" w:type="dxa"/>
              <w:left w:w="0" w:type="dxa"/>
              <w:bottom w:w="0" w:type="dxa"/>
              <w:right w:w="0" w:type="dxa"/>
            </w:tcMar>
          </w:tcPr>
          <w:p w14:paraId="267FFA3B" w14:textId="77777777" w:rsidR="00620061" w:rsidRPr="00216F75" w:rsidRDefault="00620061">
            <w:pPr>
              <w:jc w:val="center"/>
              <w:rPr>
                <w:rFonts w:eastAsia="Montserrat" w:cs="Arial"/>
                <w:szCs w:val="22"/>
              </w:rPr>
            </w:pPr>
            <w:r w:rsidRPr="00216F75">
              <w:rPr>
                <w:rFonts w:cs="Arial"/>
                <w:szCs w:val="22"/>
              </w:rPr>
              <w:t>18.4</w:t>
            </w:r>
          </w:p>
        </w:tc>
        <w:tc>
          <w:tcPr>
            <w:tcW w:w="1320" w:type="dxa"/>
            <w:tcMar>
              <w:top w:w="0" w:type="dxa"/>
              <w:left w:w="0" w:type="dxa"/>
              <w:bottom w:w="0" w:type="dxa"/>
              <w:right w:w="0" w:type="dxa"/>
            </w:tcMar>
          </w:tcPr>
          <w:p w14:paraId="16AF6681" w14:textId="77777777" w:rsidR="00620061" w:rsidRPr="00216F75" w:rsidRDefault="00620061">
            <w:pPr>
              <w:jc w:val="center"/>
              <w:rPr>
                <w:rFonts w:eastAsia="Montserrat" w:cs="Arial"/>
                <w:szCs w:val="22"/>
              </w:rPr>
            </w:pPr>
            <w:r w:rsidRPr="00216F75">
              <w:rPr>
                <w:rFonts w:cs="Arial"/>
                <w:szCs w:val="22"/>
              </w:rPr>
              <w:t>0.12</w:t>
            </w:r>
          </w:p>
        </w:tc>
        <w:tc>
          <w:tcPr>
            <w:tcW w:w="1125" w:type="dxa"/>
            <w:tcMar>
              <w:top w:w="0" w:type="dxa"/>
              <w:left w:w="0" w:type="dxa"/>
              <w:bottom w:w="0" w:type="dxa"/>
              <w:right w:w="0" w:type="dxa"/>
            </w:tcMar>
          </w:tcPr>
          <w:p w14:paraId="61FC17C3" w14:textId="77777777" w:rsidR="00620061" w:rsidRPr="00216F75" w:rsidRDefault="00620061">
            <w:pPr>
              <w:jc w:val="center"/>
              <w:rPr>
                <w:rFonts w:eastAsia="Montserrat" w:cs="Arial"/>
                <w:szCs w:val="22"/>
              </w:rPr>
            </w:pPr>
            <w:r w:rsidRPr="00216F75">
              <w:rPr>
                <w:rFonts w:cs="Arial"/>
                <w:szCs w:val="22"/>
              </w:rPr>
              <w:t>0.00029</w:t>
            </w:r>
          </w:p>
        </w:tc>
        <w:tc>
          <w:tcPr>
            <w:tcW w:w="1420" w:type="dxa"/>
            <w:tcMar>
              <w:top w:w="0" w:type="dxa"/>
              <w:left w:w="0" w:type="dxa"/>
              <w:bottom w:w="0" w:type="dxa"/>
              <w:right w:w="0" w:type="dxa"/>
            </w:tcMar>
          </w:tcPr>
          <w:p w14:paraId="1F2876D3" w14:textId="77777777" w:rsidR="00620061" w:rsidRPr="00216F75" w:rsidRDefault="00620061">
            <w:pPr>
              <w:jc w:val="center"/>
              <w:rPr>
                <w:rFonts w:eastAsia="Montserrat" w:cs="Arial"/>
                <w:szCs w:val="22"/>
              </w:rPr>
            </w:pPr>
            <w:r w:rsidRPr="00216F75">
              <w:rPr>
                <w:rFonts w:cs="Arial"/>
                <w:szCs w:val="22"/>
              </w:rPr>
              <w:t>22.1</w:t>
            </w:r>
          </w:p>
        </w:tc>
      </w:tr>
      <w:tr w:rsidR="00620061" w:rsidRPr="00216F75" w14:paraId="667F6EDE" w14:textId="77777777">
        <w:trPr>
          <w:trHeight w:val="300"/>
        </w:trPr>
        <w:tc>
          <w:tcPr>
            <w:tcW w:w="4560" w:type="dxa"/>
            <w:vAlign w:val="bottom"/>
          </w:tcPr>
          <w:p w14:paraId="6DEC9726" w14:textId="77777777" w:rsidR="00620061" w:rsidRPr="00216F75" w:rsidRDefault="00620061" w:rsidP="00E3192D">
            <w:pPr>
              <w:jc w:val="left"/>
              <w:rPr>
                <w:rFonts w:eastAsia="Montserrat" w:cs="Arial"/>
                <w:color w:val="000000"/>
                <w:szCs w:val="22"/>
              </w:rPr>
            </w:pPr>
            <w:r w:rsidRPr="00216F75">
              <w:rPr>
                <w:rFonts w:eastAsia="Montserrat" w:cs="Arial"/>
                <w:color w:val="000000"/>
                <w:szCs w:val="22"/>
              </w:rPr>
              <w:t xml:space="preserve">LPG from </w:t>
            </w:r>
            <w:r w:rsidRPr="00216F75">
              <w:rPr>
                <w:rFonts w:eastAsia="Montserrat" w:cs="Arial"/>
                <w:szCs w:val="22"/>
              </w:rPr>
              <w:t>n</w:t>
            </w:r>
            <w:r w:rsidRPr="00216F75">
              <w:rPr>
                <w:rFonts w:eastAsia="Montserrat" w:cs="Arial"/>
                <w:color w:val="000000"/>
                <w:szCs w:val="22"/>
              </w:rPr>
              <w:t xml:space="preserve">atural </w:t>
            </w:r>
            <w:r w:rsidRPr="00216F75">
              <w:rPr>
                <w:rFonts w:eastAsia="Montserrat" w:cs="Arial"/>
                <w:szCs w:val="22"/>
              </w:rPr>
              <w:t>g</w:t>
            </w:r>
            <w:r w:rsidRPr="00216F75">
              <w:rPr>
                <w:rFonts w:eastAsia="Montserrat" w:cs="Arial"/>
                <w:color w:val="000000"/>
                <w:szCs w:val="22"/>
              </w:rPr>
              <w:t>as</w:t>
            </w:r>
          </w:p>
        </w:tc>
        <w:tc>
          <w:tcPr>
            <w:tcW w:w="1020" w:type="dxa"/>
            <w:tcMar>
              <w:top w:w="0" w:type="dxa"/>
              <w:left w:w="0" w:type="dxa"/>
              <w:bottom w:w="0" w:type="dxa"/>
              <w:right w:w="0" w:type="dxa"/>
            </w:tcMar>
          </w:tcPr>
          <w:p w14:paraId="286F88D0" w14:textId="77777777" w:rsidR="00620061" w:rsidRPr="00216F75" w:rsidRDefault="00620061">
            <w:pPr>
              <w:jc w:val="center"/>
              <w:rPr>
                <w:rFonts w:eastAsia="Montserrat" w:cs="Arial"/>
                <w:szCs w:val="22"/>
              </w:rPr>
            </w:pPr>
            <w:r w:rsidRPr="00216F75">
              <w:rPr>
                <w:rFonts w:cs="Arial"/>
                <w:szCs w:val="22"/>
              </w:rPr>
              <w:t>9.9</w:t>
            </w:r>
          </w:p>
        </w:tc>
        <w:tc>
          <w:tcPr>
            <w:tcW w:w="1320" w:type="dxa"/>
            <w:tcMar>
              <w:top w:w="0" w:type="dxa"/>
              <w:left w:w="0" w:type="dxa"/>
              <w:bottom w:w="0" w:type="dxa"/>
              <w:right w:w="0" w:type="dxa"/>
            </w:tcMar>
          </w:tcPr>
          <w:p w14:paraId="59E05EB7" w14:textId="77777777" w:rsidR="00620061" w:rsidRPr="00216F75" w:rsidRDefault="00620061">
            <w:pPr>
              <w:jc w:val="center"/>
              <w:rPr>
                <w:rFonts w:eastAsia="Montserrat" w:cs="Arial"/>
                <w:szCs w:val="22"/>
              </w:rPr>
            </w:pPr>
            <w:r w:rsidRPr="00216F75">
              <w:rPr>
                <w:rFonts w:cs="Arial"/>
                <w:szCs w:val="22"/>
              </w:rPr>
              <w:t>0.15</w:t>
            </w:r>
          </w:p>
        </w:tc>
        <w:tc>
          <w:tcPr>
            <w:tcW w:w="1125" w:type="dxa"/>
            <w:tcMar>
              <w:top w:w="0" w:type="dxa"/>
              <w:left w:w="0" w:type="dxa"/>
              <w:bottom w:w="0" w:type="dxa"/>
              <w:right w:w="0" w:type="dxa"/>
            </w:tcMar>
          </w:tcPr>
          <w:p w14:paraId="0F9E7371" w14:textId="77777777" w:rsidR="00620061" w:rsidRPr="00216F75" w:rsidRDefault="00620061">
            <w:pPr>
              <w:jc w:val="center"/>
              <w:rPr>
                <w:rFonts w:eastAsia="Montserrat" w:cs="Arial"/>
                <w:szCs w:val="22"/>
              </w:rPr>
            </w:pPr>
            <w:r w:rsidRPr="00216F75">
              <w:rPr>
                <w:rFonts w:cs="Arial"/>
                <w:szCs w:val="22"/>
              </w:rPr>
              <w:t>0.00019</w:t>
            </w:r>
          </w:p>
        </w:tc>
        <w:tc>
          <w:tcPr>
            <w:tcW w:w="1420" w:type="dxa"/>
            <w:tcMar>
              <w:top w:w="0" w:type="dxa"/>
              <w:left w:w="0" w:type="dxa"/>
              <w:bottom w:w="0" w:type="dxa"/>
              <w:right w:w="0" w:type="dxa"/>
            </w:tcMar>
          </w:tcPr>
          <w:p w14:paraId="4CBF6B2D" w14:textId="77777777" w:rsidR="00620061" w:rsidRPr="00216F75" w:rsidRDefault="00620061">
            <w:pPr>
              <w:jc w:val="center"/>
              <w:rPr>
                <w:rFonts w:eastAsia="Montserrat" w:cs="Arial"/>
                <w:szCs w:val="22"/>
              </w:rPr>
            </w:pPr>
            <w:r w:rsidRPr="00216F75">
              <w:rPr>
                <w:rFonts w:cs="Arial"/>
                <w:szCs w:val="22"/>
              </w:rPr>
              <w:t>14.5</w:t>
            </w:r>
          </w:p>
        </w:tc>
      </w:tr>
      <w:tr w:rsidR="00620061" w:rsidRPr="00216F75" w14:paraId="7B56A48C" w14:textId="77777777">
        <w:trPr>
          <w:trHeight w:val="300"/>
        </w:trPr>
        <w:tc>
          <w:tcPr>
            <w:tcW w:w="4560" w:type="dxa"/>
            <w:vAlign w:val="bottom"/>
          </w:tcPr>
          <w:p w14:paraId="41CD2C77" w14:textId="77777777" w:rsidR="00620061" w:rsidRPr="00216F75" w:rsidRDefault="00620061" w:rsidP="00E3192D">
            <w:pPr>
              <w:jc w:val="left"/>
              <w:rPr>
                <w:rFonts w:eastAsia="Montserrat" w:cs="Arial"/>
                <w:color w:val="000000"/>
                <w:szCs w:val="22"/>
              </w:rPr>
            </w:pPr>
            <w:r w:rsidRPr="00216F75">
              <w:rPr>
                <w:rFonts w:eastAsia="Montserrat" w:cs="Arial"/>
                <w:color w:val="000000"/>
                <w:szCs w:val="22"/>
              </w:rPr>
              <w:t xml:space="preserve">LPG derived from </w:t>
            </w:r>
            <w:r w:rsidRPr="00216F75">
              <w:rPr>
                <w:rFonts w:eastAsia="Montserrat" w:cs="Arial"/>
                <w:szCs w:val="22"/>
              </w:rPr>
              <w:t>a</w:t>
            </w:r>
            <w:r w:rsidRPr="00216F75">
              <w:rPr>
                <w:rFonts w:eastAsia="Montserrat" w:cs="Arial"/>
                <w:color w:val="000000"/>
                <w:szCs w:val="22"/>
              </w:rPr>
              <w:t xml:space="preserve"> mix of crude and </w:t>
            </w:r>
            <w:r w:rsidRPr="00216F75">
              <w:rPr>
                <w:rFonts w:eastAsia="Montserrat" w:cs="Arial"/>
                <w:szCs w:val="22"/>
              </w:rPr>
              <w:t xml:space="preserve">natural gas </w:t>
            </w:r>
            <w:proofErr w:type="spellStart"/>
            <w:r w:rsidRPr="00216F75">
              <w:rPr>
                <w:rFonts w:eastAsia="Montserrat" w:cs="Arial"/>
                <w:szCs w:val="22"/>
              </w:rPr>
              <w:t>inputs</w:t>
            </w:r>
            <w:r w:rsidRPr="00216F75">
              <w:rPr>
                <w:rFonts w:eastAsia="Montserrat" w:cs="Arial"/>
                <w:szCs w:val="22"/>
                <w:vertAlign w:val="superscript"/>
              </w:rPr>
              <w:t>b</w:t>
            </w:r>
            <w:proofErr w:type="spellEnd"/>
          </w:p>
        </w:tc>
        <w:tc>
          <w:tcPr>
            <w:tcW w:w="1020" w:type="dxa"/>
            <w:tcMar>
              <w:top w:w="0" w:type="dxa"/>
              <w:left w:w="0" w:type="dxa"/>
              <w:bottom w:w="0" w:type="dxa"/>
              <w:right w:w="0" w:type="dxa"/>
            </w:tcMar>
          </w:tcPr>
          <w:p w14:paraId="772FA7B2" w14:textId="77777777" w:rsidR="00620061" w:rsidRPr="00216F75" w:rsidRDefault="00620061">
            <w:pPr>
              <w:jc w:val="center"/>
              <w:rPr>
                <w:rFonts w:eastAsia="Montserrat" w:cs="Arial"/>
                <w:szCs w:val="22"/>
              </w:rPr>
            </w:pPr>
            <w:r w:rsidRPr="00216F75">
              <w:rPr>
                <w:rFonts w:cs="Arial"/>
                <w:szCs w:val="22"/>
              </w:rPr>
              <w:t>13.6</w:t>
            </w:r>
          </w:p>
        </w:tc>
        <w:tc>
          <w:tcPr>
            <w:tcW w:w="1320" w:type="dxa"/>
            <w:tcMar>
              <w:top w:w="0" w:type="dxa"/>
              <w:left w:w="0" w:type="dxa"/>
              <w:bottom w:w="0" w:type="dxa"/>
              <w:right w:w="0" w:type="dxa"/>
            </w:tcMar>
          </w:tcPr>
          <w:p w14:paraId="7A414907" w14:textId="77777777" w:rsidR="00620061" w:rsidRPr="00216F75" w:rsidRDefault="00620061">
            <w:pPr>
              <w:jc w:val="center"/>
              <w:rPr>
                <w:rFonts w:eastAsia="Montserrat" w:cs="Arial"/>
                <w:szCs w:val="22"/>
              </w:rPr>
            </w:pPr>
            <w:r w:rsidRPr="00216F75">
              <w:rPr>
                <w:rFonts w:cs="Arial"/>
                <w:szCs w:val="22"/>
              </w:rPr>
              <w:t>0.11</w:t>
            </w:r>
          </w:p>
        </w:tc>
        <w:tc>
          <w:tcPr>
            <w:tcW w:w="1125" w:type="dxa"/>
            <w:tcMar>
              <w:top w:w="0" w:type="dxa"/>
              <w:left w:w="0" w:type="dxa"/>
              <w:bottom w:w="0" w:type="dxa"/>
              <w:right w:w="0" w:type="dxa"/>
            </w:tcMar>
          </w:tcPr>
          <w:p w14:paraId="359B8B01" w14:textId="77777777" w:rsidR="00620061" w:rsidRPr="00216F75" w:rsidRDefault="00620061">
            <w:pPr>
              <w:jc w:val="center"/>
              <w:rPr>
                <w:rFonts w:eastAsia="Montserrat" w:cs="Arial"/>
                <w:szCs w:val="22"/>
              </w:rPr>
            </w:pPr>
            <w:r w:rsidRPr="00216F75">
              <w:rPr>
                <w:rFonts w:cs="Arial"/>
                <w:szCs w:val="22"/>
              </w:rPr>
              <w:t>0.00019</w:t>
            </w:r>
          </w:p>
        </w:tc>
        <w:tc>
          <w:tcPr>
            <w:tcW w:w="1420" w:type="dxa"/>
            <w:tcMar>
              <w:top w:w="0" w:type="dxa"/>
              <w:left w:w="0" w:type="dxa"/>
              <w:bottom w:w="0" w:type="dxa"/>
              <w:right w:w="0" w:type="dxa"/>
            </w:tcMar>
          </w:tcPr>
          <w:p w14:paraId="2B3069C6" w14:textId="77777777" w:rsidR="00620061" w:rsidRPr="00216F75" w:rsidRDefault="00620061">
            <w:pPr>
              <w:jc w:val="center"/>
              <w:rPr>
                <w:rFonts w:eastAsia="Montserrat" w:cs="Arial"/>
                <w:szCs w:val="22"/>
              </w:rPr>
            </w:pPr>
            <w:r w:rsidRPr="00216F75">
              <w:rPr>
                <w:rFonts w:cs="Arial"/>
                <w:szCs w:val="22"/>
              </w:rPr>
              <w:t>16.8</w:t>
            </w:r>
          </w:p>
        </w:tc>
      </w:tr>
      <w:tr w:rsidR="00620061" w:rsidRPr="00216F75" w14:paraId="75495008" w14:textId="77777777">
        <w:trPr>
          <w:trHeight w:val="300"/>
        </w:trPr>
        <w:tc>
          <w:tcPr>
            <w:tcW w:w="4560" w:type="dxa"/>
            <w:vAlign w:val="bottom"/>
          </w:tcPr>
          <w:p w14:paraId="45F383F9" w14:textId="77777777" w:rsidR="00620061" w:rsidRPr="00216F75" w:rsidRDefault="00620061" w:rsidP="00E3192D">
            <w:pPr>
              <w:jc w:val="left"/>
              <w:rPr>
                <w:rFonts w:eastAsia="Montserrat" w:cs="Arial"/>
                <w:color w:val="000000"/>
                <w:szCs w:val="22"/>
              </w:rPr>
            </w:pPr>
            <w:r w:rsidRPr="00216F75">
              <w:rPr>
                <w:rFonts w:eastAsia="Montserrat" w:cs="Arial"/>
                <w:color w:val="000000"/>
                <w:szCs w:val="22"/>
              </w:rPr>
              <w:t xml:space="preserve">Coal </w:t>
            </w:r>
            <w:r w:rsidRPr="00216F75">
              <w:rPr>
                <w:rFonts w:eastAsia="Montserrat" w:cs="Arial"/>
                <w:szCs w:val="22"/>
              </w:rPr>
              <w:t>m</w:t>
            </w:r>
            <w:r w:rsidRPr="00216F75">
              <w:rPr>
                <w:rFonts w:eastAsia="Montserrat" w:cs="Arial"/>
                <w:color w:val="000000"/>
                <w:szCs w:val="22"/>
              </w:rPr>
              <w:t>ining</w:t>
            </w:r>
            <w:r w:rsidRPr="00216F75">
              <w:rPr>
                <w:rFonts w:eastAsia="Montserrat" w:cs="Arial"/>
                <w:szCs w:val="22"/>
              </w:rPr>
              <w:t xml:space="preserve"> and c</w:t>
            </w:r>
            <w:r w:rsidRPr="00216F75">
              <w:rPr>
                <w:rFonts w:eastAsia="Montserrat" w:cs="Arial"/>
                <w:color w:val="000000"/>
                <w:szCs w:val="22"/>
              </w:rPr>
              <w:t>leaning</w:t>
            </w:r>
          </w:p>
        </w:tc>
        <w:tc>
          <w:tcPr>
            <w:tcW w:w="1020" w:type="dxa"/>
            <w:tcMar>
              <w:top w:w="0" w:type="dxa"/>
              <w:left w:w="0" w:type="dxa"/>
              <w:bottom w:w="0" w:type="dxa"/>
              <w:right w:w="0" w:type="dxa"/>
            </w:tcMar>
          </w:tcPr>
          <w:p w14:paraId="2A1ABDB3" w14:textId="77777777" w:rsidR="00620061" w:rsidRPr="00216F75" w:rsidRDefault="00620061">
            <w:pPr>
              <w:jc w:val="center"/>
              <w:rPr>
                <w:rFonts w:eastAsia="Montserrat" w:cs="Arial"/>
                <w:szCs w:val="22"/>
              </w:rPr>
            </w:pPr>
            <w:r w:rsidRPr="00216F75">
              <w:rPr>
                <w:rFonts w:cs="Arial"/>
                <w:szCs w:val="22"/>
              </w:rPr>
              <w:t>1.5</w:t>
            </w:r>
          </w:p>
        </w:tc>
        <w:tc>
          <w:tcPr>
            <w:tcW w:w="1320" w:type="dxa"/>
            <w:tcMar>
              <w:top w:w="0" w:type="dxa"/>
              <w:left w:w="0" w:type="dxa"/>
              <w:bottom w:w="0" w:type="dxa"/>
              <w:right w:w="0" w:type="dxa"/>
            </w:tcMar>
          </w:tcPr>
          <w:p w14:paraId="5EEC587D" w14:textId="77777777" w:rsidR="00620061" w:rsidRPr="00216F75" w:rsidRDefault="00620061">
            <w:pPr>
              <w:jc w:val="center"/>
              <w:rPr>
                <w:rFonts w:eastAsia="Montserrat" w:cs="Arial"/>
                <w:szCs w:val="22"/>
              </w:rPr>
            </w:pPr>
            <w:r w:rsidRPr="00216F75">
              <w:rPr>
                <w:rFonts w:cs="Arial"/>
                <w:szCs w:val="22"/>
              </w:rPr>
              <w:t>0.23</w:t>
            </w:r>
          </w:p>
        </w:tc>
        <w:tc>
          <w:tcPr>
            <w:tcW w:w="1125" w:type="dxa"/>
            <w:tcMar>
              <w:top w:w="0" w:type="dxa"/>
              <w:left w:w="0" w:type="dxa"/>
              <w:bottom w:w="0" w:type="dxa"/>
              <w:right w:w="0" w:type="dxa"/>
            </w:tcMar>
          </w:tcPr>
          <w:p w14:paraId="2C0B92CC" w14:textId="77777777" w:rsidR="00620061" w:rsidRPr="00216F75" w:rsidRDefault="00620061">
            <w:pPr>
              <w:jc w:val="center"/>
              <w:rPr>
                <w:rFonts w:eastAsia="Montserrat" w:cs="Arial"/>
                <w:szCs w:val="22"/>
              </w:rPr>
            </w:pPr>
            <w:r w:rsidRPr="00216F75">
              <w:rPr>
                <w:rFonts w:cs="Arial"/>
                <w:szCs w:val="22"/>
              </w:rPr>
              <w:t>0.00003</w:t>
            </w:r>
          </w:p>
        </w:tc>
        <w:tc>
          <w:tcPr>
            <w:tcW w:w="1420" w:type="dxa"/>
            <w:tcMar>
              <w:top w:w="0" w:type="dxa"/>
              <w:left w:w="0" w:type="dxa"/>
              <w:bottom w:w="0" w:type="dxa"/>
              <w:right w:w="0" w:type="dxa"/>
            </w:tcMar>
          </w:tcPr>
          <w:p w14:paraId="530B585A" w14:textId="77777777" w:rsidR="00620061" w:rsidRPr="00216F75" w:rsidRDefault="00620061">
            <w:pPr>
              <w:jc w:val="center"/>
              <w:rPr>
                <w:rFonts w:eastAsia="Montserrat" w:cs="Arial"/>
                <w:szCs w:val="22"/>
              </w:rPr>
            </w:pPr>
            <w:r w:rsidRPr="00216F75">
              <w:rPr>
                <w:rFonts w:cs="Arial"/>
                <w:szCs w:val="22"/>
              </w:rPr>
              <w:t>8.3</w:t>
            </w:r>
          </w:p>
        </w:tc>
      </w:tr>
      <w:tr w:rsidR="00620061" w:rsidRPr="00216F75" w14:paraId="3065893C" w14:textId="77777777">
        <w:trPr>
          <w:trHeight w:val="300"/>
        </w:trPr>
        <w:tc>
          <w:tcPr>
            <w:tcW w:w="4560" w:type="dxa"/>
            <w:vAlign w:val="bottom"/>
          </w:tcPr>
          <w:p w14:paraId="18902CDC" w14:textId="77777777" w:rsidR="00620061" w:rsidRPr="00216F75" w:rsidRDefault="00620061" w:rsidP="00E3192D">
            <w:pPr>
              <w:jc w:val="left"/>
              <w:rPr>
                <w:rFonts w:eastAsia="Montserrat" w:cs="Arial"/>
                <w:color w:val="000000"/>
                <w:szCs w:val="22"/>
                <w:vertAlign w:val="superscript"/>
              </w:rPr>
            </w:pPr>
            <w:r w:rsidRPr="00216F75">
              <w:rPr>
                <w:rFonts w:eastAsia="Montserrat" w:cs="Arial"/>
                <w:color w:val="000000"/>
                <w:szCs w:val="22"/>
              </w:rPr>
              <w:t xml:space="preserve">Sugarcane-based </w:t>
            </w:r>
            <w:proofErr w:type="spellStart"/>
            <w:proofErr w:type="gramStart"/>
            <w:r w:rsidRPr="00216F75">
              <w:rPr>
                <w:rFonts w:eastAsia="Montserrat" w:cs="Arial"/>
                <w:color w:val="000000"/>
                <w:szCs w:val="22"/>
              </w:rPr>
              <w:t>ethanol</w:t>
            </w:r>
            <w:r w:rsidRPr="00216F75">
              <w:rPr>
                <w:rFonts w:eastAsia="Montserrat" w:cs="Arial"/>
                <w:color w:val="000000"/>
                <w:szCs w:val="22"/>
                <w:vertAlign w:val="superscript"/>
              </w:rPr>
              <w:t>c,d</w:t>
            </w:r>
            <w:proofErr w:type="gramEnd"/>
            <w:r w:rsidRPr="00216F75">
              <w:rPr>
                <w:rFonts w:eastAsia="Montserrat" w:cs="Arial"/>
                <w:color w:val="000000"/>
                <w:szCs w:val="22"/>
                <w:vertAlign w:val="superscript"/>
              </w:rPr>
              <w:t>,e</w:t>
            </w:r>
            <w:proofErr w:type="spellEnd"/>
          </w:p>
        </w:tc>
        <w:tc>
          <w:tcPr>
            <w:tcW w:w="1020" w:type="dxa"/>
            <w:tcMar>
              <w:top w:w="0" w:type="dxa"/>
              <w:left w:w="0" w:type="dxa"/>
              <w:bottom w:w="0" w:type="dxa"/>
              <w:right w:w="0" w:type="dxa"/>
            </w:tcMar>
          </w:tcPr>
          <w:p w14:paraId="6E15A167" w14:textId="77777777" w:rsidR="00620061" w:rsidRPr="00216F75" w:rsidRDefault="00620061">
            <w:pPr>
              <w:jc w:val="center"/>
              <w:rPr>
                <w:rFonts w:eastAsia="Montserrat" w:cs="Arial"/>
                <w:szCs w:val="22"/>
              </w:rPr>
            </w:pPr>
            <w:r w:rsidRPr="00216F75">
              <w:rPr>
                <w:rFonts w:cs="Arial"/>
                <w:szCs w:val="22"/>
              </w:rPr>
              <w:t>-9.8</w:t>
            </w:r>
          </w:p>
        </w:tc>
        <w:tc>
          <w:tcPr>
            <w:tcW w:w="1320" w:type="dxa"/>
            <w:tcMar>
              <w:top w:w="0" w:type="dxa"/>
              <w:left w:w="0" w:type="dxa"/>
              <w:bottom w:w="0" w:type="dxa"/>
              <w:right w:w="0" w:type="dxa"/>
            </w:tcMar>
          </w:tcPr>
          <w:p w14:paraId="4EDDD012" w14:textId="77777777" w:rsidR="00620061" w:rsidRPr="00216F75" w:rsidRDefault="00620061">
            <w:pPr>
              <w:jc w:val="center"/>
              <w:rPr>
                <w:rFonts w:eastAsia="Montserrat" w:cs="Arial"/>
                <w:szCs w:val="22"/>
              </w:rPr>
            </w:pPr>
            <w:r w:rsidRPr="00216F75">
              <w:rPr>
                <w:rFonts w:cs="Arial"/>
                <w:szCs w:val="22"/>
              </w:rPr>
              <w:t>0.58</w:t>
            </w:r>
          </w:p>
        </w:tc>
        <w:tc>
          <w:tcPr>
            <w:tcW w:w="1125" w:type="dxa"/>
            <w:tcMar>
              <w:top w:w="0" w:type="dxa"/>
              <w:left w:w="0" w:type="dxa"/>
              <w:bottom w:w="0" w:type="dxa"/>
              <w:right w:w="0" w:type="dxa"/>
            </w:tcMar>
          </w:tcPr>
          <w:p w14:paraId="2E8432DC" w14:textId="77777777" w:rsidR="00620061" w:rsidRPr="00216F75" w:rsidRDefault="00620061">
            <w:pPr>
              <w:jc w:val="center"/>
              <w:rPr>
                <w:rFonts w:eastAsia="Montserrat" w:cs="Arial"/>
                <w:szCs w:val="22"/>
              </w:rPr>
            </w:pPr>
            <w:r w:rsidRPr="00216F75">
              <w:rPr>
                <w:rFonts w:cs="Arial"/>
                <w:szCs w:val="22"/>
              </w:rPr>
              <w:t>0.061</w:t>
            </w:r>
          </w:p>
        </w:tc>
        <w:tc>
          <w:tcPr>
            <w:tcW w:w="1420" w:type="dxa"/>
            <w:tcMar>
              <w:top w:w="0" w:type="dxa"/>
              <w:left w:w="0" w:type="dxa"/>
              <w:bottom w:w="0" w:type="dxa"/>
              <w:right w:w="0" w:type="dxa"/>
            </w:tcMar>
          </w:tcPr>
          <w:p w14:paraId="209FE01D" w14:textId="77777777" w:rsidR="00620061" w:rsidRPr="00216F75" w:rsidRDefault="00620061">
            <w:pPr>
              <w:jc w:val="center"/>
              <w:rPr>
                <w:rFonts w:eastAsia="Montserrat" w:cs="Arial"/>
                <w:szCs w:val="22"/>
              </w:rPr>
            </w:pPr>
            <w:r w:rsidRPr="00216F75">
              <w:rPr>
                <w:rFonts w:cs="Arial"/>
                <w:szCs w:val="22"/>
              </w:rPr>
              <w:t>24.2</w:t>
            </w:r>
          </w:p>
        </w:tc>
      </w:tr>
      <w:tr w:rsidR="00620061" w:rsidRPr="00216F75" w14:paraId="50A8C0C7" w14:textId="77777777">
        <w:trPr>
          <w:trHeight w:val="300"/>
        </w:trPr>
        <w:tc>
          <w:tcPr>
            <w:tcW w:w="4560" w:type="dxa"/>
            <w:vAlign w:val="bottom"/>
          </w:tcPr>
          <w:p w14:paraId="424E8E53" w14:textId="77777777" w:rsidR="00620061" w:rsidRPr="00216F75" w:rsidRDefault="00620061" w:rsidP="00E3192D">
            <w:pPr>
              <w:jc w:val="left"/>
              <w:rPr>
                <w:rFonts w:eastAsia="Montserrat" w:cs="Arial"/>
                <w:color w:val="000000"/>
                <w:szCs w:val="22"/>
              </w:rPr>
            </w:pPr>
            <w:r w:rsidRPr="00216F75">
              <w:rPr>
                <w:rFonts w:eastAsia="Montserrat" w:cs="Arial"/>
                <w:color w:val="000000"/>
                <w:szCs w:val="22"/>
              </w:rPr>
              <w:t>Pellets</w:t>
            </w:r>
          </w:p>
        </w:tc>
        <w:tc>
          <w:tcPr>
            <w:tcW w:w="1020" w:type="dxa"/>
            <w:tcMar>
              <w:top w:w="0" w:type="dxa"/>
              <w:left w:w="0" w:type="dxa"/>
              <w:bottom w:w="0" w:type="dxa"/>
              <w:right w:w="0" w:type="dxa"/>
            </w:tcMar>
          </w:tcPr>
          <w:p w14:paraId="5AB6E396" w14:textId="77777777" w:rsidR="00620061" w:rsidRPr="00216F75" w:rsidRDefault="00620061">
            <w:pPr>
              <w:jc w:val="center"/>
              <w:rPr>
                <w:rFonts w:eastAsia="Montserrat" w:cs="Arial"/>
                <w:szCs w:val="22"/>
              </w:rPr>
            </w:pPr>
            <w:r w:rsidRPr="00216F75">
              <w:rPr>
                <w:rFonts w:cs="Arial"/>
                <w:szCs w:val="22"/>
              </w:rPr>
              <w:t>4.6</w:t>
            </w:r>
          </w:p>
        </w:tc>
        <w:tc>
          <w:tcPr>
            <w:tcW w:w="1320" w:type="dxa"/>
            <w:tcMar>
              <w:top w:w="0" w:type="dxa"/>
              <w:left w:w="0" w:type="dxa"/>
              <w:bottom w:w="0" w:type="dxa"/>
              <w:right w:w="0" w:type="dxa"/>
            </w:tcMar>
          </w:tcPr>
          <w:p w14:paraId="3545DEBD" w14:textId="77777777" w:rsidR="00620061" w:rsidRPr="00216F75" w:rsidRDefault="00620061">
            <w:pPr>
              <w:jc w:val="center"/>
              <w:rPr>
                <w:rFonts w:eastAsia="Montserrat" w:cs="Arial"/>
                <w:szCs w:val="22"/>
              </w:rPr>
            </w:pPr>
            <w:r w:rsidRPr="00216F75">
              <w:rPr>
                <w:rFonts w:cs="Arial"/>
                <w:szCs w:val="22"/>
              </w:rPr>
              <w:t>0.0085</w:t>
            </w:r>
          </w:p>
        </w:tc>
        <w:tc>
          <w:tcPr>
            <w:tcW w:w="1125" w:type="dxa"/>
            <w:tcMar>
              <w:top w:w="0" w:type="dxa"/>
              <w:left w:w="0" w:type="dxa"/>
              <w:bottom w:w="0" w:type="dxa"/>
              <w:right w:w="0" w:type="dxa"/>
            </w:tcMar>
          </w:tcPr>
          <w:p w14:paraId="547ECC0E" w14:textId="77777777" w:rsidR="00620061" w:rsidRPr="00216F75" w:rsidRDefault="00620061">
            <w:pPr>
              <w:jc w:val="center"/>
              <w:rPr>
                <w:rFonts w:eastAsia="Montserrat" w:cs="Arial"/>
                <w:szCs w:val="22"/>
              </w:rPr>
            </w:pPr>
            <w:r w:rsidRPr="00216F75">
              <w:rPr>
                <w:rFonts w:cs="Arial"/>
                <w:szCs w:val="22"/>
              </w:rPr>
              <w:t>0.0014</w:t>
            </w:r>
          </w:p>
        </w:tc>
        <w:tc>
          <w:tcPr>
            <w:tcW w:w="1420" w:type="dxa"/>
            <w:tcMar>
              <w:top w:w="0" w:type="dxa"/>
              <w:left w:w="0" w:type="dxa"/>
              <w:bottom w:w="0" w:type="dxa"/>
              <w:right w:w="0" w:type="dxa"/>
            </w:tcMar>
          </w:tcPr>
          <w:p w14:paraId="1F67154C" w14:textId="77777777" w:rsidR="00620061" w:rsidRPr="00216F75" w:rsidRDefault="00620061">
            <w:pPr>
              <w:jc w:val="center"/>
              <w:rPr>
                <w:rFonts w:eastAsia="Montserrat" w:cs="Arial"/>
                <w:szCs w:val="22"/>
              </w:rPr>
            </w:pPr>
            <w:r w:rsidRPr="00216F75">
              <w:rPr>
                <w:rFonts w:cs="Arial"/>
                <w:szCs w:val="22"/>
              </w:rPr>
              <w:t>5.2</w:t>
            </w:r>
          </w:p>
        </w:tc>
      </w:tr>
      <w:tr w:rsidR="00620061" w:rsidRPr="00216F75" w14:paraId="04498E5B" w14:textId="77777777">
        <w:trPr>
          <w:trHeight w:val="850"/>
        </w:trPr>
        <w:tc>
          <w:tcPr>
            <w:tcW w:w="4560" w:type="dxa"/>
            <w:vAlign w:val="bottom"/>
          </w:tcPr>
          <w:p w14:paraId="74F866A9" w14:textId="77777777" w:rsidR="00620061" w:rsidRPr="00216F75" w:rsidRDefault="00000000" w:rsidP="00E3192D">
            <w:pPr>
              <w:jc w:val="left"/>
              <w:rPr>
                <w:rFonts w:eastAsia="Montserrat" w:cs="Arial"/>
                <w:color w:val="000000"/>
                <w:szCs w:val="22"/>
                <w:vertAlign w:val="superscript"/>
              </w:rPr>
            </w:pPr>
            <w:sdt>
              <w:sdtPr>
                <w:rPr>
                  <w:rFonts w:cs="Arial"/>
                  <w:szCs w:val="22"/>
                </w:rPr>
                <w:tag w:val="goog_rdk_214"/>
                <w:id w:val="1851675949"/>
              </w:sdtPr>
              <w:sdtContent/>
            </w:sdt>
            <w:sdt>
              <w:sdtPr>
                <w:rPr>
                  <w:rFonts w:cs="Arial"/>
                  <w:szCs w:val="22"/>
                </w:rPr>
                <w:tag w:val="goog_rdk_215"/>
                <w:id w:val="-135877900"/>
              </w:sdtPr>
              <w:sdtContent/>
            </w:sdt>
            <w:sdt>
              <w:sdtPr>
                <w:rPr>
                  <w:rFonts w:cs="Arial"/>
                  <w:szCs w:val="22"/>
                </w:rPr>
                <w:tag w:val="goog_rdk_216"/>
                <w:id w:val="-1073968974"/>
              </w:sdtPr>
              <w:sdtContent/>
            </w:sdt>
            <w:r w:rsidR="00620061" w:rsidRPr="00216F75">
              <w:rPr>
                <w:rFonts w:eastAsia="Montserrat" w:cs="Arial"/>
                <w:color w:val="000000"/>
                <w:szCs w:val="22"/>
              </w:rPr>
              <w:t xml:space="preserve">Charcoal (traditional kiln assuming 6:1 conversion) </w:t>
            </w:r>
            <w:r w:rsidR="00620061" w:rsidRPr="00216F75">
              <w:rPr>
                <w:rFonts w:eastAsia="Montserrat" w:cs="Arial"/>
                <w:color w:val="000000"/>
                <w:szCs w:val="22"/>
                <w:vertAlign w:val="superscript"/>
              </w:rPr>
              <w:t>f, 1-6</w:t>
            </w:r>
          </w:p>
        </w:tc>
        <w:tc>
          <w:tcPr>
            <w:tcW w:w="1020" w:type="dxa"/>
          </w:tcPr>
          <w:p w14:paraId="78874F76" w14:textId="77777777" w:rsidR="00620061" w:rsidRPr="00216F75" w:rsidRDefault="00620061">
            <w:pPr>
              <w:jc w:val="center"/>
              <w:rPr>
                <w:rFonts w:eastAsia="Montserrat" w:cs="Arial"/>
                <w:color w:val="000000"/>
                <w:szCs w:val="22"/>
              </w:rPr>
            </w:pPr>
            <w:r w:rsidRPr="00216F75">
              <w:rPr>
                <w:rFonts w:cs="Arial"/>
                <w:szCs w:val="22"/>
              </w:rPr>
              <w:t>130</w:t>
            </w:r>
          </w:p>
        </w:tc>
        <w:tc>
          <w:tcPr>
            <w:tcW w:w="1320" w:type="dxa"/>
          </w:tcPr>
          <w:p w14:paraId="7A005B9F" w14:textId="77777777" w:rsidR="00620061" w:rsidRPr="00216F75" w:rsidRDefault="00620061">
            <w:pPr>
              <w:jc w:val="center"/>
              <w:rPr>
                <w:rFonts w:eastAsia="Montserrat" w:cs="Arial"/>
                <w:color w:val="000000"/>
                <w:szCs w:val="22"/>
              </w:rPr>
            </w:pPr>
            <w:r w:rsidRPr="00216F75">
              <w:rPr>
                <w:rFonts w:cs="Arial"/>
                <w:szCs w:val="22"/>
              </w:rPr>
              <w:t>3.0</w:t>
            </w:r>
          </w:p>
        </w:tc>
        <w:tc>
          <w:tcPr>
            <w:tcW w:w="1125" w:type="dxa"/>
          </w:tcPr>
          <w:p w14:paraId="7AC7E968" w14:textId="77777777" w:rsidR="00620061" w:rsidRPr="00216F75" w:rsidRDefault="00620061">
            <w:pPr>
              <w:jc w:val="center"/>
              <w:rPr>
                <w:rFonts w:eastAsia="Montserrat" w:cs="Arial"/>
                <w:color w:val="000000"/>
                <w:szCs w:val="22"/>
              </w:rPr>
            </w:pPr>
            <w:r w:rsidRPr="00216F75">
              <w:rPr>
                <w:rFonts w:cs="Arial"/>
                <w:szCs w:val="22"/>
              </w:rPr>
              <w:t>0.005</w:t>
            </w:r>
          </w:p>
        </w:tc>
        <w:tc>
          <w:tcPr>
            <w:tcW w:w="1420" w:type="dxa"/>
            <w:vMerge w:val="restart"/>
          </w:tcPr>
          <w:p w14:paraId="6252245A" w14:textId="77777777" w:rsidR="00620061" w:rsidRPr="00216F75" w:rsidRDefault="00620061" w:rsidP="00E3192D">
            <w:pPr>
              <w:jc w:val="left"/>
              <w:rPr>
                <w:rFonts w:eastAsia="Montserrat" w:cs="Arial"/>
                <w:color w:val="000000"/>
                <w:szCs w:val="22"/>
              </w:rPr>
            </w:pPr>
            <w:r w:rsidRPr="00216F75">
              <w:rPr>
                <w:rFonts w:eastAsia="Montserrat" w:cs="Arial"/>
                <w:color w:val="000000"/>
                <w:szCs w:val="22"/>
              </w:rPr>
              <w:t>CO</w:t>
            </w:r>
            <w:r w:rsidRPr="00216F75">
              <w:rPr>
                <w:rFonts w:eastAsia="Montserrat" w:cs="Arial"/>
                <w:color w:val="000000"/>
                <w:szCs w:val="22"/>
                <w:vertAlign w:val="subscript"/>
              </w:rPr>
              <w:t>2</w:t>
            </w:r>
            <w:r w:rsidRPr="00216F75">
              <w:rPr>
                <w:rFonts w:eastAsia="Montserrat" w:cs="Arial"/>
                <w:color w:val="000000"/>
                <w:szCs w:val="22"/>
              </w:rPr>
              <w:t xml:space="preserve"> must be multiplied by </w:t>
            </w:r>
            <w:proofErr w:type="spellStart"/>
            <w:r w:rsidRPr="00216F75">
              <w:rPr>
                <w:rFonts w:eastAsia="Montserrat" w:cs="Arial"/>
                <w:color w:val="000000"/>
                <w:szCs w:val="22"/>
              </w:rPr>
              <w:t>fNRB</w:t>
            </w:r>
            <w:proofErr w:type="spellEnd"/>
            <w:r w:rsidRPr="00216F75">
              <w:rPr>
                <w:rFonts w:eastAsia="Montserrat" w:cs="Arial"/>
                <w:color w:val="000000"/>
                <w:szCs w:val="22"/>
              </w:rPr>
              <w:t xml:space="preserve"> before adding up to CO</w:t>
            </w:r>
            <w:r w:rsidRPr="00216F75">
              <w:rPr>
                <w:rFonts w:eastAsia="Montserrat" w:cs="Arial"/>
                <w:color w:val="000000"/>
                <w:szCs w:val="22"/>
                <w:vertAlign w:val="subscript"/>
              </w:rPr>
              <w:t>2</w:t>
            </w:r>
            <w:r w:rsidRPr="00216F75">
              <w:rPr>
                <w:rFonts w:eastAsia="Montserrat" w:cs="Arial"/>
                <w:color w:val="000000"/>
                <w:szCs w:val="22"/>
              </w:rPr>
              <w:t>e</w:t>
            </w:r>
          </w:p>
        </w:tc>
      </w:tr>
      <w:tr w:rsidR="00620061" w:rsidRPr="00216F75" w14:paraId="70065D62" w14:textId="77777777">
        <w:trPr>
          <w:trHeight w:val="300"/>
        </w:trPr>
        <w:tc>
          <w:tcPr>
            <w:tcW w:w="4560" w:type="dxa"/>
            <w:tcBorders>
              <w:top w:val="single" w:sz="4" w:space="0" w:color="BFBFBF"/>
              <w:left w:val="single" w:sz="4" w:space="0" w:color="BFBFBF"/>
              <w:bottom w:val="single" w:sz="4" w:space="0" w:color="BFBFBF"/>
              <w:right w:val="single" w:sz="4" w:space="0" w:color="BFBFBF"/>
            </w:tcBorders>
            <w:vAlign w:val="bottom"/>
          </w:tcPr>
          <w:p w14:paraId="14E6DDA0" w14:textId="77777777" w:rsidR="00620061" w:rsidRPr="00216F75" w:rsidRDefault="00000000" w:rsidP="00E3192D">
            <w:pPr>
              <w:jc w:val="left"/>
              <w:rPr>
                <w:rFonts w:cs="Arial"/>
                <w:szCs w:val="22"/>
              </w:rPr>
            </w:pPr>
            <w:sdt>
              <w:sdtPr>
                <w:rPr>
                  <w:rFonts w:cs="Arial"/>
                  <w:szCs w:val="22"/>
                </w:rPr>
                <w:tag w:val="goog_rdk_214"/>
                <w:id w:val="170075044"/>
              </w:sdtPr>
              <w:sdtContent/>
            </w:sdt>
            <w:sdt>
              <w:sdtPr>
                <w:rPr>
                  <w:rFonts w:cs="Arial"/>
                  <w:szCs w:val="22"/>
                </w:rPr>
                <w:tag w:val="goog_rdk_215"/>
                <w:id w:val="-1860651248"/>
              </w:sdtPr>
              <w:sdtContent/>
            </w:sdt>
            <w:sdt>
              <w:sdtPr>
                <w:rPr>
                  <w:rFonts w:cs="Arial"/>
                  <w:szCs w:val="22"/>
                </w:rPr>
                <w:tag w:val="goog_rdk_216"/>
                <w:id w:val="1464309463"/>
              </w:sdtPr>
              <w:sdtContent/>
            </w:sdt>
            <w:r w:rsidR="00620061" w:rsidRPr="00216F75">
              <w:rPr>
                <w:rFonts w:cs="Arial"/>
                <w:szCs w:val="22"/>
              </w:rPr>
              <w:t xml:space="preserve">Charcoal (traditional kiln assuming 4:1 </w:t>
            </w:r>
            <w:proofErr w:type="gramStart"/>
            <w:r w:rsidR="00620061" w:rsidRPr="00216F75">
              <w:rPr>
                <w:rFonts w:cs="Arial"/>
                <w:szCs w:val="22"/>
              </w:rPr>
              <w:t>conversion)</w:t>
            </w:r>
            <w:r w:rsidR="00620061" w:rsidRPr="00216F75">
              <w:rPr>
                <w:rFonts w:cs="Arial"/>
                <w:szCs w:val="22"/>
                <w:vertAlign w:val="superscript"/>
              </w:rPr>
              <w:t>f</w:t>
            </w:r>
            <w:proofErr w:type="gramEnd"/>
          </w:p>
        </w:tc>
        <w:tc>
          <w:tcPr>
            <w:tcW w:w="1020" w:type="dxa"/>
            <w:tcBorders>
              <w:top w:val="single" w:sz="4" w:space="0" w:color="BFBFBF"/>
              <w:left w:val="single" w:sz="4" w:space="0" w:color="BFBFBF"/>
              <w:bottom w:val="single" w:sz="4" w:space="0" w:color="BFBFBF"/>
              <w:right w:val="single" w:sz="4" w:space="0" w:color="BFBFBF"/>
            </w:tcBorders>
          </w:tcPr>
          <w:p w14:paraId="77D10F2D" w14:textId="77777777" w:rsidR="00620061" w:rsidRPr="00216F75" w:rsidRDefault="00620061">
            <w:pPr>
              <w:jc w:val="center"/>
              <w:rPr>
                <w:rFonts w:cs="Arial"/>
                <w:szCs w:val="22"/>
              </w:rPr>
            </w:pPr>
            <w:r w:rsidRPr="00216F75">
              <w:rPr>
                <w:rFonts w:cs="Arial"/>
                <w:szCs w:val="22"/>
              </w:rPr>
              <w:t>72</w:t>
            </w:r>
          </w:p>
        </w:tc>
        <w:tc>
          <w:tcPr>
            <w:tcW w:w="1320" w:type="dxa"/>
            <w:tcBorders>
              <w:top w:val="single" w:sz="4" w:space="0" w:color="BFBFBF"/>
              <w:left w:val="single" w:sz="4" w:space="0" w:color="BFBFBF"/>
              <w:bottom w:val="single" w:sz="4" w:space="0" w:color="BFBFBF"/>
              <w:right w:val="single" w:sz="4" w:space="0" w:color="BFBFBF"/>
            </w:tcBorders>
          </w:tcPr>
          <w:p w14:paraId="2A401933" w14:textId="77777777" w:rsidR="00620061" w:rsidRPr="00216F75" w:rsidRDefault="00620061">
            <w:pPr>
              <w:jc w:val="center"/>
              <w:rPr>
                <w:rFonts w:cs="Arial"/>
                <w:szCs w:val="22"/>
              </w:rPr>
            </w:pPr>
            <w:r w:rsidRPr="00216F75">
              <w:rPr>
                <w:rFonts w:cs="Arial"/>
                <w:szCs w:val="22"/>
              </w:rPr>
              <w:t>1.7</w:t>
            </w:r>
          </w:p>
        </w:tc>
        <w:tc>
          <w:tcPr>
            <w:tcW w:w="1125" w:type="dxa"/>
            <w:tcBorders>
              <w:top w:val="single" w:sz="4" w:space="0" w:color="BFBFBF"/>
              <w:left w:val="single" w:sz="4" w:space="0" w:color="BFBFBF"/>
              <w:bottom w:val="single" w:sz="4" w:space="0" w:color="BFBFBF"/>
            </w:tcBorders>
          </w:tcPr>
          <w:p w14:paraId="78138A12" w14:textId="77777777" w:rsidR="00620061" w:rsidRPr="00216F75" w:rsidRDefault="00620061">
            <w:pPr>
              <w:jc w:val="center"/>
              <w:rPr>
                <w:rFonts w:cs="Arial"/>
                <w:szCs w:val="22"/>
              </w:rPr>
            </w:pPr>
            <w:r w:rsidRPr="00216F75">
              <w:rPr>
                <w:rFonts w:cs="Arial"/>
                <w:szCs w:val="22"/>
              </w:rPr>
              <w:t>0.005</w:t>
            </w:r>
          </w:p>
        </w:tc>
        <w:tc>
          <w:tcPr>
            <w:tcW w:w="1420" w:type="dxa"/>
            <w:vMerge/>
            <w:tcBorders>
              <w:bottom w:val="single" w:sz="4" w:space="0" w:color="BFBFBF"/>
            </w:tcBorders>
          </w:tcPr>
          <w:p w14:paraId="20A4DEDC" w14:textId="77777777" w:rsidR="00620061" w:rsidRPr="00216F75" w:rsidRDefault="00620061">
            <w:pPr>
              <w:jc w:val="center"/>
              <w:rPr>
                <w:rFonts w:eastAsia="Montserrat" w:cs="Arial"/>
                <w:color w:val="000000"/>
                <w:szCs w:val="22"/>
              </w:rPr>
            </w:pPr>
          </w:p>
        </w:tc>
      </w:tr>
    </w:tbl>
    <w:p w14:paraId="3F397309" w14:textId="77777777" w:rsidR="00620061" w:rsidRPr="00216F75" w:rsidRDefault="00620061" w:rsidP="00620061">
      <w:pPr>
        <w:rPr>
          <w:rFonts w:eastAsia="Montserrat" w:cs="Arial"/>
          <w:szCs w:val="22"/>
        </w:rPr>
      </w:pPr>
    </w:p>
    <w:p w14:paraId="19FEF29E" w14:textId="77777777" w:rsidR="00620061" w:rsidRPr="00216F75" w:rsidRDefault="00620061" w:rsidP="00620061">
      <w:pPr>
        <w:spacing w:line="324" w:lineRule="auto"/>
        <w:rPr>
          <w:rFonts w:eastAsia="Arial" w:cs="Arial"/>
          <w:color w:val="000000" w:themeColor="text1"/>
          <w:szCs w:val="22"/>
        </w:rPr>
      </w:pPr>
      <w:r w:rsidRPr="00216F75">
        <w:rPr>
          <w:rFonts w:eastAsia="Arial" w:cs="Arial"/>
          <w:color w:val="000000" w:themeColor="text1"/>
          <w:szCs w:val="22"/>
        </w:rPr>
        <w:t xml:space="preserve">Project proponents must use the emissions factors for the fuels provided here. These values come from </w:t>
      </w:r>
      <w:hyperlink r:id="rId69" w:history="1">
        <w:proofErr w:type="spellStart"/>
        <w:r w:rsidRPr="00216F75">
          <w:rPr>
            <w:rStyle w:val="Hyperlink"/>
            <w:rFonts w:eastAsia="Arial" w:cs="Arial"/>
            <w:szCs w:val="22"/>
          </w:rPr>
          <w:t>Floess</w:t>
        </w:r>
        <w:proofErr w:type="spellEnd"/>
        <w:r w:rsidRPr="00216F75">
          <w:rPr>
            <w:rStyle w:val="Hyperlink"/>
            <w:rFonts w:eastAsia="Arial" w:cs="Arial"/>
            <w:szCs w:val="22"/>
          </w:rPr>
          <w:t xml:space="preserve"> et al. 2023</w:t>
        </w:r>
      </w:hyperlink>
      <w:r w:rsidRPr="00216F75">
        <w:rPr>
          <w:rFonts w:eastAsia="Arial" w:cs="Arial"/>
          <w:color w:val="000000" w:themeColor="text1"/>
          <w:szCs w:val="22"/>
        </w:rPr>
        <w:t>. For pellet fuels, which can have widely varying feedstocks, project proponents may estimate their own upstream emissions factors or justify values through published literature.</w:t>
      </w:r>
    </w:p>
    <w:p w14:paraId="64AE62C6" w14:textId="77777777" w:rsidR="00620061" w:rsidRPr="00216F75" w:rsidRDefault="00620061" w:rsidP="00620061">
      <w:pPr>
        <w:spacing w:line="324" w:lineRule="auto"/>
        <w:rPr>
          <w:rFonts w:eastAsia="Arial" w:cs="Arial"/>
          <w:color w:val="000000" w:themeColor="text1"/>
          <w:szCs w:val="22"/>
        </w:rPr>
      </w:pPr>
    </w:p>
    <w:p w14:paraId="11103BCC" w14:textId="77777777" w:rsidR="00620061" w:rsidRPr="00216F75" w:rsidRDefault="00620061" w:rsidP="00620061">
      <w:pPr>
        <w:spacing w:line="324" w:lineRule="auto"/>
        <w:rPr>
          <w:rFonts w:eastAsia="Montserrat" w:cs="Arial"/>
          <w:szCs w:val="22"/>
        </w:rPr>
      </w:pPr>
      <w:r w:rsidRPr="00216F75">
        <w:rPr>
          <w:rFonts w:eastAsia="Montserrat" w:cs="Arial"/>
          <w:szCs w:val="22"/>
        </w:rPr>
        <w:t>Global Warming Potentials (GWPs) from the IPCC Sixth Assessment Report (AR6.4) should be multiplied by the emission factors to convert them to CO</w:t>
      </w:r>
      <w:r w:rsidRPr="00216F75">
        <w:rPr>
          <w:rFonts w:eastAsia="Montserrat" w:cs="Arial"/>
          <w:szCs w:val="22"/>
          <w:vertAlign w:val="subscript"/>
        </w:rPr>
        <w:t>2</w:t>
      </w:r>
      <w:r w:rsidRPr="00216F75">
        <w:rPr>
          <w:rFonts w:eastAsia="Montserrat" w:cs="Arial"/>
          <w:szCs w:val="22"/>
        </w:rPr>
        <w:t>e as follows:</w:t>
      </w:r>
    </w:p>
    <w:p w14:paraId="36D2A9DF" w14:textId="77777777" w:rsidR="00620061" w:rsidRPr="00216F75" w:rsidRDefault="00620061" w:rsidP="00620061">
      <w:pPr>
        <w:numPr>
          <w:ilvl w:val="1"/>
          <w:numId w:val="55"/>
        </w:numPr>
        <w:spacing w:line="324" w:lineRule="auto"/>
        <w:ind w:left="1260"/>
        <w:jc w:val="left"/>
        <w:rPr>
          <w:rFonts w:eastAsia="Montserrat" w:cs="Arial"/>
          <w:szCs w:val="22"/>
        </w:rPr>
      </w:pPr>
      <w:r w:rsidRPr="00216F75">
        <w:rPr>
          <w:rFonts w:eastAsia="Montserrat" w:cs="Arial"/>
          <w:szCs w:val="22"/>
        </w:rPr>
        <w:t>CO</w:t>
      </w:r>
      <w:r w:rsidRPr="00216F75">
        <w:rPr>
          <w:rFonts w:eastAsia="Montserrat" w:cs="Arial"/>
          <w:szCs w:val="22"/>
          <w:vertAlign w:val="subscript"/>
        </w:rPr>
        <w:t>2</w:t>
      </w:r>
      <w:r w:rsidRPr="00216F75">
        <w:rPr>
          <w:rFonts w:eastAsia="Montserrat" w:cs="Arial"/>
          <w:szCs w:val="22"/>
        </w:rPr>
        <w:t>: 1</w:t>
      </w:r>
    </w:p>
    <w:p w14:paraId="4ACBA2A8" w14:textId="77777777" w:rsidR="00620061" w:rsidRPr="00216F75" w:rsidRDefault="00620061" w:rsidP="00620061">
      <w:pPr>
        <w:numPr>
          <w:ilvl w:val="1"/>
          <w:numId w:val="55"/>
        </w:numPr>
        <w:spacing w:line="324" w:lineRule="auto"/>
        <w:ind w:left="1260"/>
        <w:jc w:val="left"/>
        <w:rPr>
          <w:rFonts w:eastAsia="Montserrat" w:cs="Arial"/>
          <w:szCs w:val="22"/>
        </w:rPr>
      </w:pPr>
      <w:r w:rsidRPr="00216F75">
        <w:rPr>
          <w:rFonts w:eastAsia="Montserrat" w:cs="Arial"/>
          <w:szCs w:val="22"/>
        </w:rPr>
        <w:t>CH</w:t>
      </w:r>
      <w:r w:rsidRPr="00216F75">
        <w:rPr>
          <w:rFonts w:eastAsia="Montserrat" w:cs="Arial"/>
          <w:szCs w:val="22"/>
          <w:vertAlign w:val="subscript"/>
        </w:rPr>
        <w:t>4</w:t>
      </w:r>
      <w:r w:rsidRPr="00216F75">
        <w:rPr>
          <w:rFonts w:eastAsia="Montserrat" w:cs="Arial"/>
          <w:szCs w:val="22"/>
        </w:rPr>
        <w:t xml:space="preserve"> fossil fuels: 29.8</w:t>
      </w:r>
    </w:p>
    <w:p w14:paraId="012BEE49" w14:textId="77777777" w:rsidR="00620061" w:rsidRPr="00216F75" w:rsidRDefault="00620061" w:rsidP="00620061">
      <w:pPr>
        <w:numPr>
          <w:ilvl w:val="1"/>
          <w:numId w:val="55"/>
        </w:numPr>
        <w:spacing w:line="324" w:lineRule="auto"/>
        <w:ind w:left="1260"/>
        <w:jc w:val="left"/>
        <w:rPr>
          <w:rFonts w:eastAsia="Montserrat" w:cs="Arial"/>
          <w:szCs w:val="22"/>
        </w:rPr>
      </w:pPr>
      <w:r w:rsidRPr="00216F75">
        <w:rPr>
          <w:rFonts w:eastAsia="Montserrat" w:cs="Arial"/>
          <w:szCs w:val="22"/>
        </w:rPr>
        <w:t>CH</w:t>
      </w:r>
      <w:r w:rsidRPr="00216F75">
        <w:rPr>
          <w:rFonts w:eastAsia="Montserrat" w:cs="Arial"/>
          <w:szCs w:val="22"/>
          <w:vertAlign w:val="subscript"/>
        </w:rPr>
        <w:t>4</w:t>
      </w:r>
      <w:r w:rsidRPr="00216F75">
        <w:rPr>
          <w:rFonts w:eastAsia="Montserrat" w:cs="Arial"/>
          <w:szCs w:val="22"/>
        </w:rPr>
        <w:t xml:space="preserve"> non fossil fuels: 27.2</w:t>
      </w:r>
    </w:p>
    <w:p w14:paraId="0D61258A" w14:textId="77777777" w:rsidR="00620061" w:rsidRPr="00216F75" w:rsidRDefault="00620061" w:rsidP="00620061">
      <w:pPr>
        <w:numPr>
          <w:ilvl w:val="1"/>
          <w:numId w:val="55"/>
        </w:numPr>
        <w:spacing w:line="324" w:lineRule="auto"/>
        <w:ind w:left="1260"/>
        <w:jc w:val="left"/>
        <w:rPr>
          <w:rFonts w:eastAsia="Montserrat" w:cs="Arial"/>
          <w:szCs w:val="22"/>
        </w:rPr>
      </w:pPr>
      <w:r w:rsidRPr="00216F75">
        <w:rPr>
          <w:rFonts w:eastAsia="Montserrat" w:cs="Arial"/>
          <w:szCs w:val="22"/>
        </w:rPr>
        <w:t>N</w:t>
      </w:r>
      <w:r w:rsidRPr="00216F75">
        <w:rPr>
          <w:rFonts w:eastAsia="Montserrat" w:cs="Arial"/>
          <w:szCs w:val="22"/>
          <w:vertAlign w:val="subscript"/>
        </w:rPr>
        <w:t>2</w:t>
      </w:r>
      <w:r w:rsidRPr="00216F75">
        <w:rPr>
          <w:rFonts w:eastAsia="Montserrat" w:cs="Arial"/>
          <w:szCs w:val="22"/>
        </w:rPr>
        <w:t>O: 273</w:t>
      </w:r>
    </w:p>
    <w:p w14:paraId="62E9C964" w14:textId="77777777" w:rsidR="00620061" w:rsidRPr="00216F75" w:rsidRDefault="00620061" w:rsidP="00620061">
      <w:pPr>
        <w:spacing w:line="324" w:lineRule="auto"/>
        <w:rPr>
          <w:rFonts w:eastAsia="Montserrat" w:cs="Arial"/>
          <w:b/>
          <w:szCs w:val="22"/>
        </w:rPr>
      </w:pPr>
    </w:p>
    <w:p w14:paraId="3DDFF7C1" w14:textId="77777777" w:rsidR="00620061" w:rsidRPr="00216F75" w:rsidRDefault="00620061" w:rsidP="00620061">
      <w:pPr>
        <w:spacing w:line="324" w:lineRule="auto"/>
        <w:rPr>
          <w:rFonts w:eastAsia="Montserrat" w:cs="Arial"/>
          <w:b/>
          <w:szCs w:val="22"/>
        </w:rPr>
      </w:pPr>
      <w:r w:rsidRPr="00216F75">
        <w:rPr>
          <w:rFonts w:eastAsia="Montserrat" w:cs="Arial"/>
          <w:b/>
          <w:szCs w:val="22"/>
        </w:rPr>
        <w:t>Notes:</w:t>
      </w:r>
    </w:p>
    <w:p w14:paraId="543070FE" w14:textId="77777777" w:rsidR="00620061" w:rsidRPr="00216F75" w:rsidRDefault="00620061" w:rsidP="00620061">
      <w:pPr>
        <w:tabs>
          <w:tab w:val="left" w:pos="270"/>
        </w:tabs>
        <w:spacing w:line="324" w:lineRule="auto"/>
        <w:ind w:left="270" w:hanging="270"/>
        <w:rPr>
          <w:rFonts w:eastAsia="Montserrat" w:cs="Arial"/>
          <w:szCs w:val="22"/>
        </w:rPr>
      </w:pPr>
      <w:r w:rsidRPr="00216F75">
        <w:rPr>
          <w:rFonts w:eastAsia="Montserrat" w:cs="Arial"/>
          <w:szCs w:val="22"/>
        </w:rPr>
        <w:t>a)</w:t>
      </w:r>
      <w:r w:rsidRPr="00216F75">
        <w:rPr>
          <w:rFonts w:eastAsia="Montserrat" w:cs="Arial"/>
          <w:szCs w:val="22"/>
        </w:rPr>
        <w:tab/>
        <w:t>Kerosene emissions are based on jet fuel from the GREET model</w:t>
      </w:r>
    </w:p>
    <w:p w14:paraId="616B9DDB" w14:textId="77777777" w:rsidR="00620061" w:rsidRPr="00216F75" w:rsidRDefault="00620061" w:rsidP="00620061">
      <w:pPr>
        <w:tabs>
          <w:tab w:val="left" w:pos="270"/>
        </w:tabs>
        <w:spacing w:line="324" w:lineRule="auto"/>
        <w:ind w:left="270" w:hanging="270"/>
        <w:rPr>
          <w:rFonts w:eastAsia="Montserrat" w:cs="Arial"/>
          <w:szCs w:val="22"/>
        </w:rPr>
      </w:pPr>
      <w:r w:rsidRPr="00216F75">
        <w:rPr>
          <w:rFonts w:eastAsia="Montserrat" w:cs="Arial"/>
          <w:szCs w:val="22"/>
        </w:rPr>
        <w:t>b)</w:t>
      </w:r>
      <w:r w:rsidRPr="00216F75">
        <w:rPr>
          <w:rFonts w:eastAsia="Montserrat" w:cs="Arial"/>
          <w:szCs w:val="22"/>
        </w:rPr>
        <w:tab/>
        <w:t>Combined LPG is a weighted average using the 2021 global input mix, which was 37% crude and 63% natural gas</w:t>
      </w:r>
    </w:p>
    <w:p w14:paraId="7893D5BD" w14:textId="77777777" w:rsidR="00620061" w:rsidRPr="00216F75" w:rsidRDefault="00620061" w:rsidP="00620061">
      <w:pPr>
        <w:tabs>
          <w:tab w:val="left" w:pos="270"/>
        </w:tabs>
        <w:spacing w:line="324" w:lineRule="auto"/>
        <w:ind w:left="270" w:hanging="270"/>
        <w:rPr>
          <w:rFonts w:eastAsia="Montserrat" w:cs="Arial"/>
          <w:szCs w:val="22"/>
        </w:rPr>
      </w:pPr>
      <w:r w:rsidRPr="00216F75">
        <w:rPr>
          <w:rFonts w:eastAsia="Montserrat" w:cs="Arial"/>
          <w:szCs w:val="22"/>
        </w:rPr>
        <w:t>c)</w:t>
      </w:r>
      <w:r w:rsidRPr="00216F75">
        <w:rPr>
          <w:rFonts w:eastAsia="Montserrat" w:cs="Arial"/>
          <w:szCs w:val="22"/>
        </w:rPr>
        <w:tab/>
        <w:t>CO</w:t>
      </w:r>
      <w:r w:rsidRPr="00216F75">
        <w:rPr>
          <w:rFonts w:eastAsia="Montserrat" w:cs="Arial"/>
          <w:szCs w:val="22"/>
          <w:vertAlign w:val="subscript"/>
        </w:rPr>
        <w:t>2</w:t>
      </w:r>
      <w:r w:rsidRPr="00216F75">
        <w:rPr>
          <w:rFonts w:eastAsia="Montserrat" w:cs="Arial"/>
          <w:szCs w:val="22"/>
        </w:rPr>
        <w:t xml:space="preserve"> is negative because it accounts for carbon fixed during plant growth </w:t>
      </w:r>
    </w:p>
    <w:p w14:paraId="5A7BA52D" w14:textId="77777777" w:rsidR="00620061" w:rsidRPr="00216F75" w:rsidRDefault="00620061" w:rsidP="00620061">
      <w:pPr>
        <w:tabs>
          <w:tab w:val="left" w:pos="270"/>
        </w:tabs>
        <w:spacing w:line="324" w:lineRule="auto"/>
        <w:ind w:left="270" w:hanging="270"/>
        <w:rPr>
          <w:rFonts w:eastAsia="Montserrat" w:cs="Arial"/>
          <w:szCs w:val="22"/>
        </w:rPr>
      </w:pPr>
      <w:r w:rsidRPr="00216F75">
        <w:rPr>
          <w:rFonts w:eastAsia="Montserrat" w:cs="Arial"/>
          <w:szCs w:val="22"/>
        </w:rPr>
        <w:t>d)</w:t>
      </w:r>
      <w:r w:rsidRPr="00216F75">
        <w:rPr>
          <w:rFonts w:eastAsia="Montserrat" w:cs="Arial"/>
          <w:szCs w:val="22"/>
        </w:rPr>
        <w:tab/>
        <w:t>CH</w:t>
      </w:r>
      <w:r w:rsidRPr="00216F75">
        <w:rPr>
          <w:rFonts w:eastAsia="Montserrat" w:cs="Arial"/>
          <w:szCs w:val="22"/>
          <w:vertAlign w:val="subscript"/>
        </w:rPr>
        <w:t>4</w:t>
      </w:r>
      <w:r w:rsidRPr="00216F75">
        <w:rPr>
          <w:rFonts w:eastAsia="Montserrat" w:cs="Arial"/>
          <w:szCs w:val="22"/>
        </w:rPr>
        <w:t xml:space="preserve"> emissions are due to field burning, which is common for cane produced in many LMICs</w:t>
      </w:r>
    </w:p>
    <w:p w14:paraId="547C9061" w14:textId="77777777" w:rsidR="00620061" w:rsidRPr="00216F75" w:rsidRDefault="00620061" w:rsidP="00620061">
      <w:pPr>
        <w:tabs>
          <w:tab w:val="left" w:pos="270"/>
        </w:tabs>
        <w:spacing w:line="324" w:lineRule="auto"/>
        <w:ind w:left="270" w:hanging="270"/>
        <w:rPr>
          <w:rFonts w:eastAsia="Montserrat" w:cs="Arial"/>
          <w:szCs w:val="22"/>
        </w:rPr>
      </w:pPr>
      <w:r w:rsidRPr="00216F75">
        <w:rPr>
          <w:rFonts w:eastAsia="Montserrat" w:cs="Arial"/>
          <w:szCs w:val="22"/>
        </w:rPr>
        <w:t>e)</w:t>
      </w:r>
      <w:r w:rsidRPr="00216F75">
        <w:rPr>
          <w:rFonts w:eastAsia="Montserrat" w:cs="Arial"/>
          <w:szCs w:val="22"/>
        </w:rPr>
        <w:tab/>
        <w:t>Life Cycle Assessment impacts are allocated by mass assuming 20% of farm-gate output goes toward ethanol</w:t>
      </w:r>
    </w:p>
    <w:p w14:paraId="49BBBBB2" w14:textId="77777777" w:rsidR="00620061" w:rsidRPr="00216F75" w:rsidRDefault="00620061" w:rsidP="00620061">
      <w:pPr>
        <w:tabs>
          <w:tab w:val="left" w:pos="270"/>
        </w:tabs>
        <w:spacing w:line="324" w:lineRule="auto"/>
        <w:ind w:left="270" w:hanging="270"/>
        <w:rPr>
          <w:rFonts w:eastAsia="Montserrat" w:cs="Arial"/>
          <w:color w:val="222222"/>
          <w:szCs w:val="22"/>
          <w:highlight w:val="white"/>
        </w:rPr>
      </w:pPr>
      <w:r w:rsidRPr="00216F75">
        <w:rPr>
          <w:rFonts w:eastAsia="Montserrat" w:cs="Arial"/>
          <w:szCs w:val="22"/>
        </w:rPr>
        <w:t xml:space="preserve">f)  </w:t>
      </w:r>
      <w:r w:rsidRPr="00216F75">
        <w:rPr>
          <w:rFonts w:eastAsia="Montserrat" w:cs="Arial"/>
          <w:color w:val="222222"/>
          <w:szCs w:val="22"/>
          <w:highlight w:val="white"/>
        </w:rPr>
        <w:t xml:space="preserve">Charcoal production emission factors are taken from six peer-reviewed studies of emissions from traditional kilns. The average conversion rate from those studies is 3.7 tonnes of oven-dry wood per tonne of charcoal. However, those studies were conducted under controlled </w:t>
      </w:r>
      <w:r w:rsidRPr="00216F75">
        <w:rPr>
          <w:rFonts w:eastAsia="Montserrat" w:cs="Arial"/>
          <w:color w:val="222222"/>
          <w:szCs w:val="22"/>
          <w:highlight w:val="white"/>
        </w:rPr>
        <w:lastRenderedPageBreak/>
        <w:t>conditions</w:t>
      </w:r>
      <w:r w:rsidRPr="00216F75">
        <w:rPr>
          <w:rFonts w:eastAsia="Montserrat" w:cs="Arial"/>
          <w:color w:val="222222"/>
          <w:szCs w:val="22"/>
        </w:rPr>
        <w:t>, which tend to yield</w:t>
      </w:r>
      <w:r w:rsidRPr="00216F75">
        <w:rPr>
          <w:rFonts w:eastAsia="Montserrat" w:cs="Arial"/>
          <w:color w:val="222222"/>
          <w:szCs w:val="22"/>
          <w:highlight w:val="white"/>
        </w:rPr>
        <w:t xml:space="preserve"> higher conversion efficiencies than those typically observed in field conditions. </w:t>
      </w:r>
      <w:r w:rsidRPr="00216F75">
        <w:rPr>
          <w:rFonts w:eastAsia="Montserrat" w:cs="Arial"/>
          <w:szCs w:val="22"/>
        </w:rPr>
        <w:t xml:space="preserve">In more industrialized contexts, a charcoal conversion factor 4:1 would be appropriate. However, CLEAR research supports a 6:1 charcoal conversion factor for LMIC contexts, as noted in the Explanation of Decisions document. </w:t>
      </w:r>
      <w:r w:rsidRPr="00216F75">
        <w:rPr>
          <w:rFonts w:eastAsia="Montserrat" w:cs="Arial"/>
          <w:color w:val="222222"/>
          <w:szCs w:val="22"/>
          <w:highlight w:val="white"/>
        </w:rPr>
        <w:t xml:space="preserve">For this methodology, we use a default conversion rate of 6:1 to better reflect conversion efficiencies observed in the field. </w:t>
      </w:r>
      <w:r w:rsidRPr="00216F75">
        <w:rPr>
          <w:rFonts w:eastAsia="Montserrat" w:cs="Arial"/>
          <w:szCs w:val="22"/>
        </w:rPr>
        <w:t xml:space="preserve">This is incorporated into emissions factors here and </w:t>
      </w:r>
      <w:proofErr w:type="spellStart"/>
      <w:r w:rsidRPr="00216F75">
        <w:rPr>
          <w:rFonts w:eastAsia="Montserrat" w:cs="Arial"/>
          <w:szCs w:val="22"/>
        </w:rPr>
        <w:t>fNRB</w:t>
      </w:r>
      <w:proofErr w:type="spellEnd"/>
      <w:r w:rsidRPr="00216F75">
        <w:rPr>
          <w:rFonts w:eastAsia="Montserrat" w:cs="Arial"/>
          <w:szCs w:val="22"/>
        </w:rPr>
        <w:t xml:space="preserve"> calculations. </w:t>
      </w:r>
      <w:r w:rsidRPr="00216F75">
        <w:rPr>
          <w:rFonts w:eastAsia="Montserrat" w:cs="Arial"/>
          <w:color w:val="222222"/>
          <w:szCs w:val="22"/>
          <w:highlight w:val="white"/>
        </w:rPr>
        <w:t xml:space="preserve">Using a rate of 6:1 means that more wood, and therefore more carbon, is required to obtain the same amount of charcoal compared to the controlled studies. This results in higher carbon emissions. Accordingly, we proportionally adjust </w:t>
      </w:r>
      <w:r w:rsidRPr="00216F75">
        <w:rPr>
          <w:rFonts w:eastAsia="Montserrat" w:cs="Arial"/>
          <w:szCs w:val="22"/>
        </w:rPr>
        <w:t>CO</w:t>
      </w:r>
      <w:r w:rsidRPr="00216F75">
        <w:rPr>
          <w:rFonts w:eastAsia="Montserrat" w:cs="Arial"/>
          <w:szCs w:val="22"/>
          <w:vertAlign w:val="subscript"/>
        </w:rPr>
        <w:t>2</w:t>
      </w:r>
      <w:r w:rsidRPr="00216F75">
        <w:rPr>
          <w:rFonts w:eastAsia="Montserrat" w:cs="Arial"/>
          <w:color w:val="222222"/>
          <w:szCs w:val="22"/>
          <w:highlight w:val="white"/>
        </w:rPr>
        <w:t xml:space="preserve"> and </w:t>
      </w:r>
      <w:r w:rsidRPr="00216F75">
        <w:rPr>
          <w:rFonts w:eastAsia="Montserrat" w:cs="Arial"/>
          <w:szCs w:val="22"/>
        </w:rPr>
        <w:t>CH</w:t>
      </w:r>
      <w:r w:rsidRPr="00216F75">
        <w:rPr>
          <w:rFonts w:eastAsia="Montserrat" w:cs="Arial"/>
          <w:szCs w:val="22"/>
          <w:vertAlign w:val="subscript"/>
        </w:rPr>
        <w:t>4</w:t>
      </w:r>
      <w:r w:rsidRPr="00216F75">
        <w:rPr>
          <w:rFonts w:eastAsia="Montserrat" w:cs="Arial"/>
          <w:color w:val="222222"/>
          <w:szCs w:val="22"/>
          <w:highlight w:val="white"/>
        </w:rPr>
        <w:t xml:space="preserve"> emission factors to reflect this increased input, reflected in the table above. </w:t>
      </w:r>
      <w:r w:rsidRPr="00216F75">
        <w:rPr>
          <w:rFonts w:eastAsia="Montserrat" w:cs="Arial"/>
          <w:szCs w:val="22"/>
        </w:rPr>
        <w:t xml:space="preserve">Nonetheless, this table also includes emissions factors based on a 4:1 conversion factor, to enable </w:t>
      </w:r>
      <w:hyperlink r:id="rId70" w:history="1">
        <w:r w:rsidRPr="00216F75">
          <w:rPr>
            <w:rStyle w:val="Hyperlink"/>
            <w:rFonts w:eastAsia="Montserrat" w:cs="Arial"/>
            <w:szCs w:val="22"/>
          </w:rPr>
          <w:t>ICVCM Core Carbon Principles (CCP)</w:t>
        </w:r>
      </w:hyperlink>
      <w:r w:rsidRPr="00216F75">
        <w:rPr>
          <w:rFonts w:eastAsia="Montserrat" w:cs="Arial"/>
          <w:szCs w:val="22"/>
        </w:rPr>
        <w:t xml:space="preserve"> eligibility.</w:t>
      </w:r>
    </w:p>
    <w:p w14:paraId="421C6911" w14:textId="77777777" w:rsidR="00620061" w:rsidRPr="00216F75" w:rsidRDefault="00620061" w:rsidP="00620061">
      <w:pPr>
        <w:tabs>
          <w:tab w:val="left" w:pos="270"/>
        </w:tabs>
        <w:ind w:left="270" w:hanging="270"/>
        <w:rPr>
          <w:rFonts w:eastAsia="Montserrat" w:cs="Arial"/>
          <w:color w:val="222222"/>
          <w:szCs w:val="22"/>
          <w:highlight w:val="white"/>
        </w:rPr>
      </w:pPr>
    </w:p>
    <w:p w14:paraId="56F77D01" w14:textId="77777777" w:rsidR="00620061" w:rsidRPr="00216F75" w:rsidRDefault="00620061" w:rsidP="00620061">
      <w:pPr>
        <w:spacing w:line="324" w:lineRule="auto"/>
        <w:rPr>
          <w:rFonts w:eastAsia="Montserrat" w:cs="Arial"/>
          <w:b/>
          <w:szCs w:val="22"/>
        </w:rPr>
      </w:pPr>
      <w:r w:rsidRPr="00216F75">
        <w:rPr>
          <w:rFonts w:eastAsia="Montserrat" w:cs="Arial"/>
          <w:b/>
          <w:szCs w:val="22"/>
        </w:rPr>
        <w:t xml:space="preserve">Sources: </w:t>
      </w:r>
    </w:p>
    <w:p w14:paraId="6F83624E" w14:textId="77777777" w:rsidR="00620061" w:rsidRPr="00216F75" w:rsidRDefault="00620061" w:rsidP="00620061">
      <w:pPr>
        <w:tabs>
          <w:tab w:val="left" w:pos="720"/>
        </w:tabs>
        <w:spacing w:line="288" w:lineRule="auto"/>
        <w:ind w:left="720" w:hanging="274"/>
        <w:rPr>
          <w:rFonts w:eastAsia="Montserrat" w:cs="Arial"/>
          <w:color w:val="222222"/>
          <w:szCs w:val="22"/>
          <w:highlight w:val="white"/>
        </w:rPr>
      </w:pPr>
      <w:r w:rsidRPr="00216F75">
        <w:rPr>
          <w:rFonts w:eastAsia="Montserrat" w:cs="Arial"/>
          <w:color w:val="222222"/>
          <w:szCs w:val="22"/>
          <w:highlight w:val="white"/>
          <w:vertAlign w:val="superscript"/>
        </w:rPr>
        <w:t>1</w:t>
      </w:r>
      <w:r w:rsidRPr="00216F75">
        <w:rPr>
          <w:rFonts w:eastAsia="Montserrat" w:cs="Arial"/>
          <w:color w:val="222222"/>
          <w:szCs w:val="22"/>
          <w:highlight w:val="white"/>
        </w:rPr>
        <w:t>Bertschi, Isaac T., Robert J. Yokelson, Darold E. Ward, Ted J. Christian, and Wei Min Hao. “Trace Gas Emissions from the Production and Use of Domestic Biofuels in Zambia Measured by Open-Path Fourier Transform Infrared Spectroscopy.” Journal of Geophysical Research-Atmosphere 108 (2003): 5–1, 5–13</w:t>
      </w:r>
    </w:p>
    <w:p w14:paraId="1E5F4D76" w14:textId="77777777" w:rsidR="00620061" w:rsidRPr="00216F75" w:rsidRDefault="00620061" w:rsidP="00620061">
      <w:pPr>
        <w:tabs>
          <w:tab w:val="left" w:pos="720"/>
        </w:tabs>
        <w:spacing w:line="288" w:lineRule="auto"/>
        <w:ind w:left="720" w:hanging="274"/>
        <w:rPr>
          <w:rFonts w:eastAsia="Montserrat" w:cs="Arial"/>
          <w:color w:val="222222"/>
          <w:szCs w:val="22"/>
          <w:highlight w:val="white"/>
        </w:rPr>
      </w:pPr>
      <w:r w:rsidRPr="00216F75">
        <w:rPr>
          <w:rFonts w:eastAsia="Montserrat" w:cs="Arial"/>
          <w:color w:val="222222"/>
          <w:szCs w:val="22"/>
          <w:highlight w:val="white"/>
          <w:vertAlign w:val="superscript"/>
        </w:rPr>
        <w:t>2</w:t>
      </w:r>
      <w:r w:rsidRPr="00216F75">
        <w:rPr>
          <w:rFonts w:eastAsia="Montserrat" w:cs="Arial"/>
          <w:color w:val="222222"/>
          <w:szCs w:val="22"/>
          <w:highlight w:val="white"/>
        </w:rPr>
        <w:t xml:space="preserve">Lacaux, J. P., J. M. </w:t>
      </w:r>
      <w:proofErr w:type="spellStart"/>
      <w:r w:rsidRPr="00216F75">
        <w:rPr>
          <w:rFonts w:eastAsia="Montserrat" w:cs="Arial"/>
          <w:color w:val="222222"/>
          <w:szCs w:val="22"/>
          <w:highlight w:val="white"/>
        </w:rPr>
        <w:t>Brustet</w:t>
      </w:r>
      <w:proofErr w:type="spellEnd"/>
      <w:r w:rsidRPr="00216F75">
        <w:rPr>
          <w:rFonts w:eastAsia="Montserrat" w:cs="Arial"/>
          <w:color w:val="222222"/>
          <w:szCs w:val="22"/>
          <w:highlight w:val="white"/>
        </w:rPr>
        <w:t xml:space="preserve">, R. Delmas, J. C. Menaut, L. Abbadie, B. </w:t>
      </w:r>
      <w:proofErr w:type="spellStart"/>
      <w:r w:rsidRPr="00216F75">
        <w:rPr>
          <w:rFonts w:eastAsia="Montserrat" w:cs="Arial"/>
          <w:color w:val="222222"/>
          <w:szCs w:val="22"/>
          <w:highlight w:val="white"/>
        </w:rPr>
        <w:t>Bonsang</w:t>
      </w:r>
      <w:proofErr w:type="spellEnd"/>
      <w:r w:rsidRPr="00216F75">
        <w:rPr>
          <w:rFonts w:eastAsia="Montserrat" w:cs="Arial"/>
          <w:color w:val="222222"/>
          <w:szCs w:val="22"/>
          <w:highlight w:val="white"/>
        </w:rPr>
        <w:t xml:space="preserve">, H. </w:t>
      </w:r>
      <w:proofErr w:type="spellStart"/>
      <w:r w:rsidRPr="00216F75">
        <w:rPr>
          <w:rFonts w:eastAsia="Montserrat" w:cs="Arial"/>
          <w:color w:val="222222"/>
          <w:szCs w:val="22"/>
          <w:highlight w:val="white"/>
        </w:rPr>
        <w:t>Cachier</w:t>
      </w:r>
      <w:proofErr w:type="spellEnd"/>
      <w:r w:rsidRPr="00216F75">
        <w:rPr>
          <w:rFonts w:eastAsia="Montserrat" w:cs="Arial"/>
          <w:color w:val="222222"/>
          <w:szCs w:val="22"/>
          <w:highlight w:val="white"/>
        </w:rPr>
        <w:t xml:space="preserve">, J. Baudet, M. O. Andreae, and G. Helas. “Biomass Burning in the Tropical Savannas of Ivory Coast: An Overview of the Field Experiment Fire of Savannas (FOS/DECAFE 91).” Journal of Atmospheric Chemistry 22, no. 1–2 (October 1995): 195–216. </w:t>
      </w:r>
      <w:hyperlink r:id="rId71">
        <w:r w:rsidRPr="00216F75">
          <w:rPr>
            <w:rFonts w:eastAsia="Montserrat" w:cs="Arial"/>
            <w:color w:val="1163C1"/>
            <w:szCs w:val="22"/>
            <w:highlight w:val="white"/>
            <w:u w:val="single"/>
          </w:rPr>
          <w:t>https://doi.org/10.1007/BF00708189</w:t>
        </w:r>
      </w:hyperlink>
    </w:p>
    <w:p w14:paraId="492B7CE9" w14:textId="77777777" w:rsidR="00620061" w:rsidRPr="00216F75" w:rsidRDefault="00620061" w:rsidP="00620061">
      <w:pPr>
        <w:tabs>
          <w:tab w:val="left" w:pos="720"/>
        </w:tabs>
        <w:spacing w:line="288" w:lineRule="auto"/>
        <w:ind w:left="720" w:hanging="274"/>
        <w:rPr>
          <w:rFonts w:eastAsia="Montserrat" w:cs="Arial"/>
          <w:color w:val="222222"/>
          <w:szCs w:val="22"/>
          <w:highlight w:val="white"/>
        </w:rPr>
      </w:pPr>
      <w:r w:rsidRPr="00216F75">
        <w:rPr>
          <w:rFonts w:eastAsia="Montserrat" w:cs="Arial"/>
          <w:color w:val="222222"/>
          <w:szCs w:val="22"/>
          <w:highlight w:val="white"/>
          <w:vertAlign w:val="superscript"/>
        </w:rPr>
        <w:t>3</w:t>
      </w:r>
      <w:r w:rsidRPr="00216F75">
        <w:rPr>
          <w:rFonts w:eastAsia="Montserrat" w:cs="Arial"/>
          <w:color w:val="222222"/>
          <w:szCs w:val="22"/>
          <w:highlight w:val="white"/>
        </w:rPr>
        <w:t xml:space="preserve">Smith, K. R., D. P. Pennise, P. </w:t>
      </w:r>
      <w:proofErr w:type="spellStart"/>
      <w:r w:rsidRPr="00216F75">
        <w:rPr>
          <w:rFonts w:eastAsia="Montserrat" w:cs="Arial"/>
          <w:color w:val="222222"/>
          <w:szCs w:val="22"/>
          <w:highlight w:val="white"/>
        </w:rPr>
        <w:t>Khummongkol</w:t>
      </w:r>
      <w:proofErr w:type="spellEnd"/>
      <w:r w:rsidRPr="00216F75">
        <w:rPr>
          <w:rFonts w:eastAsia="Montserrat" w:cs="Arial"/>
          <w:color w:val="222222"/>
          <w:szCs w:val="22"/>
          <w:highlight w:val="white"/>
        </w:rPr>
        <w:t xml:space="preserve">, V. Chaiwong, K. </w:t>
      </w:r>
      <w:proofErr w:type="spellStart"/>
      <w:r w:rsidRPr="00216F75">
        <w:rPr>
          <w:rFonts w:eastAsia="Montserrat" w:cs="Arial"/>
          <w:color w:val="222222"/>
          <w:szCs w:val="22"/>
          <w:highlight w:val="white"/>
        </w:rPr>
        <w:t>Ritgeen</w:t>
      </w:r>
      <w:proofErr w:type="spellEnd"/>
      <w:r w:rsidRPr="00216F75">
        <w:rPr>
          <w:rFonts w:eastAsia="Montserrat" w:cs="Arial"/>
          <w:color w:val="222222"/>
          <w:szCs w:val="22"/>
          <w:highlight w:val="white"/>
        </w:rPr>
        <w:t xml:space="preserve">, J. Zhang, W. </w:t>
      </w:r>
      <w:proofErr w:type="spellStart"/>
      <w:r w:rsidRPr="00216F75">
        <w:rPr>
          <w:rFonts w:eastAsia="Montserrat" w:cs="Arial"/>
          <w:color w:val="222222"/>
          <w:szCs w:val="22"/>
          <w:highlight w:val="white"/>
        </w:rPr>
        <w:t>Panyathanya</w:t>
      </w:r>
      <w:proofErr w:type="spellEnd"/>
      <w:r w:rsidRPr="00216F75">
        <w:rPr>
          <w:rFonts w:eastAsia="Montserrat" w:cs="Arial"/>
          <w:color w:val="222222"/>
          <w:szCs w:val="22"/>
          <w:highlight w:val="white"/>
        </w:rPr>
        <w:t xml:space="preserve">, R. A. Rasmussen, and M. A. K. Khalil. “Greenhouse Gases from Small-Scale Combustion in Developing Countries: Charcoal Making Kilns in Thailand.” Research Triangle Park, NC: US EPA, 1999 </w:t>
      </w:r>
    </w:p>
    <w:p w14:paraId="2463D6B4" w14:textId="77777777" w:rsidR="00620061" w:rsidRPr="00216F75" w:rsidRDefault="00620061" w:rsidP="00620061">
      <w:pPr>
        <w:tabs>
          <w:tab w:val="left" w:pos="720"/>
        </w:tabs>
        <w:spacing w:line="288" w:lineRule="auto"/>
        <w:ind w:left="720" w:hanging="274"/>
        <w:rPr>
          <w:rFonts w:eastAsia="Montserrat" w:cs="Arial"/>
          <w:color w:val="222222"/>
          <w:szCs w:val="22"/>
          <w:highlight w:val="white"/>
        </w:rPr>
      </w:pPr>
      <w:r w:rsidRPr="00216F75">
        <w:rPr>
          <w:rFonts w:eastAsia="Montserrat" w:cs="Arial"/>
          <w:color w:val="222222"/>
          <w:szCs w:val="22"/>
          <w:highlight w:val="white"/>
          <w:vertAlign w:val="superscript"/>
        </w:rPr>
        <w:t>4</w:t>
      </w:r>
      <w:r w:rsidRPr="00216F75">
        <w:rPr>
          <w:rFonts w:eastAsia="Montserrat" w:cs="Arial"/>
          <w:color w:val="222222"/>
          <w:szCs w:val="22"/>
          <w:highlight w:val="white"/>
        </w:rPr>
        <w:t>Pennise, D., K. R. Smith, J. P. Kithinji, M. E. Rezende, T. J. Raad, J. Zhang, and C. Fan. “Emissions of Greenhouse Gases and Other Airborne Pollutants from Charcoal-Making in Kenya and Brazil.” Journal of Geophysical Research-Atmosphere 106 (2001): 24143–55</w:t>
      </w:r>
    </w:p>
    <w:p w14:paraId="25308BFD" w14:textId="77777777" w:rsidR="00620061" w:rsidRPr="00216F75" w:rsidRDefault="00620061" w:rsidP="00620061">
      <w:pPr>
        <w:tabs>
          <w:tab w:val="left" w:pos="720"/>
        </w:tabs>
        <w:spacing w:line="288" w:lineRule="auto"/>
        <w:ind w:left="720" w:hanging="274"/>
        <w:rPr>
          <w:rFonts w:eastAsia="Montserrat" w:cs="Arial"/>
          <w:color w:val="222222"/>
          <w:szCs w:val="22"/>
          <w:highlight w:val="white"/>
        </w:rPr>
      </w:pPr>
      <w:r w:rsidRPr="00216F75">
        <w:rPr>
          <w:rFonts w:eastAsia="Montserrat" w:cs="Arial"/>
          <w:color w:val="222222"/>
          <w:szCs w:val="22"/>
          <w:highlight w:val="white"/>
          <w:vertAlign w:val="superscript"/>
        </w:rPr>
        <w:t>5</w:t>
      </w:r>
      <w:r w:rsidRPr="00216F75">
        <w:rPr>
          <w:rFonts w:eastAsia="Montserrat" w:cs="Arial"/>
          <w:color w:val="222222"/>
          <w:szCs w:val="22"/>
          <w:highlight w:val="white"/>
        </w:rPr>
        <w:t xml:space="preserve">Akagi, S. K., R. J. Yokelson, C. </w:t>
      </w:r>
      <w:proofErr w:type="spellStart"/>
      <w:r w:rsidRPr="00216F75">
        <w:rPr>
          <w:rFonts w:eastAsia="Montserrat" w:cs="Arial"/>
          <w:color w:val="222222"/>
          <w:szCs w:val="22"/>
          <w:highlight w:val="white"/>
        </w:rPr>
        <w:t>Wiedinmyer</w:t>
      </w:r>
      <w:proofErr w:type="spellEnd"/>
      <w:r w:rsidRPr="00216F75">
        <w:rPr>
          <w:rFonts w:eastAsia="Montserrat" w:cs="Arial"/>
          <w:color w:val="222222"/>
          <w:szCs w:val="22"/>
          <w:highlight w:val="white"/>
        </w:rPr>
        <w:t xml:space="preserve">, M. J. Alvarado, J. S. Reid, T. Karl, J. D. Crounse, and P. O. Wennberg. “Emission Factors for Open and Domestic Biomass Burning for Use in Atmospheric Models.” Atmospheric Chemistry and Physics 11, no. 9 (May 3, 2011): 4039–72. </w:t>
      </w:r>
      <w:hyperlink r:id="rId72">
        <w:r w:rsidRPr="00216F75">
          <w:rPr>
            <w:rFonts w:eastAsia="Montserrat" w:cs="Arial"/>
            <w:color w:val="1163C1"/>
            <w:szCs w:val="22"/>
            <w:highlight w:val="white"/>
            <w:u w:val="single"/>
          </w:rPr>
          <w:t>https://doi.org/10.5194/acp-11-4039-2011</w:t>
        </w:r>
      </w:hyperlink>
    </w:p>
    <w:p w14:paraId="52771F28" w14:textId="77777777" w:rsidR="00620061" w:rsidRPr="00216F75" w:rsidRDefault="00620061" w:rsidP="00620061">
      <w:pPr>
        <w:tabs>
          <w:tab w:val="left" w:pos="720"/>
        </w:tabs>
        <w:spacing w:line="288" w:lineRule="auto"/>
        <w:ind w:left="720" w:hanging="274"/>
        <w:rPr>
          <w:rFonts w:eastAsia="Montserrat" w:cs="Arial"/>
          <w:color w:val="222222"/>
          <w:szCs w:val="22"/>
          <w:highlight w:val="white"/>
        </w:rPr>
      </w:pPr>
      <w:r w:rsidRPr="00216F75">
        <w:rPr>
          <w:rFonts w:eastAsia="Montserrat" w:cs="Arial"/>
          <w:color w:val="222222"/>
          <w:szCs w:val="22"/>
          <w:highlight w:val="white"/>
          <w:vertAlign w:val="superscript"/>
        </w:rPr>
        <w:t>6</w:t>
      </w:r>
      <w:r w:rsidRPr="00216F75">
        <w:rPr>
          <w:rFonts w:eastAsia="Montserrat" w:cs="Arial"/>
          <w:color w:val="222222"/>
          <w:szCs w:val="22"/>
          <w:highlight w:val="white"/>
        </w:rPr>
        <w:t xml:space="preserve">Christian, T. J., R. J. Yokelson, B. Cárdenas, L. T. Molina, G. Engling, and S.-C. Hsu. “Trace Gas and Particle Emissions from Domestic and Industrial Biofuel Use and Garbage Burning in Central Mexico.” Atmospheric Chemistry and Physics 10, no. 2 (January 21, 2010): 565–84. </w:t>
      </w:r>
      <w:hyperlink r:id="rId73" w:history="1">
        <w:r w:rsidRPr="00216F75">
          <w:rPr>
            <w:rStyle w:val="Hyperlink"/>
            <w:rFonts w:eastAsia="Montserrat" w:cs="Arial"/>
            <w:color w:val="1163C1"/>
            <w:szCs w:val="22"/>
            <w:highlight w:val="white"/>
          </w:rPr>
          <w:t>h</w:t>
        </w:r>
      </w:hyperlink>
      <w:r w:rsidRPr="00216F75">
        <w:rPr>
          <w:rFonts w:eastAsia="Montserrat" w:cs="Arial"/>
          <w:color w:val="1163C1"/>
          <w:szCs w:val="22"/>
          <w:highlight w:val="white"/>
          <w:u w:val="single"/>
        </w:rPr>
        <w:t>ttps://doi.org/10.5194/acp-10-565-2010</w:t>
      </w:r>
    </w:p>
    <w:p w14:paraId="3EF32EDA" w14:textId="77777777" w:rsidR="00620061" w:rsidRPr="00216F75" w:rsidRDefault="00620061" w:rsidP="00620061">
      <w:pPr>
        <w:tabs>
          <w:tab w:val="left" w:pos="270"/>
        </w:tabs>
        <w:spacing w:line="288" w:lineRule="auto"/>
        <w:ind w:left="270" w:hanging="274"/>
        <w:rPr>
          <w:rFonts w:eastAsia="Arial" w:cs="Arial"/>
          <w:color w:val="222222"/>
          <w:szCs w:val="22"/>
          <w:highlight w:val="white"/>
        </w:rPr>
      </w:pPr>
    </w:p>
    <w:p w14:paraId="12593B90" w14:textId="77777777" w:rsidR="00620061" w:rsidRPr="00216F75" w:rsidRDefault="00620061" w:rsidP="00620061">
      <w:pPr>
        <w:tabs>
          <w:tab w:val="left" w:pos="270"/>
        </w:tabs>
        <w:ind w:left="270" w:hanging="270"/>
        <w:rPr>
          <w:rFonts w:eastAsia="Montserrat" w:cs="Arial"/>
          <w:szCs w:val="22"/>
        </w:rPr>
      </w:pPr>
    </w:p>
    <w:p w14:paraId="044EB90A" w14:textId="77777777" w:rsidR="00620061" w:rsidRPr="00216F75" w:rsidRDefault="00620061" w:rsidP="00620061">
      <w:pPr>
        <w:rPr>
          <w:rFonts w:eastAsia="Montserrat" w:cs="Arial"/>
          <w:b/>
          <w:color w:val="365F91" w:themeColor="accent1" w:themeShade="BF"/>
          <w:szCs w:val="22"/>
        </w:rPr>
      </w:pPr>
      <w:bookmarkStart w:id="99" w:name="_heading=h.dl8awmr63aof" w:colFirst="0" w:colLast="0"/>
      <w:bookmarkEnd w:id="99"/>
      <w:r w:rsidRPr="00216F75">
        <w:rPr>
          <w:rFonts w:eastAsia="Montserrat" w:cs="Arial"/>
          <w:b/>
          <w:szCs w:val="22"/>
        </w:rPr>
        <w:br w:type="page"/>
      </w:r>
    </w:p>
    <w:p w14:paraId="0DD0042F" w14:textId="208793DA" w:rsidR="00055C06" w:rsidRDefault="00055C06" w:rsidP="00055C06">
      <w:pPr>
        <w:pStyle w:val="SDMAppTitle"/>
      </w:pPr>
      <w:bookmarkStart w:id="100" w:name="A5"/>
      <w:bookmarkStart w:id="101" w:name="_Toc193924648"/>
      <w:r>
        <w:lastRenderedPageBreak/>
        <w:t>Defaul</w:t>
      </w:r>
      <w:bookmarkEnd w:id="100"/>
      <w:r>
        <w:t>t Point of Use Emission Factors, Thermal Efficiencies, and NCVs</w:t>
      </w:r>
    </w:p>
    <w:p w14:paraId="04A6CB40" w14:textId="77777777" w:rsidR="00055C06" w:rsidRDefault="00055C06" w:rsidP="00620061">
      <w:pPr>
        <w:pStyle w:val="Heading2"/>
        <w:ind w:left="0" w:firstLine="0"/>
        <w:rPr>
          <w:rFonts w:ascii="Arial" w:hAnsi="Arial" w:cs="Arial"/>
          <w:sz w:val="22"/>
          <w:szCs w:val="22"/>
        </w:rPr>
      </w:pPr>
    </w:p>
    <w:bookmarkEnd w:id="101"/>
    <w:p w14:paraId="138B9C33" w14:textId="77777777" w:rsidR="00620061" w:rsidRPr="00216F75" w:rsidRDefault="00620061" w:rsidP="00620061">
      <w:pPr>
        <w:rPr>
          <w:rFonts w:cs="Arial"/>
          <w:szCs w:val="22"/>
        </w:rPr>
      </w:pPr>
    </w:p>
    <w:tbl>
      <w:tblPr>
        <w:tblStyle w:val="TableGrid"/>
        <w:tblW w:w="9351" w:type="dxa"/>
        <w:tblLook w:val="04A0" w:firstRow="1" w:lastRow="0" w:firstColumn="1" w:lastColumn="0" w:noHBand="0" w:noVBand="1"/>
      </w:tblPr>
      <w:tblGrid>
        <w:gridCol w:w="1504"/>
        <w:gridCol w:w="1402"/>
        <w:gridCol w:w="2162"/>
        <w:gridCol w:w="1402"/>
        <w:gridCol w:w="1402"/>
        <w:gridCol w:w="1479"/>
      </w:tblGrid>
      <w:tr w:rsidR="00620061" w:rsidRPr="00216F75" w14:paraId="590F17DF" w14:textId="77777777">
        <w:trPr>
          <w:trHeight w:val="300"/>
        </w:trPr>
        <w:tc>
          <w:tcPr>
            <w:tcW w:w="1457" w:type="dxa"/>
            <w:shd w:val="clear" w:color="auto" w:fill="365F91" w:themeFill="accent1" w:themeFillShade="BF"/>
          </w:tcPr>
          <w:p w14:paraId="6DF403A0" w14:textId="77777777" w:rsidR="00620061" w:rsidRPr="00216F75" w:rsidRDefault="00620061">
            <w:pPr>
              <w:rPr>
                <w:rFonts w:cs="Arial"/>
                <w:szCs w:val="22"/>
              </w:rPr>
            </w:pPr>
            <w:r w:rsidRPr="00216F75">
              <w:rPr>
                <w:rFonts w:eastAsia="Montserrat" w:cs="Arial"/>
                <w:b/>
                <w:color w:val="FFFFFF" w:themeColor="background1"/>
                <w:szCs w:val="22"/>
              </w:rPr>
              <w:t>Fuel</w:t>
            </w:r>
          </w:p>
        </w:tc>
        <w:tc>
          <w:tcPr>
            <w:tcW w:w="1348" w:type="dxa"/>
            <w:shd w:val="clear" w:color="auto" w:fill="365F91" w:themeFill="accent1" w:themeFillShade="BF"/>
          </w:tcPr>
          <w:p w14:paraId="453C0CAF" w14:textId="77777777" w:rsidR="00620061" w:rsidRPr="00216F75" w:rsidRDefault="00620061">
            <w:pPr>
              <w:widowControl w:val="0"/>
              <w:rPr>
                <w:rFonts w:eastAsia="Montserrat" w:cs="Arial"/>
                <w:b/>
                <w:color w:val="FFFFFF"/>
                <w:szCs w:val="22"/>
                <w:lang w:val="fr-FR"/>
              </w:rPr>
            </w:pPr>
            <w:r w:rsidRPr="00216F75">
              <w:rPr>
                <w:rFonts w:eastAsia="Montserrat" w:cs="Arial"/>
                <w:b/>
                <w:color w:val="FFFFFF" w:themeColor="background1"/>
                <w:szCs w:val="22"/>
                <w:lang w:val="fr-FR"/>
              </w:rPr>
              <w:t xml:space="preserve">Net </w:t>
            </w:r>
            <w:proofErr w:type="spellStart"/>
            <w:r w:rsidRPr="00216F75">
              <w:rPr>
                <w:rFonts w:eastAsia="Montserrat" w:cs="Arial"/>
                <w:b/>
                <w:color w:val="FFFFFF" w:themeColor="background1"/>
                <w:szCs w:val="22"/>
                <w:lang w:val="fr-FR"/>
              </w:rPr>
              <w:t>Calorific</w:t>
            </w:r>
            <w:proofErr w:type="spellEnd"/>
            <w:r w:rsidRPr="00216F75">
              <w:rPr>
                <w:rFonts w:eastAsia="Montserrat" w:cs="Arial"/>
                <w:b/>
                <w:color w:val="FFFFFF" w:themeColor="background1"/>
                <w:szCs w:val="22"/>
                <w:lang w:val="fr-FR"/>
              </w:rPr>
              <w:t xml:space="preserve"> Value</w:t>
            </w:r>
          </w:p>
          <w:p w14:paraId="2BBF5D48" w14:textId="77777777" w:rsidR="00620061" w:rsidRPr="00216F75" w:rsidRDefault="00620061">
            <w:pPr>
              <w:rPr>
                <w:rFonts w:cs="Arial"/>
                <w:szCs w:val="22"/>
                <w:lang w:val="fr-FR"/>
              </w:rPr>
            </w:pPr>
            <w:r w:rsidRPr="00216F75">
              <w:rPr>
                <w:rFonts w:eastAsia="Montserrat" w:cs="Arial"/>
                <w:b/>
                <w:color w:val="FFFFFF" w:themeColor="background1"/>
                <w:szCs w:val="22"/>
                <w:lang w:val="fr-FR"/>
              </w:rPr>
              <w:t>(TJ/tonnes)</w:t>
            </w:r>
          </w:p>
        </w:tc>
        <w:tc>
          <w:tcPr>
            <w:tcW w:w="2355" w:type="dxa"/>
            <w:shd w:val="clear" w:color="auto" w:fill="365F91" w:themeFill="accent1" w:themeFillShade="BF"/>
          </w:tcPr>
          <w:p w14:paraId="676A6679" w14:textId="77777777" w:rsidR="00620061" w:rsidRPr="00216F75" w:rsidRDefault="00620061">
            <w:pPr>
              <w:widowControl w:val="0"/>
              <w:rPr>
                <w:rFonts w:eastAsia="Montserrat" w:cs="Arial"/>
                <w:b/>
                <w:color w:val="FFFFFF"/>
                <w:szCs w:val="22"/>
              </w:rPr>
            </w:pPr>
            <w:r w:rsidRPr="00216F75">
              <w:rPr>
                <w:rFonts w:eastAsia="Montserrat" w:cs="Arial"/>
                <w:b/>
                <w:color w:val="FFFFFF" w:themeColor="background1"/>
                <w:szCs w:val="22"/>
              </w:rPr>
              <w:t>Thermal efficiency</w:t>
            </w:r>
          </w:p>
        </w:tc>
        <w:tc>
          <w:tcPr>
            <w:tcW w:w="1348" w:type="dxa"/>
            <w:shd w:val="clear" w:color="auto" w:fill="365F91" w:themeFill="accent1" w:themeFillShade="BF"/>
          </w:tcPr>
          <w:p w14:paraId="77EA2F8F" w14:textId="77777777" w:rsidR="00620061" w:rsidRPr="00216F75" w:rsidRDefault="00620061">
            <w:pPr>
              <w:widowControl w:val="0"/>
              <w:rPr>
                <w:rFonts w:eastAsia="Montserrat" w:cs="Arial"/>
                <w:b/>
                <w:color w:val="FFFFFF"/>
                <w:szCs w:val="22"/>
              </w:rPr>
            </w:pPr>
            <w:r w:rsidRPr="00216F75">
              <w:rPr>
                <w:rFonts w:eastAsia="Montserrat" w:cs="Arial"/>
                <w:b/>
                <w:color w:val="FFFFFF" w:themeColor="background1"/>
                <w:szCs w:val="22"/>
              </w:rPr>
              <w:t>CO</w:t>
            </w:r>
            <w:r w:rsidRPr="00216F75">
              <w:rPr>
                <w:rFonts w:eastAsia="Montserrat" w:cs="Arial"/>
                <w:b/>
                <w:color w:val="FFFFFF" w:themeColor="background1"/>
                <w:szCs w:val="22"/>
                <w:vertAlign w:val="subscript"/>
              </w:rPr>
              <w:t>2</w:t>
            </w:r>
            <w:r w:rsidRPr="00216F75">
              <w:rPr>
                <w:rFonts w:eastAsia="Montserrat" w:cs="Arial"/>
                <w:b/>
                <w:color w:val="FFFFFF" w:themeColor="background1"/>
                <w:szCs w:val="22"/>
              </w:rPr>
              <w:t xml:space="preserve"> Emission Factor</w:t>
            </w:r>
          </w:p>
          <w:p w14:paraId="6E2F6799" w14:textId="77777777" w:rsidR="00620061" w:rsidRPr="00216F75" w:rsidRDefault="00620061">
            <w:pPr>
              <w:rPr>
                <w:rFonts w:cs="Arial"/>
                <w:szCs w:val="22"/>
              </w:rPr>
            </w:pPr>
            <w:r w:rsidRPr="00216F75">
              <w:rPr>
                <w:rFonts w:eastAsia="Montserrat" w:cs="Arial"/>
                <w:b/>
                <w:color w:val="FFFFFF" w:themeColor="background1"/>
                <w:szCs w:val="22"/>
              </w:rPr>
              <w:t>(</w:t>
            </w:r>
            <w:proofErr w:type="spellStart"/>
            <w:proofErr w:type="gramStart"/>
            <w:r w:rsidRPr="00216F75">
              <w:rPr>
                <w:rFonts w:eastAsia="Montserrat" w:cs="Arial"/>
                <w:b/>
                <w:bCs/>
                <w:color w:val="FFFFFF" w:themeColor="background1"/>
                <w:szCs w:val="22"/>
              </w:rPr>
              <w:t>tonnes</w:t>
            </w:r>
            <w:proofErr w:type="spellEnd"/>
            <w:proofErr w:type="gramEnd"/>
            <w:r w:rsidRPr="00216F75">
              <w:rPr>
                <w:rFonts w:eastAsia="Montserrat" w:cs="Arial"/>
                <w:b/>
                <w:color w:val="FFFFFF" w:themeColor="background1"/>
                <w:szCs w:val="22"/>
              </w:rPr>
              <w:t>/TJ)</w:t>
            </w:r>
          </w:p>
        </w:tc>
        <w:tc>
          <w:tcPr>
            <w:tcW w:w="1348" w:type="dxa"/>
            <w:shd w:val="clear" w:color="auto" w:fill="365F91" w:themeFill="accent1" w:themeFillShade="BF"/>
          </w:tcPr>
          <w:p w14:paraId="2BA65317" w14:textId="77777777" w:rsidR="00620061" w:rsidRPr="00216F75" w:rsidRDefault="00620061">
            <w:pPr>
              <w:rPr>
                <w:rFonts w:cs="Arial"/>
                <w:szCs w:val="22"/>
              </w:rPr>
            </w:pPr>
            <w:r w:rsidRPr="00216F75">
              <w:rPr>
                <w:rFonts w:eastAsia="Montserrat" w:cs="Arial"/>
                <w:b/>
                <w:color w:val="FFFFFF" w:themeColor="background1"/>
                <w:szCs w:val="22"/>
              </w:rPr>
              <w:t>CH</w:t>
            </w:r>
            <w:r w:rsidRPr="00216F75">
              <w:rPr>
                <w:rFonts w:eastAsia="Montserrat" w:cs="Arial"/>
                <w:b/>
                <w:color w:val="FFFFFF" w:themeColor="background1"/>
                <w:szCs w:val="22"/>
                <w:vertAlign w:val="subscript"/>
              </w:rPr>
              <w:t>4</w:t>
            </w:r>
            <w:r w:rsidRPr="00216F75">
              <w:rPr>
                <w:rFonts w:eastAsia="Montserrat" w:cs="Arial"/>
                <w:b/>
                <w:color w:val="FFFFFF" w:themeColor="background1"/>
                <w:szCs w:val="22"/>
              </w:rPr>
              <w:t xml:space="preserve"> Emission Factor (</w:t>
            </w:r>
            <w:proofErr w:type="spellStart"/>
            <w:proofErr w:type="gramStart"/>
            <w:r w:rsidRPr="00216F75">
              <w:rPr>
                <w:rFonts w:eastAsia="Montserrat" w:cs="Arial"/>
                <w:b/>
                <w:bCs/>
                <w:color w:val="FFFFFF" w:themeColor="background1"/>
                <w:szCs w:val="22"/>
              </w:rPr>
              <w:t>tonnes</w:t>
            </w:r>
            <w:proofErr w:type="spellEnd"/>
            <w:proofErr w:type="gramEnd"/>
            <w:r w:rsidRPr="00216F75">
              <w:rPr>
                <w:rFonts w:eastAsia="Montserrat" w:cs="Arial"/>
                <w:b/>
                <w:color w:val="FFFFFF" w:themeColor="background1"/>
                <w:szCs w:val="22"/>
              </w:rPr>
              <w:t>/TJ)</w:t>
            </w:r>
          </w:p>
        </w:tc>
        <w:tc>
          <w:tcPr>
            <w:tcW w:w="1495" w:type="dxa"/>
            <w:shd w:val="clear" w:color="auto" w:fill="365F91" w:themeFill="accent1" w:themeFillShade="BF"/>
          </w:tcPr>
          <w:p w14:paraId="26CE7299" w14:textId="77777777" w:rsidR="00620061" w:rsidRPr="00216F75" w:rsidRDefault="00620061">
            <w:pPr>
              <w:rPr>
                <w:rFonts w:cs="Arial"/>
                <w:szCs w:val="22"/>
              </w:rPr>
            </w:pPr>
            <w:r w:rsidRPr="00216F75">
              <w:rPr>
                <w:rFonts w:eastAsia="Montserrat" w:cs="Arial"/>
                <w:b/>
                <w:color w:val="FFFFFF" w:themeColor="background1"/>
                <w:szCs w:val="22"/>
              </w:rPr>
              <w:t>N</w:t>
            </w:r>
            <w:r w:rsidRPr="00216F75">
              <w:rPr>
                <w:rFonts w:eastAsia="Montserrat" w:cs="Arial"/>
                <w:b/>
                <w:color w:val="FFFFFF" w:themeColor="background1"/>
                <w:szCs w:val="22"/>
                <w:vertAlign w:val="subscript"/>
              </w:rPr>
              <w:t>2</w:t>
            </w:r>
            <w:r w:rsidRPr="00216F75">
              <w:rPr>
                <w:rFonts w:eastAsia="Montserrat" w:cs="Arial"/>
                <w:b/>
                <w:color w:val="FFFFFF" w:themeColor="background1"/>
                <w:szCs w:val="22"/>
              </w:rPr>
              <w:t>O Emission Factor (</w:t>
            </w:r>
            <w:proofErr w:type="spellStart"/>
            <w:proofErr w:type="gramStart"/>
            <w:r w:rsidRPr="00216F75">
              <w:rPr>
                <w:rFonts w:eastAsia="Montserrat" w:cs="Arial"/>
                <w:b/>
                <w:color w:val="FFFFFF" w:themeColor="background1"/>
                <w:szCs w:val="22"/>
              </w:rPr>
              <w:t>tonnes</w:t>
            </w:r>
            <w:proofErr w:type="spellEnd"/>
            <w:proofErr w:type="gramEnd"/>
            <w:r w:rsidRPr="00216F75">
              <w:rPr>
                <w:rFonts w:eastAsia="Montserrat" w:cs="Arial"/>
                <w:b/>
                <w:color w:val="FFFFFF" w:themeColor="background1"/>
                <w:szCs w:val="22"/>
              </w:rPr>
              <w:t>/TJ)</w:t>
            </w:r>
          </w:p>
        </w:tc>
      </w:tr>
      <w:tr w:rsidR="00620061" w:rsidRPr="00216F75" w14:paraId="5E8E387C" w14:textId="77777777">
        <w:tc>
          <w:tcPr>
            <w:tcW w:w="1457" w:type="dxa"/>
          </w:tcPr>
          <w:p w14:paraId="33139A02" w14:textId="77777777" w:rsidR="00620061" w:rsidRPr="00216F75" w:rsidRDefault="00620061">
            <w:pPr>
              <w:rPr>
                <w:rFonts w:cs="Arial"/>
                <w:szCs w:val="22"/>
              </w:rPr>
            </w:pPr>
            <w:r w:rsidRPr="00216F75">
              <w:rPr>
                <w:rFonts w:eastAsia="Montserrat" w:cs="Arial"/>
                <w:b/>
                <w:szCs w:val="22"/>
              </w:rPr>
              <w:t>Biogas</w:t>
            </w:r>
            <w:r w:rsidRPr="00216F75">
              <w:rPr>
                <w:rFonts w:eastAsia="Montserrat" w:cs="Arial"/>
                <w:b/>
                <w:szCs w:val="22"/>
                <w:vertAlign w:val="superscript"/>
              </w:rPr>
              <w:t>1</w:t>
            </w:r>
          </w:p>
        </w:tc>
        <w:tc>
          <w:tcPr>
            <w:tcW w:w="1348" w:type="dxa"/>
            <w:vAlign w:val="bottom"/>
          </w:tcPr>
          <w:p w14:paraId="120809F5" w14:textId="77777777" w:rsidR="00620061" w:rsidRPr="00216F75" w:rsidRDefault="00620061">
            <w:pPr>
              <w:rPr>
                <w:rFonts w:cs="Arial"/>
                <w:szCs w:val="22"/>
              </w:rPr>
            </w:pPr>
            <w:r w:rsidRPr="00216F75">
              <w:rPr>
                <w:rFonts w:cs="Arial"/>
                <w:color w:val="000000" w:themeColor="text1"/>
                <w:szCs w:val="22"/>
              </w:rPr>
              <w:t>0.0504</w:t>
            </w:r>
            <w:r w:rsidRPr="00216F75">
              <w:rPr>
                <w:rFonts w:eastAsia="Montserrat" w:cs="Arial"/>
                <w:b/>
                <w:bCs/>
                <w:szCs w:val="22"/>
                <w:vertAlign w:val="superscript"/>
              </w:rPr>
              <w:t>1</w:t>
            </w:r>
          </w:p>
        </w:tc>
        <w:tc>
          <w:tcPr>
            <w:tcW w:w="2355" w:type="dxa"/>
            <w:vAlign w:val="bottom"/>
          </w:tcPr>
          <w:p w14:paraId="5972BD91" w14:textId="77777777" w:rsidR="00620061" w:rsidRPr="00216F75" w:rsidRDefault="00620061">
            <w:pPr>
              <w:rPr>
                <w:rFonts w:eastAsia="Montserrat" w:cs="Arial"/>
                <w:szCs w:val="22"/>
              </w:rPr>
            </w:pPr>
            <w:r w:rsidRPr="00216F75">
              <w:rPr>
                <w:rFonts w:cs="Arial"/>
                <w:color w:val="000000"/>
                <w:szCs w:val="22"/>
              </w:rPr>
              <w:t>50%</w:t>
            </w:r>
          </w:p>
        </w:tc>
        <w:tc>
          <w:tcPr>
            <w:tcW w:w="1348" w:type="dxa"/>
            <w:vAlign w:val="bottom"/>
          </w:tcPr>
          <w:p w14:paraId="21DF3B0B" w14:textId="77777777" w:rsidR="00620061" w:rsidRPr="00216F75" w:rsidRDefault="00620061">
            <w:pPr>
              <w:rPr>
                <w:rFonts w:cs="Arial"/>
                <w:szCs w:val="22"/>
              </w:rPr>
            </w:pPr>
            <w:r w:rsidRPr="00216F75">
              <w:rPr>
                <w:rFonts w:cs="Arial"/>
                <w:color w:val="000000" w:themeColor="text1"/>
                <w:szCs w:val="22"/>
              </w:rPr>
              <w:t>54.6</w:t>
            </w:r>
            <w:r w:rsidRPr="00216F75">
              <w:rPr>
                <w:rFonts w:eastAsia="Montserrat" w:cs="Arial"/>
                <w:b/>
                <w:bCs/>
                <w:szCs w:val="22"/>
                <w:vertAlign w:val="superscript"/>
              </w:rPr>
              <w:t>1</w:t>
            </w:r>
          </w:p>
        </w:tc>
        <w:tc>
          <w:tcPr>
            <w:tcW w:w="1348" w:type="dxa"/>
            <w:vAlign w:val="bottom"/>
          </w:tcPr>
          <w:p w14:paraId="0BE8E6E5" w14:textId="77777777" w:rsidR="00620061" w:rsidRPr="00216F75" w:rsidRDefault="00620061">
            <w:pPr>
              <w:rPr>
                <w:rFonts w:cs="Arial"/>
                <w:szCs w:val="22"/>
              </w:rPr>
            </w:pPr>
            <w:r w:rsidRPr="00216F75">
              <w:rPr>
                <w:rFonts w:cs="Arial"/>
                <w:color w:val="000000" w:themeColor="text1"/>
                <w:szCs w:val="22"/>
              </w:rPr>
              <w:t>0.005</w:t>
            </w:r>
            <w:r w:rsidRPr="00216F75">
              <w:rPr>
                <w:rFonts w:eastAsia="Montserrat" w:cs="Arial"/>
                <w:b/>
                <w:bCs/>
                <w:szCs w:val="22"/>
                <w:vertAlign w:val="superscript"/>
              </w:rPr>
              <w:t>1</w:t>
            </w:r>
          </w:p>
        </w:tc>
        <w:tc>
          <w:tcPr>
            <w:tcW w:w="1495" w:type="dxa"/>
            <w:vAlign w:val="bottom"/>
          </w:tcPr>
          <w:p w14:paraId="00EEA720" w14:textId="77777777" w:rsidR="00620061" w:rsidRPr="00216F75" w:rsidRDefault="00620061">
            <w:pPr>
              <w:rPr>
                <w:rFonts w:cs="Arial"/>
                <w:szCs w:val="22"/>
              </w:rPr>
            </w:pPr>
            <w:r w:rsidRPr="00216F75">
              <w:rPr>
                <w:rFonts w:cs="Arial"/>
                <w:color w:val="000000" w:themeColor="text1"/>
                <w:szCs w:val="22"/>
              </w:rPr>
              <w:t>0.0001</w:t>
            </w:r>
            <w:r w:rsidRPr="00216F75">
              <w:rPr>
                <w:rFonts w:eastAsia="Montserrat" w:cs="Arial"/>
                <w:b/>
                <w:bCs/>
                <w:szCs w:val="22"/>
                <w:vertAlign w:val="superscript"/>
              </w:rPr>
              <w:t>1</w:t>
            </w:r>
          </w:p>
        </w:tc>
      </w:tr>
      <w:tr w:rsidR="00620061" w:rsidRPr="00216F75" w14:paraId="42775576" w14:textId="77777777">
        <w:tc>
          <w:tcPr>
            <w:tcW w:w="1457" w:type="dxa"/>
          </w:tcPr>
          <w:p w14:paraId="1119E04A" w14:textId="77777777" w:rsidR="00620061" w:rsidRPr="00216F75" w:rsidRDefault="00620061">
            <w:pPr>
              <w:rPr>
                <w:rFonts w:cs="Arial"/>
                <w:szCs w:val="22"/>
              </w:rPr>
            </w:pPr>
            <w:r w:rsidRPr="00216F75">
              <w:rPr>
                <w:rFonts w:eastAsia="Montserrat" w:cs="Arial"/>
                <w:b/>
                <w:szCs w:val="22"/>
              </w:rPr>
              <w:t xml:space="preserve">Charcoal </w:t>
            </w:r>
            <w:r w:rsidRPr="00216F75">
              <w:rPr>
                <w:rFonts w:eastAsia="Montserrat" w:cs="Arial"/>
                <w:b/>
                <w:szCs w:val="22"/>
                <w:vertAlign w:val="superscript"/>
              </w:rPr>
              <w:t>(2-5)</w:t>
            </w:r>
          </w:p>
        </w:tc>
        <w:tc>
          <w:tcPr>
            <w:tcW w:w="1348" w:type="dxa"/>
            <w:vAlign w:val="bottom"/>
          </w:tcPr>
          <w:p w14:paraId="28BE43C3" w14:textId="77777777" w:rsidR="00620061" w:rsidRPr="00216F75" w:rsidRDefault="00620061">
            <w:pPr>
              <w:rPr>
                <w:rFonts w:cs="Arial"/>
                <w:szCs w:val="22"/>
              </w:rPr>
            </w:pPr>
            <w:r w:rsidRPr="00216F75">
              <w:rPr>
                <w:rFonts w:cs="Arial"/>
                <w:color w:val="000000"/>
                <w:szCs w:val="22"/>
              </w:rPr>
              <w:t>0.0295</w:t>
            </w:r>
          </w:p>
        </w:tc>
        <w:tc>
          <w:tcPr>
            <w:tcW w:w="2355" w:type="dxa"/>
            <w:vAlign w:val="bottom"/>
          </w:tcPr>
          <w:p w14:paraId="263A5141" w14:textId="77777777" w:rsidR="00620061" w:rsidRPr="00216F75" w:rsidRDefault="00620061">
            <w:pPr>
              <w:rPr>
                <w:rFonts w:eastAsia="Montserrat" w:cs="Arial"/>
                <w:szCs w:val="22"/>
              </w:rPr>
            </w:pPr>
            <w:r w:rsidRPr="00216F75">
              <w:rPr>
                <w:rFonts w:cs="Arial"/>
                <w:color w:val="000000"/>
                <w:szCs w:val="22"/>
              </w:rPr>
              <w:t>25%</w:t>
            </w:r>
          </w:p>
        </w:tc>
        <w:tc>
          <w:tcPr>
            <w:tcW w:w="1348" w:type="dxa"/>
            <w:vAlign w:val="bottom"/>
          </w:tcPr>
          <w:p w14:paraId="264BF40B" w14:textId="77777777" w:rsidR="00620061" w:rsidRPr="00216F75" w:rsidRDefault="00620061">
            <w:pPr>
              <w:rPr>
                <w:rFonts w:cs="Arial"/>
                <w:szCs w:val="22"/>
              </w:rPr>
            </w:pPr>
            <w:r w:rsidRPr="00216F75">
              <w:rPr>
                <w:rFonts w:eastAsia="Montserrat" w:cs="Arial"/>
                <w:szCs w:val="22"/>
              </w:rPr>
              <w:t>78.5</w:t>
            </w:r>
          </w:p>
        </w:tc>
        <w:tc>
          <w:tcPr>
            <w:tcW w:w="1348" w:type="dxa"/>
            <w:vAlign w:val="bottom"/>
          </w:tcPr>
          <w:p w14:paraId="4ADE2422" w14:textId="77777777" w:rsidR="00620061" w:rsidRPr="00216F75" w:rsidRDefault="00620061">
            <w:pPr>
              <w:rPr>
                <w:rFonts w:cs="Arial"/>
                <w:szCs w:val="22"/>
              </w:rPr>
            </w:pPr>
            <w:r w:rsidRPr="00216F75">
              <w:rPr>
                <w:rFonts w:eastAsia="Montserrat" w:cs="Arial"/>
                <w:szCs w:val="22"/>
              </w:rPr>
              <w:t>0.2</w:t>
            </w:r>
          </w:p>
        </w:tc>
        <w:tc>
          <w:tcPr>
            <w:tcW w:w="1495" w:type="dxa"/>
            <w:vAlign w:val="bottom"/>
          </w:tcPr>
          <w:p w14:paraId="471D19E6" w14:textId="77777777" w:rsidR="00620061" w:rsidRPr="00216F75" w:rsidRDefault="00620061">
            <w:pPr>
              <w:rPr>
                <w:rFonts w:cs="Arial"/>
                <w:szCs w:val="22"/>
              </w:rPr>
            </w:pPr>
            <w:r w:rsidRPr="00216F75">
              <w:rPr>
                <w:rFonts w:eastAsia="Montserrat" w:cs="Arial"/>
                <w:szCs w:val="22"/>
              </w:rPr>
              <w:t>0.008</w:t>
            </w:r>
          </w:p>
        </w:tc>
      </w:tr>
      <w:tr w:rsidR="00620061" w:rsidRPr="00216F75" w14:paraId="489EED70" w14:textId="77777777">
        <w:tc>
          <w:tcPr>
            <w:tcW w:w="1457" w:type="dxa"/>
          </w:tcPr>
          <w:p w14:paraId="77165F96" w14:textId="77777777" w:rsidR="00620061" w:rsidRPr="00216F75" w:rsidRDefault="00620061">
            <w:pPr>
              <w:rPr>
                <w:rFonts w:cs="Arial"/>
                <w:szCs w:val="22"/>
              </w:rPr>
            </w:pPr>
            <w:r w:rsidRPr="00216F75">
              <w:rPr>
                <w:rFonts w:eastAsia="Montserrat" w:cs="Arial"/>
                <w:b/>
                <w:szCs w:val="22"/>
              </w:rPr>
              <w:t>Kerosene</w:t>
            </w:r>
            <w:r w:rsidRPr="00216F75">
              <w:rPr>
                <w:rFonts w:eastAsia="Montserrat" w:cs="Arial"/>
                <w:b/>
                <w:szCs w:val="22"/>
                <w:vertAlign w:val="superscript"/>
              </w:rPr>
              <w:t>1</w:t>
            </w:r>
          </w:p>
        </w:tc>
        <w:tc>
          <w:tcPr>
            <w:tcW w:w="1348" w:type="dxa"/>
            <w:vAlign w:val="bottom"/>
          </w:tcPr>
          <w:p w14:paraId="305E07E3" w14:textId="77777777" w:rsidR="00620061" w:rsidRPr="00216F75" w:rsidRDefault="00620061">
            <w:pPr>
              <w:rPr>
                <w:rFonts w:cs="Arial"/>
                <w:szCs w:val="22"/>
              </w:rPr>
            </w:pPr>
            <w:r w:rsidRPr="00216F75">
              <w:rPr>
                <w:rFonts w:cs="Arial"/>
                <w:color w:val="000000"/>
                <w:szCs w:val="22"/>
              </w:rPr>
              <w:t>0.0438</w:t>
            </w:r>
          </w:p>
        </w:tc>
        <w:tc>
          <w:tcPr>
            <w:tcW w:w="2355" w:type="dxa"/>
            <w:vAlign w:val="bottom"/>
          </w:tcPr>
          <w:p w14:paraId="226155D3" w14:textId="77777777" w:rsidR="00620061" w:rsidRPr="00216F75" w:rsidRDefault="00620061">
            <w:pPr>
              <w:rPr>
                <w:rFonts w:eastAsia="Montserrat" w:cs="Arial"/>
                <w:szCs w:val="22"/>
              </w:rPr>
            </w:pPr>
            <w:r w:rsidRPr="00216F75">
              <w:rPr>
                <w:rFonts w:cs="Arial"/>
                <w:color w:val="000000"/>
                <w:szCs w:val="22"/>
              </w:rPr>
              <w:t>50%</w:t>
            </w:r>
          </w:p>
        </w:tc>
        <w:tc>
          <w:tcPr>
            <w:tcW w:w="1348" w:type="dxa"/>
            <w:vAlign w:val="bottom"/>
          </w:tcPr>
          <w:p w14:paraId="0B2648A3" w14:textId="77777777" w:rsidR="00620061" w:rsidRPr="00216F75" w:rsidRDefault="00620061">
            <w:pPr>
              <w:rPr>
                <w:rFonts w:cs="Arial"/>
                <w:szCs w:val="22"/>
              </w:rPr>
            </w:pPr>
            <w:r w:rsidRPr="00216F75">
              <w:rPr>
                <w:rFonts w:cs="Arial"/>
                <w:color w:val="000000"/>
                <w:szCs w:val="22"/>
              </w:rPr>
              <w:t>71.9</w:t>
            </w:r>
          </w:p>
        </w:tc>
        <w:tc>
          <w:tcPr>
            <w:tcW w:w="1348" w:type="dxa"/>
            <w:vAlign w:val="bottom"/>
          </w:tcPr>
          <w:p w14:paraId="56BD458B" w14:textId="77777777" w:rsidR="00620061" w:rsidRPr="00216F75" w:rsidRDefault="00620061">
            <w:pPr>
              <w:rPr>
                <w:rFonts w:cs="Arial"/>
                <w:szCs w:val="22"/>
              </w:rPr>
            </w:pPr>
            <w:r w:rsidRPr="00216F75">
              <w:rPr>
                <w:rFonts w:cs="Arial"/>
                <w:color w:val="000000"/>
                <w:szCs w:val="22"/>
              </w:rPr>
              <w:t>0.01</w:t>
            </w:r>
          </w:p>
        </w:tc>
        <w:tc>
          <w:tcPr>
            <w:tcW w:w="1495" w:type="dxa"/>
            <w:vAlign w:val="bottom"/>
          </w:tcPr>
          <w:p w14:paraId="3621C568" w14:textId="77777777" w:rsidR="00620061" w:rsidRPr="00216F75" w:rsidRDefault="00620061">
            <w:pPr>
              <w:rPr>
                <w:rFonts w:cs="Arial"/>
                <w:szCs w:val="22"/>
              </w:rPr>
            </w:pPr>
            <w:r w:rsidRPr="00216F75">
              <w:rPr>
                <w:rFonts w:cs="Arial"/>
                <w:color w:val="000000"/>
                <w:szCs w:val="22"/>
              </w:rPr>
              <w:t>0.0006</w:t>
            </w:r>
          </w:p>
        </w:tc>
      </w:tr>
      <w:tr w:rsidR="00620061" w:rsidRPr="00216F75" w14:paraId="16FF5F23" w14:textId="77777777">
        <w:tc>
          <w:tcPr>
            <w:tcW w:w="1457" w:type="dxa"/>
          </w:tcPr>
          <w:p w14:paraId="1407C68B" w14:textId="77777777" w:rsidR="00620061" w:rsidRPr="00216F75" w:rsidRDefault="00620061">
            <w:pPr>
              <w:rPr>
                <w:rFonts w:cs="Arial"/>
                <w:szCs w:val="22"/>
              </w:rPr>
            </w:pPr>
            <w:r w:rsidRPr="00216F75">
              <w:rPr>
                <w:rFonts w:eastAsia="Montserrat" w:cs="Arial"/>
                <w:b/>
                <w:szCs w:val="22"/>
              </w:rPr>
              <w:t>LPG</w:t>
            </w:r>
            <w:r w:rsidRPr="00216F75">
              <w:rPr>
                <w:rFonts w:eastAsia="Montserrat" w:cs="Arial"/>
                <w:b/>
                <w:szCs w:val="22"/>
                <w:vertAlign w:val="superscript"/>
              </w:rPr>
              <w:t>1</w:t>
            </w:r>
          </w:p>
        </w:tc>
        <w:tc>
          <w:tcPr>
            <w:tcW w:w="1348" w:type="dxa"/>
            <w:vAlign w:val="bottom"/>
          </w:tcPr>
          <w:p w14:paraId="095888B5" w14:textId="77777777" w:rsidR="00620061" w:rsidRPr="00216F75" w:rsidRDefault="00620061">
            <w:pPr>
              <w:rPr>
                <w:rFonts w:cs="Arial"/>
                <w:szCs w:val="22"/>
              </w:rPr>
            </w:pPr>
            <w:r w:rsidRPr="00216F75">
              <w:rPr>
                <w:rFonts w:cs="Arial"/>
                <w:color w:val="000000"/>
                <w:szCs w:val="22"/>
              </w:rPr>
              <w:t>0.0473</w:t>
            </w:r>
          </w:p>
        </w:tc>
        <w:tc>
          <w:tcPr>
            <w:tcW w:w="2355" w:type="dxa"/>
            <w:vAlign w:val="bottom"/>
          </w:tcPr>
          <w:p w14:paraId="248142CD" w14:textId="77777777" w:rsidR="00620061" w:rsidRPr="00216F75" w:rsidRDefault="00620061">
            <w:pPr>
              <w:rPr>
                <w:rFonts w:eastAsia="Montserrat" w:cs="Arial"/>
                <w:szCs w:val="22"/>
              </w:rPr>
            </w:pPr>
            <w:r w:rsidRPr="00216F75">
              <w:rPr>
                <w:rFonts w:cs="Arial"/>
                <w:color w:val="000000"/>
                <w:szCs w:val="22"/>
              </w:rPr>
              <w:t>50%</w:t>
            </w:r>
          </w:p>
        </w:tc>
        <w:tc>
          <w:tcPr>
            <w:tcW w:w="1348" w:type="dxa"/>
            <w:vAlign w:val="bottom"/>
          </w:tcPr>
          <w:p w14:paraId="0DEC6B0C" w14:textId="77777777" w:rsidR="00620061" w:rsidRPr="00216F75" w:rsidRDefault="00620061">
            <w:pPr>
              <w:rPr>
                <w:rFonts w:cs="Arial"/>
                <w:szCs w:val="22"/>
              </w:rPr>
            </w:pPr>
            <w:r w:rsidRPr="00216F75">
              <w:rPr>
                <w:rFonts w:cs="Arial"/>
                <w:color w:val="000000"/>
                <w:szCs w:val="22"/>
              </w:rPr>
              <w:t>63.1</w:t>
            </w:r>
          </w:p>
        </w:tc>
        <w:tc>
          <w:tcPr>
            <w:tcW w:w="1348" w:type="dxa"/>
            <w:vAlign w:val="bottom"/>
          </w:tcPr>
          <w:p w14:paraId="41D36428" w14:textId="77777777" w:rsidR="00620061" w:rsidRPr="00216F75" w:rsidRDefault="00620061">
            <w:pPr>
              <w:rPr>
                <w:rFonts w:cs="Arial"/>
                <w:szCs w:val="22"/>
              </w:rPr>
            </w:pPr>
            <w:r w:rsidRPr="00216F75">
              <w:rPr>
                <w:rFonts w:cs="Arial"/>
                <w:color w:val="000000"/>
                <w:szCs w:val="22"/>
              </w:rPr>
              <w:t>0.005</w:t>
            </w:r>
          </w:p>
        </w:tc>
        <w:tc>
          <w:tcPr>
            <w:tcW w:w="1495" w:type="dxa"/>
            <w:vAlign w:val="bottom"/>
          </w:tcPr>
          <w:p w14:paraId="65B6203B" w14:textId="77777777" w:rsidR="00620061" w:rsidRPr="00216F75" w:rsidRDefault="00620061">
            <w:pPr>
              <w:rPr>
                <w:rFonts w:cs="Arial"/>
                <w:szCs w:val="22"/>
              </w:rPr>
            </w:pPr>
            <w:r w:rsidRPr="00216F75">
              <w:rPr>
                <w:rFonts w:cs="Arial"/>
                <w:color w:val="000000"/>
                <w:szCs w:val="22"/>
              </w:rPr>
              <w:t>0.0001</w:t>
            </w:r>
          </w:p>
        </w:tc>
      </w:tr>
      <w:tr w:rsidR="00620061" w:rsidRPr="00216F75" w14:paraId="1E4A6913" w14:textId="77777777">
        <w:tc>
          <w:tcPr>
            <w:tcW w:w="1457" w:type="dxa"/>
          </w:tcPr>
          <w:p w14:paraId="5DF1842D" w14:textId="77777777" w:rsidR="00620061" w:rsidRPr="00216F75" w:rsidRDefault="00620061">
            <w:pPr>
              <w:rPr>
                <w:rFonts w:cs="Arial"/>
                <w:szCs w:val="22"/>
              </w:rPr>
            </w:pPr>
            <w:r w:rsidRPr="00216F75">
              <w:rPr>
                <w:rFonts w:eastAsia="Montserrat" w:cs="Arial"/>
                <w:b/>
                <w:szCs w:val="22"/>
              </w:rPr>
              <w:t>Wood</w:t>
            </w:r>
            <w:r w:rsidRPr="00216F75">
              <w:rPr>
                <w:rFonts w:eastAsia="Montserrat" w:cs="Arial"/>
                <w:b/>
                <w:szCs w:val="22"/>
                <w:vertAlign w:val="superscript"/>
              </w:rPr>
              <w:t>1</w:t>
            </w:r>
          </w:p>
        </w:tc>
        <w:tc>
          <w:tcPr>
            <w:tcW w:w="1348" w:type="dxa"/>
            <w:vAlign w:val="bottom"/>
          </w:tcPr>
          <w:p w14:paraId="1568909C" w14:textId="77777777" w:rsidR="00620061" w:rsidRPr="00216F75" w:rsidRDefault="00620061">
            <w:pPr>
              <w:rPr>
                <w:rFonts w:cs="Arial"/>
                <w:szCs w:val="22"/>
              </w:rPr>
            </w:pPr>
            <w:r w:rsidRPr="00216F75">
              <w:rPr>
                <w:rFonts w:cs="Arial"/>
                <w:color w:val="000000"/>
                <w:szCs w:val="22"/>
              </w:rPr>
              <w:t>0.0156</w:t>
            </w:r>
          </w:p>
        </w:tc>
        <w:tc>
          <w:tcPr>
            <w:tcW w:w="2355" w:type="dxa"/>
            <w:vAlign w:val="bottom"/>
          </w:tcPr>
          <w:p w14:paraId="6780777A" w14:textId="77777777" w:rsidR="00620061" w:rsidRPr="00216F75" w:rsidRDefault="00620061">
            <w:pPr>
              <w:rPr>
                <w:rFonts w:eastAsia="Montserrat" w:cs="Arial"/>
                <w:szCs w:val="22"/>
              </w:rPr>
            </w:pPr>
            <w:r w:rsidRPr="00216F75">
              <w:rPr>
                <w:rFonts w:cs="Arial"/>
                <w:color w:val="000000"/>
                <w:szCs w:val="22"/>
              </w:rPr>
              <w:t>15%</w:t>
            </w:r>
          </w:p>
        </w:tc>
        <w:tc>
          <w:tcPr>
            <w:tcW w:w="1348" w:type="dxa"/>
            <w:vAlign w:val="bottom"/>
          </w:tcPr>
          <w:p w14:paraId="4674761C" w14:textId="77777777" w:rsidR="00620061" w:rsidRPr="00216F75" w:rsidRDefault="00620061">
            <w:pPr>
              <w:rPr>
                <w:rFonts w:cs="Arial"/>
                <w:szCs w:val="22"/>
              </w:rPr>
            </w:pPr>
            <w:r w:rsidRPr="00216F75">
              <w:rPr>
                <w:rFonts w:cs="Arial"/>
                <w:color w:val="000000"/>
                <w:szCs w:val="22"/>
              </w:rPr>
              <w:t>112</w:t>
            </w:r>
          </w:p>
        </w:tc>
        <w:tc>
          <w:tcPr>
            <w:tcW w:w="1348" w:type="dxa"/>
            <w:vAlign w:val="bottom"/>
          </w:tcPr>
          <w:p w14:paraId="7CE3F47F" w14:textId="77777777" w:rsidR="00620061" w:rsidRPr="00216F75" w:rsidRDefault="00620061">
            <w:pPr>
              <w:rPr>
                <w:rFonts w:cs="Arial"/>
                <w:szCs w:val="22"/>
              </w:rPr>
            </w:pPr>
            <w:r w:rsidRPr="00216F75">
              <w:rPr>
                <w:rFonts w:cs="Arial"/>
                <w:color w:val="000000"/>
                <w:szCs w:val="22"/>
              </w:rPr>
              <w:t>0.3</w:t>
            </w:r>
          </w:p>
        </w:tc>
        <w:tc>
          <w:tcPr>
            <w:tcW w:w="1495" w:type="dxa"/>
            <w:vAlign w:val="bottom"/>
          </w:tcPr>
          <w:p w14:paraId="5027B4A8" w14:textId="77777777" w:rsidR="00620061" w:rsidRPr="00216F75" w:rsidRDefault="00620061">
            <w:pPr>
              <w:rPr>
                <w:rFonts w:cs="Arial"/>
                <w:szCs w:val="22"/>
              </w:rPr>
            </w:pPr>
            <w:r w:rsidRPr="00216F75">
              <w:rPr>
                <w:rFonts w:cs="Arial"/>
                <w:color w:val="000000"/>
                <w:szCs w:val="22"/>
              </w:rPr>
              <w:t>0.004</w:t>
            </w:r>
          </w:p>
        </w:tc>
      </w:tr>
      <w:tr w:rsidR="00620061" w:rsidRPr="00216F75" w14:paraId="6A0D8C8B" w14:textId="77777777">
        <w:tc>
          <w:tcPr>
            <w:tcW w:w="1457" w:type="dxa"/>
          </w:tcPr>
          <w:p w14:paraId="27ADC1CA" w14:textId="77777777" w:rsidR="00620061" w:rsidRPr="00216F75" w:rsidRDefault="00620061">
            <w:pPr>
              <w:rPr>
                <w:rFonts w:eastAsia="Montserrat" w:cs="Arial"/>
                <w:b/>
                <w:szCs w:val="22"/>
              </w:rPr>
            </w:pPr>
            <w:r w:rsidRPr="00216F75">
              <w:rPr>
                <w:rFonts w:eastAsia="Montserrat" w:cs="Arial"/>
                <w:b/>
                <w:szCs w:val="22"/>
              </w:rPr>
              <w:t>Dung</w:t>
            </w:r>
            <w:r w:rsidRPr="00216F75">
              <w:rPr>
                <w:rFonts w:eastAsia="Montserrat" w:cs="Arial"/>
                <w:b/>
                <w:szCs w:val="22"/>
                <w:vertAlign w:val="superscript"/>
              </w:rPr>
              <w:t>1, 6-</w:t>
            </w:r>
            <w:r w:rsidRPr="00216F75">
              <w:rPr>
                <w:rFonts w:eastAsia="Montserrat" w:cs="Arial"/>
                <w:b/>
                <w:bCs/>
                <w:szCs w:val="22"/>
                <w:vertAlign w:val="superscript"/>
              </w:rPr>
              <w:t>9</w:t>
            </w:r>
          </w:p>
        </w:tc>
        <w:tc>
          <w:tcPr>
            <w:tcW w:w="1348" w:type="dxa"/>
            <w:vAlign w:val="bottom"/>
          </w:tcPr>
          <w:p w14:paraId="4FF02B96" w14:textId="77777777" w:rsidR="00620061" w:rsidRPr="00216F75" w:rsidRDefault="00620061">
            <w:pPr>
              <w:rPr>
                <w:rFonts w:cs="Arial"/>
                <w:color w:val="000000"/>
                <w:szCs w:val="22"/>
              </w:rPr>
            </w:pPr>
            <w:r w:rsidRPr="00216F75">
              <w:rPr>
                <w:rFonts w:cs="Arial"/>
                <w:color w:val="000000" w:themeColor="text1"/>
                <w:szCs w:val="22"/>
              </w:rPr>
              <w:t>0.012</w:t>
            </w:r>
          </w:p>
        </w:tc>
        <w:tc>
          <w:tcPr>
            <w:tcW w:w="2355" w:type="dxa"/>
            <w:vAlign w:val="bottom"/>
          </w:tcPr>
          <w:p w14:paraId="4BC50517" w14:textId="77777777" w:rsidR="00620061" w:rsidRPr="00216F75" w:rsidRDefault="00620061">
            <w:pPr>
              <w:rPr>
                <w:rFonts w:cs="Arial"/>
                <w:color w:val="000000"/>
                <w:szCs w:val="22"/>
              </w:rPr>
            </w:pPr>
            <w:r w:rsidRPr="00216F75">
              <w:rPr>
                <w:rFonts w:cs="Arial"/>
                <w:color w:val="000000" w:themeColor="text1"/>
                <w:szCs w:val="22"/>
              </w:rPr>
              <w:t>15%</w:t>
            </w:r>
          </w:p>
        </w:tc>
        <w:tc>
          <w:tcPr>
            <w:tcW w:w="1348" w:type="dxa"/>
            <w:vAlign w:val="bottom"/>
          </w:tcPr>
          <w:p w14:paraId="606116E6" w14:textId="77777777" w:rsidR="00620061" w:rsidRPr="00216F75" w:rsidRDefault="00620061">
            <w:pPr>
              <w:rPr>
                <w:rFonts w:cs="Arial"/>
                <w:color w:val="000000"/>
                <w:szCs w:val="22"/>
              </w:rPr>
            </w:pPr>
            <w:r w:rsidRPr="00216F75">
              <w:rPr>
                <w:rFonts w:cs="Arial"/>
                <w:color w:val="000000"/>
                <w:szCs w:val="22"/>
              </w:rPr>
              <w:t>80.4</w:t>
            </w:r>
          </w:p>
        </w:tc>
        <w:tc>
          <w:tcPr>
            <w:tcW w:w="1348" w:type="dxa"/>
            <w:vAlign w:val="bottom"/>
          </w:tcPr>
          <w:p w14:paraId="07B863B4" w14:textId="77777777" w:rsidR="00620061" w:rsidRPr="00216F75" w:rsidRDefault="00620061">
            <w:pPr>
              <w:rPr>
                <w:rFonts w:cs="Arial"/>
                <w:color w:val="000000"/>
                <w:szCs w:val="22"/>
              </w:rPr>
            </w:pPr>
            <w:r w:rsidRPr="00216F75">
              <w:rPr>
                <w:rFonts w:cs="Arial"/>
                <w:color w:val="000000"/>
                <w:szCs w:val="22"/>
              </w:rPr>
              <w:t>.83</w:t>
            </w:r>
          </w:p>
        </w:tc>
        <w:tc>
          <w:tcPr>
            <w:tcW w:w="1495" w:type="dxa"/>
            <w:vAlign w:val="bottom"/>
          </w:tcPr>
          <w:p w14:paraId="47D5A451" w14:textId="77777777" w:rsidR="00620061" w:rsidRPr="00216F75" w:rsidRDefault="00620061">
            <w:pPr>
              <w:rPr>
                <w:rFonts w:cs="Arial"/>
                <w:color w:val="000000"/>
                <w:szCs w:val="22"/>
              </w:rPr>
            </w:pPr>
            <w:r w:rsidRPr="00216F75">
              <w:rPr>
                <w:rFonts w:cs="Arial"/>
                <w:color w:val="000000"/>
                <w:szCs w:val="22"/>
              </w:rPr>
              <w:t>0.004</w:t>
            </w:r>
          </w:p>
        </w:tc>
      </w:tr>
      <w:tr w:rsidR="00620061" w:rsidRPr="00216F75" w14:paraId="4A0585D4" w14:textId="77777777">
        <w:tc>
          <w:tcPr>
            <w:tcW w:w="1457" w:type="dxa"/>
            <w:vAlign w:val="bottom"/>
          </w:tcPr>
          <w:p w14:paraId="24D59786" w14:textId="77777777" w:rsidR="00620061" w:rsidRPr="00216F75" w:rsidRDefault="00620061">
            <w:pPr>
              <w:rPr>
                <w:rFonts w:eastAsia="Montserrat" w:cs="Arial"/>
                <w:b/>
                <w:szCs w:val="22"/>
              </w:rPr>
            </w:pPr>
            <w:r w:rsidRPr="00216F75">
              <w:rPr>
                <w:rFonts w:cs="Arial"/>
                <w:b/>
                <w:color w:val="000000"/>
                <w:szCs w:val="22"/>
              </w:rPr>
              <w:t xml:space="preserve">Other liquid biofuels </w:t>
            </w:r>
            <w:r w:rsidRPr="00216F75">
              <w:rPr>
                <w:rFonts w:cs="Arial"/>
                <w:b/>
                <w:color w:val="000000"/>
                <w:szCs w:val="22"/>
                <w:vertAlign w:val="superscript"/>
              </w:rPr>
              <w:t>1</w:t>
            </w:r>
          </w:p>
        </w:tc>
        <w:tc>
          <w:tcPr>
            <w:tcW w:w="1348" w:type="dxa"/>
            <w:vAlign w:val="bottom"/>
          </w:tcPr>
          <w:p w14:paraId="3122C027" w14:textId="77777777" w:rsidR="00620061" w:rsidRPr="00216F75" w:rsidRDefault="00620061">
            <w:pPr>
              <w:rPr>
                <w:rFonts w:eastAsia="Montserrat" w:cs="Arial"/>
                <w:szCs w:val="22"/>
              </w:rPr>
            </w:pPr>
            <w:r w:rsidRPr="00216F75">
              <w:rPr>
                <w:rFonts w:cs="Arial"/>
                <w:color w:val="000000"/>
                <w:szCs w:val="22"/>
              </w:rPr>
              <w:t>0.0274</w:t>
            </w:r>
          </w:p>
        </w:tc>
        <w:tc>
          <w:tcPr>
            <w:tcW w:w="2355" w:type="dxa"/>
            <w:vAlign w:val="bottom"/>
          </w:tcPr>
          <w:p w14:paraId="1D327528" w14:textId="77777777" w:rsidR="00620061" w:rsidRPr="00216F75" w:rsidRDefault="00620061">
            <w:pPr>
              <w:rPr>
                <w:rFonts w:eastAsia="Montserrat" w:cs="Arial"/>
                <w:szCs w:val="22"/>
              </w:rPr>
            </w:pPr>
            <w:r w:rsidRPr="00216F75">
              <w:rPr>
                <w:rFonts w:cs="Arial"/>
                <w:color w:val="000000"/>
                <w:szCs w:val="22"/>
              </w:rPr>
              <w:t>50%</w:t>
            </w:r>
          </w:p>
        </w:tc>
        <w:tc>
          <w:tcPr>
            <w:tcW w:w="1348" w:type="dxa"/>
            <w:vAlign w:val="bottom"/>
          </w:tcPr>
          <w:p w14:paraId="33C542F8" w14:textId="77777777" w:rsidR="00620061" w:rsidRPr="00216F75" w:rsidRDefault="00620061">
            <w:pPr>
              <w:rPr>
                <w:rFonts w:eastAsia="Montserrat" w:cs="Arial"/>
                <w:szCs w:val="22"/>
              </w:rPr>
            </w:pPr>
            <w:r w:rsidRPr="00216F75">
              <w:rPr>
                <w:rFonts w:cs="Arial"/>
                <w:color w:val="000000"/>
                <w:szCs w:val="22"/>
              </w:rPr>
              <w:t>79.6</w:t>
            </w:r>
          </w:p>
        </w:tc>
        <w:tc>
          <w:tcPr>
            <w:tcW w:w="1348" w:type="dxa"/>
            <w:vAlign w:val="bottom"/>
          </w:tcPr>
          <w:p w14:paraId="31A6E9DA" w14:textId="77777777" w:rsidR="00620061" w:rsidRPr="00216F75" w:rsidRDefault="00620061">
            <w:pPr>
              <w:rPr>
                <w:rFonts w:eastAsia="Montserrat" w:cs="Arial"/>
                <w:szCs w:val="22"/>
              </w:rPr>
            </w:pPr>
            <w:r w:rsidRPr="00216F75">
              <w:rPr>
                <w:rFonts w:cs="Arial"/>
                <w:color w:val="000000"/>
                <w:szCs w:val="22"/>
              </w:rPr>
              <w:t>0.01</w:t>
            </w:r>
          </w:p>
        </w:tc>
        <w:tc>
          <w:tcPr>
            <w:tcW w:w="1495" w:type="dxa"/>
            <w:vAlign w:val="bottom"/>
          </w:tcPr>
          <w:p w14:paraId="6B662E27" w14:textId="77777777" w:rsidR="00620061" w:rsidRPr="00216F75" w:rsidRDefault="00620061">
            <w:pPr>
              <w:rPr>
                <w:rFonts w:eastAsia="Montserrat" w:cs="Arial"/>
                <w:szCs w:val="22"/>
              </w:rPr>
            </w:pPr>
            <w:r w:rsidRPr="00216F75">
              <w:rPr>
                <w:rFonts w:cs="Arial"/>
                <w:color w:val="000000"/>
                <w:szCs w:val="22"/>
              </w:rPr>
              <w:t>0.0006</w:t>
            </w:r>
          </w:p>
        </w:tc>
      </w:tr>
      <w:tr w:rsidR="00620061" w:rsidRPr="00216F75" w14:paraId="17EDEB1F" w14:textId="77777777">
        <w:tc>
          <w:tcPr>
            <w:tcW w:w="1457" w:type="dxa"/>
            <w:vAlign w:val="bottom"/>
          </w:tcPr>
          <w:p w14:paraId="50EBF300" w14:textId="77777777" w:rsidR="00620061" w:rsidRPr="00216F75" w:rsidRDefault="00620061">
            <w:pPr>
              <w:rPr>
                <w:rFonts w:eastAsia="Montserrat" w:cs="Arial"/>
                <w:b/>
                <w:szCs w:val="22"/>
              </w:rPr>
            </w:pPr>
            <w:r w:rsidRPr="00216F75">
              <w:rPr>
                <w:rFonts w:cs="Arial"/>
                <w:b/>
                <w:color w:val="000000"/>
                <w:szCs w:val="22"/>
              </w:rPr>
              <w:t>Anthracite</w:t>
            </w:r>
            <w:r w:rsidRPr="00216F75">
              <w:rPr>
                <w:rFonts w:cs="Arial"/>
                <w:b/>
                <w:color w:val="000000"/>
                <w:szCs w:val="22"/>
                <w:vertAlign w:val="superscript"/>
              </w:rPr>
              <w:t>1</w:t>
            </w:r>
          </w:p>
        </w:tc>
        <w:tc>
          <w:tcPr>
            <w:tcW w:w="1348" w:type="dxa"/>
            <w:vAlign w:val="bottom"/>
          </w:tcPr>
          <w:p w14:paraId="06D630CD" w14:textId="77777777" w:rsidR="00620061" w:rsidRPr="00216F75" w:rsidRDefault="00620061">
            <w:pPr>
              <w:rPr>
                <w:rFonts w:eastAsia="Montserrat" w:cs="Arial"/>
                <w:szCs w:val="22"/>
              </w:rPr>
            </w:pPr>
            <w:r w:rsidRPr="00216F75">
              <w:rPr>
                <w:rFonts w:cs="Arial"/>
                <w:color w:val="000000"/>
                <w:szCs w:val="22"/>
              </w:rPr>
              <w:t>0.0267</w:t>
            </w:r>
          </w:p>
        </w:tc>
        <w:tc>
          <w:tcPr>
            <w:tcW w:w="2355" w:type="dxa"/>
            <w:vAlign w:val="bottom"/>
          </w:tcPr>
          <w:p w14:paraId="621AEE3B" w14:textId="77777777" w:rsidR="00620061" w:rsidRPr="00216F75" w:rsidRDefault="00620061">
            <w:pPr>
              <w:rPr>
                <w:rFonts w:eastAsia="Montserrat" w:cs="Arial"/>
                <w:szCs w:val="22"/>
              </w:rPr>
            </w:pPr>
            <w:r w:rsidRPr="00216F75">
              <w:rPr>
                <w:rFonts w:eastAsia="Montserrat" w:cs="Arial"/>
                <w:szCs w:val="22"/>
              </w:rPr>
              <w:t>Project-specific</w:t>
            </w:r>
          </w:p>
        </w:tc>
        <w:tc>
          <w:tcPr>
            <w:tcW w:w="1348" w:type="dxa"/>
            <w:vAlign w:val="bottom"/>
          </w:tcPr>
          <w:p w14:paraId="3E322B65" w14:textId="77777777" w:rsidR="00620061" w:rsidRPr="00216F75" w:rsidRDefault="00620061">
            <w:pPr>
              <w:rPr>
                <w:rFonts w:eastAsia="Montserrat" w:cs="Arial"/>
                <w:szCs w:val="22"/>
              </w:rPr>
            </w:pPr>
            <w:r w:rsidRPr="00216F75">
              <w:rPr>
                <w:rFonts w:cs="Arial"/>
                <w:color w:val="000000"/>
                <w:szCs w:val="22"/>
              </w:rPr>
              <w:t>98.3</w:t>
            </w:r>
          </w:p>
        </w:tc>
        <w:tc>
          <w:tcPr>
            <w:tcW w:w="1348" w:type="dxa"/>
            <w:vAlign w:val="bottom"/>
          </w:tcPr>
          <w:p w14:paraId="25B792FE" w14:textId="77777777" w:rsidR="00620061" w:rsidRPr="00216F75" w:rsidRDefault="00620061">
            <w:pPr>
              <w:rPr>
                <w:rFonts w:eastAsia="Montserrat" w:cs="Arial"/>
                <w:szCs w:val="22"/>
              </w:rPr>
            </w:pPr>
            <w:r w:rsidRPr="00216F75">
              <w:rPr>
                <w:rFonts w:cs="Arial"/>
                <w:color w:val="000000"/>
                <w:szCs w:val="22"/>
              </w:rPr>
              <w:t>0.3</w:t>
            </w:r>
          </w:p>
        </w:tc>
        <w:tc>
          <w:tcPr>
            <w:tcW w:w="1495" w:type="dxa"/>
            <w:vAlign w:val="bottom"/>
          </w:tcPr>
          <w:p w14:paraId="0E8ED0D3" w14:textId="77777777" w:rsidR="00620061" w:rsidRPr="00216F75" w:rsidRDefault="00620061">
            <w:pPr>
              <w:rPr>
                <w:rFonts w:eastAsia="Montserrat" w:cs="Arial"/>
                <w:szCs w:val="22"/>
              </w:rPr>
            </w:pPr>
            <w:r w:rsidRPr="00216F75">
              <w:rPr>
                <w:rFonts w:cs="Arial"/>
                <w:color w:val="000000"/>
                <w:szCs w:val="22"/>
              </w:rPr>
              <w:t>0.0015</w:t>
            </w:r>
          </w:p>
        </w:tc>
      </w:tr>
      <w:tr w:rsidR="00620061" w:rsidRPr="00216F75" w14:paraId="4214F7E3" w14:textId="77777777">
        <w:tc>
          <w:tcPr>
            <w:tcW w:w="1457" w:type="dxa"/>
            <w:vAlign w:val="bottom"/>
          </w:tcPr>
          <w:p w14:paraId="1D61CE25" w14:textId="77777777" w:rsidR="00620061" w:rsidRPr="00216F75" w:rsidRDefault="00620061">
            <w:pPr>
              <w:rPr>
                <w:rFonts w:eastAsia="Montserrat" w:cs="Arial"/>
                <w:b/>
                <w:szCs w:val="22"/>
              </w:rPr>
            </w:pPr>
            <w:r w:rsidRPr="00216F75">
              <w:rPr>
                <w:rFonts w:cs="Arial"/>
                <w:b/>
                <w:color w:val="000000"/>
                <w:szCs w:val="22"/>
              </w:rPr>
              <w:t>Other (Bituminous Coal)</w:t>
            </w:r>
            <w:r w:rsidRPr="00216F75">
              <w:rPr>
                <w:rFonts w:cs="Arial"/>
                <w:b/>
                <w:color w:val="000000"/>
                <w:szCs w:val="22"/>
                <w:vertAlign w:val="superscript"/>
              </w:rPr>
              <w:t>1</w:t>
            </w:r>
          </w:p>
        </w:tc>
        <w:tc>
          <w:tcPr>
            <w:tcW w:w="1348" w:type="dxa"/>
            <w:vAlign w:val="bottom"/>
          </w:tcPr>
          <w:p w14:paraId="4C2E18AA" w14:textId="77777777" w:rsidR="00620061" w:rsidRPr="00216F75" w:rsidRDefault="00620061">
            <w:pPr>
              <w:rPr>
                <w:rFonts w:eastAsia="Montserrat" w:cs="Arial"/>
                <w:szCs w:val="22"/>
              </w:rPr>
            </w:pPr>
            <w:r w:rsidRPr="00216F75">
              <w:rPr>
                <w:rFonts w:cs="Arial"/>
                <w:color w:val="000000"/>
                <w:szCs w:val="22"/>
              </w:rPr>
              <w:t>0.0258</w:t>
            </w:r>
          </w:p>
        </w:tc>
        <w:tc>
          <w:tcPr>
            <w:tcW w:w="2355" w:type="dxa"/>
            <w:vAlign w:val="bottom"/>
          </w:tcPr>
          <w:p w14:paraId="1F750694" w14:textId="77777777" w:rsidR="00620061" w:rsidRPr="00216F75" w:rsidRDefault="00620061">
            <w:pPr>
              <w:rPr>
                <w:rFonts w:eastAsia="Montserrat" w:cs="Arial"/>
                <w:szCs w:val="22"/>
              </w:rPr>
            </w:pPr>
            <w:r w:rsidRPr="00216F75">
              <w:rPr>
                <w:rFonts w:eastAsia="Montserrat" w:cs="Arial"/>
                <w:szCs w:val="22"/>
              </w:rPr>
              <w:t>Project-specific</w:t>
            </w:r>
          </w:p>
        </w:tc>
        <w:tc>
          <w:tcPr>
            <w:tcW w:w="1348" w:type="dxa"/>
            <w:vAlign w:val="bottom"/>
          </w:tcPr>
          <w:p w14:paraId="678A26EB" w14:textId="77777777" w:rsidR="00620061" w:rsidRPr="00216F75" w:rsidRDefault="00620061">
            <w:pPr>
              <w:rPr>
                <w:rFonts w:eastAsia="Montserrat" w:cs="Arial"/>
                <w:szCs w:val="22"/>
              </w:rPr>
            </w:pPr>
            <w:r w:rsidRPr="00216F75">
              <w:rPr>
                <w:rFonts w:cs="Arial"/>
                <w:color w:val="000000"/>
                <w:szCs w:val="22"/>
              </w:rPr>
              <w:t>94.6</w:t>
            </w:r>
          </w:p>
        </w:tc>
        <w:tc>
          <w:tcPr>
            <w:tcW w:w="1348" w:type="dxa"/>
            <w:vAlign w:val="bottom"/>
          </w:tcPr>
          <w:p w14:paraId="3A03E654" w14:textId="77777777" w:rsidR="00620061" w:rsidRPr="00216F75" w:rsidRDefault="00620061">
            <w:pPr>
              <w:rPr>
                <w:rFonts w:eastAsia="Montserrat" w:cs="Arial"/>
                <w:szCs w:val="22"/>
              </w:rPr>
            </w:pPr>
            <w:r w:rsidRPr="00216F75">
              <w:rPr>
                <w:rFonts w:cs="Arial"/>
                <w:color w:val="000000"/>
                <w:szCs w:val="22"/>
              </w:rPr>
              <w:t>0.3</w:t>
            </w:r>
          </w:p>
        </w:tc>
        <w:tc>
          <w:tcPr>
            <w:tcW w:w="1495" w:type="dxa"/>
            <w:vAlign w:val="bottom"/>
          </w:tcPr>
          <w:p w14:paraId="42A80001" w14:textId="77777777" w:rsidR="00620061" w:rsidRPr="00216F75" w:rsidRDefault="00620061">
            <w:pPr>
              <w:rPr>
                <w:rFonts w:eastAsia="Montserrat" w:cs="Arial"/>
                <w:szCs w:val="22"/>
              </w:rPr>
            </w:pPr>
            <w:r w:rsidRPr="00216F75">
              <w:rPr>
                <w:rFonts w:cs="Arial"/>
                <w:color w:val="000000"/>
                <w:szCs w:val="22"/>
              </w:rPr>
              <w:t>0.0015</w:t>
            </w:r>
          </w:p>
        </w:tc>
      </w:tr>
      <w:tr w:rsidR="00620061" w:rsidRPr="00216F75" w14:paraId="22ED4336" w14:textId="77777777">
        <w:tc>
          <w:tcPr>
            <w:tcW w:w="1457" w:type="dxa"/>
            <w:vAlign w:val="bottom"/>
          </w:tcPr>
          <w:p w14:paraId="39768AEB" w14:textId="77777777" w:rsidR="00620061" w:rsidRPr="00216F75" w:rsidRDefault="00620061">
            <w:pPr>
              <w:rPr>
                <w:rFonts w:eastAsia="Montserrat" w:cs="Arial"/>
                <w:b/>
                <w:szCs w:val="22"/>
              </w:rPr>
            </w:pPr>
            <w:r w:rsidRPr="00216F75">
              <w:rPr>
                <w:rFonts w:cs="Arial"/>
                <w:b/>
                <w:color w:val="000000"/>
                <w:szCs w:val="22"/>
              </w:rPr>
              <w:t>Sub-Bituminous</w:t>
            </w:r>
            <w:r w:rsidRPr="00216F75">
              <w:rPr>
                <w:rFonts w:cs="Arial"/>
                <w:b/>
                <w:color w:val="000000"/>
                <w:szCs w:val="22"/>
                <w:vertAlign w:val="superscript"/>
              </w:rPr>
              <w:t>1</w:t>
            </w:r>
          </w:p>
        </w:tc>
        <w:tc>
          <w:tcPr>
            <w:tcW w:w="1348" w:type="dxa"/>
            <w:vAlign w:val="bottom"/>
          </w:tcPr>
          <w:p w14:paraId="13BC2FD7" w14:textId="77777777" w:rsidR="00620061" w:rsidRPr="00216F75" w:rsidRDefault="00620061">
            <w:pPr>
              <w:rPr>
                <w:rFonts w:eastAsia="Montserrat" w:cs="Arial"/>
                <w:szCs w:val="22"/>
              </w:rPr>
            </w:pPr>
            <w:r w:rsidRPr="00216F75">
              <w:rPr>
                <w:rFonts w:cs="Arial"/>
                <w:color w:val="000000"/>
                <w:szCs w:val="22"/>
              </w:rPr>
              <w:t>0.0189</w:t>
            </w:r>
          </w:p>
        </w:tc>
        <w:tc>
          <w:tcPr>
            <w:tcW w:w="2355" w:type="dxa"/>
            <w:vAlign w:val="bottom"/>
          </w:tcPr>
          <w:p w14:paraId="3584161C" w14:textId="77777777" w:rsidR="00620061" w:rsidRPr="00216F75" w:rsidRDefault="00620061">
            <w:pPr>
              <w:rPr>
                <w:rFonts w:eastAsia="Montserrat" w:cs="Arial"/>
                <w:szCs w:val="22"/>
              </w:rPr>
            </w:pPr>
            <w:r w:rsidRPr="00216F75">
              <w:rPr>
                <w:rFonts w:eastAsia="Montserrat" w:cs="Arial"/>
                <w:szCs w:val="22"/>
              </w:rPr>
              <w:t>Project-specific</w:t>
            </w:r>
          </w:p>
        </w:tc>
        <w:tc>
          <w:tcPr>
            <w:tcW w:w="1348" w:type="dxa"/>
            <w:vAlign w:val="bottom"/>
          </w:tcPr>
          <w:p w14:paraId="27510332" w14:textId="77777777" w:rsidR="00620061" w:rsidRPr="00216F75" w:rsidRDefault="00620061">
            <w:pPr>
              <w:rPr>
                <w:rFonts w:eastAsia="Montserrat" w:cs="Arial"/>
                <w:szCs w:val="22"/>
              </w:rPr>
            </w:pPr>
            <w:r w:rsidRPr="00216F75">
              <w:rPr>
                <w:rFonts w:cs="Arial"/>
                <w:color w:val="000000"/>
                <w:szCs w:val="22"/>
              </w:rPr>
              <w:t>96.1</w:t>
            </w:r>
          </w:p>
        </w:tc>
        <w:tc>
          <w:tcPr>
            <w:tcW w:w="1348" w:type="dxa"/>
            <w:vAlign w:val="bottom"/>
          </w:tcPr>
          <w:p w14:paraId="69F45287" w14:textId="77777777" w:rsidR="00620061" w:rsidRPr="00216F75" w:rsidRDefault="00620061">
            <w:pPr>
              <w:rPr>
                <w:rFonts w:eastAsia="Montserrat" w:cs="Arial"/>
                <w:szCs w:val="22"/>
              </w:rPr>
            </w:pPr>
            <w:r w:rsidRPr="00216F75">
              <w:rPr>
                <w:rFonts w:cs="Arial"/>
                <w:color w:val="000000"/>
                <w:szCs w:val="22"/>
              </w:rPr>
              <w:t>0.3</w:t>
            </w:r>
          </w:p>
        </w:tc>
        <w:tc>
          <w:tcPr>
            <w:tcW w:w="1495" w:type="dxa"/>
            <w:vAlign w:val="bottom"/>
          </w:tcPr>
          <w:p w14:paraId="5D0EFC2D" w14:textId="77777777" w:rsidR="00620061" w:rsidRPr="00216F75" w:rsidRDefault="00620061">
            <w:pPr>
              <w:rPr>
                <w:rFonts w:eastAsia="Montserrat" w:cs="Arial"/>
                <w:szCs w:val="22"/>
              </w:rPr>
            </w:pPr>
            <w:r w:rsidRPr="00216F75">
              <w:rPr>
                <w:rFonts w:cs="Arial"/>
                <w:color w:val="000000"/>
                <w:szCs w:val="22"/>
              </w:rPr>
              <w:t>0.0015</w:t>
            </w:r>
          </w:p>
        </w:tc>
      </w:tr>
    </w:tbl>
    <w:p w14:paraId="03382193" w14:textId="77777777" w:rsidR="00620061" w:rsidRPr="00216F75" w:rsidRDefault="00620061" w:rsidP="00620061">
      <w:pPr>
        <w:spacing w:line="324" w:lineRule="auto"/>
        <w:ind w:left="880" w:hanging="440"/>
        <w:rPr>
          <w:rFonts w:eastAsia="Montserrat" w:cs="Arial"/>
          <w:szCs w:val="22"/>
        </w:rPr>
      </w:pPr>
    </w:p>
    <w:p w14:paraId="1B6CA54C" w14:textId="77777777" w:rsidR="00620061" w:rsidRPr="00216F75" w:rsidRDefault="00620061" w:rsidP="00620061">
      <w:pPr>
        <w:spacing w:line="324" w:lineRule="auto"/>
        <w:rPr>
          <w:rFonts w:eastAsia="Montserrat" w:cs="Arial"/>
          <w:szCs w:val="22"/>
        </w:rPr>
      </w:pPr>
      <w:r w:rsidRPr="00216F75">
        <w:rPr>
          <w:rFonts w:eastAsia="Montserrat" w:cs="Arial"/>
          <w:b/>
          <w:szCs w:val="22"/>
        </w:rPr>
        <w:t>Notes</w:t>
      </w:r>
      <w:r w:rsidRPr="00216F75">
        <w:rPr>
          <w:rFonts w:eastAsia="Montserrat" w:cs="Arial"/>
          <w:szCs w:val="22"/>
        </w:rPr>
        <w:t>:</w:t>
      </w:r>
    </w:p>
    <w:p w14:paraId="320E247D" w14:textId="77777777" w:rsidR="00620061" w:rsidRPr="00216F75" w:rsidRDefault="00620061" w:rsidP="00620061">
      <w:pPr>
        <w:numPr>
          <w:ilvl w:val="0"/>
          <w:numId w:val="55"/>
        </w:numPr>
        <w:spacing w:line="324" w:lineRule="auto"/>
        <w:ind w:left="540"/>
        <w:jc w:val="left"/>
        <w:rPr>
          <w:rFonts w:eastAsia="Montserrat" w:cs="Arial"/>
          <w:szCs w:val="22"/>
        </w:rPr>
      </w:pPr>
      <w:r w:rsidRPr="00216F75">
        <w:rPr>
          <w:rFonts w:eastAsia="Montserrat" w:cs="Arial"/>
          <w:szCs w:val="22"/>
        </w:rPr>
        <w:t xml:space="preserve">To avoid double counting, the fuel emission factors above do not include upstream emissions, which are accounted for separately. </w:t>
      </w:r>
    </w:p>
    <w:p w14:paraId="639A8BA7" w14:textId="7191AFD9" w:rsidR="00620061" w:rsidRPr="00216F75" w:rsidRDefault="00620061" w:rsidP="00620061">
      <w:pPr>
        <w:numPr>
          <w:ilvl w:val="0"/>
          <w:numId w:val="55"/>
        </w:numPr>
        <w:spacing w:line="324" w:lineRule="auto"/>
        <w:ind w:left="540"/>
        <w:jc w:val="left"/>
        <w:rPr>
          <w:rFonts w:eastAsia="Montserrat" w:cs="Arial"/>
          <w:szCs w:val="22"/>
        </w:rPr>
      </w:pPr>
      <w:r w:rsidRPr="00216F75">
        <w:rPr>
          <w:rFonts w:eastAsia="Montserrat" w:cs="Arial"/>
          <w:szCs w:val="22"/>
        </w:rPr>
        <w:t xml:space="preserve">Project proponents must use the NCV values for wood and charcoal listed here. For other fuels, project level tests using ISO 19867 may be used. Significant variance between such outputs and the values above must be noted and justified in the </w:t>
      </w:r>
      <w:hyperlink w:anchor="A1" w:history="1">
        <w:r w:rsidRPr="00073CB1">
          <w:rPr>
            <w:rStyle w:val="Hyperlink"/>
            <w:rFonts w:eastAsia="Montserrat" w:cs="Arial"/>
            <w:szCs w:val="22"/>
          </w:rPr>
          <w:t>Project Information Cover Sheet</w:t>
        </w:r>
      </w:hyperlink>
      <w:r w:rsidRPr="00216F75">
        <w:rPr>
          <w:rFonts w:eastAsia="Montserrat" w:cs="Arial"/>
          <w:szCs w:val="22"/>
        </w:rPr>
        <w:t xml:space="preserve">. </w:t>
      </w:r>
    </w:p>
    <w:p w14:paraId="3AEC6102" w14:textId="77777777" w:rsidR="00620061" w:rsidRPr="00216F75" w:rsidRDefault="00620061" w:rsidP="00620061">
      <w:pPr>
        <w:numPr>
          <w:ilvl w:val="0"/>
          <w:numId w:val="55"/>
        </w:numPr>
        <w:spacing w:line="324" w:lineRule="auto"/>
        <w:ind w:left="540"/>
        <w:jc w:val="left"/>
        <w:rPr>
          <w:rFonts w:eastAsia="Montserrat" w:cs="Arial"/>
          <w:szCs w:val="22"/>
        </w:rPr>
      </w:pPr>
      <w:r w:rsidRPr="00216F75">
        <w:rPr>
          <w:rFonts w:eastAsia="Montserrat" w:cs="Arial"/>
          <w:szCs w:val="22"/>
        </w:rPr>
        <w:t xml:space="preserve">Default net calorific values and default emission factors for other fuel types (e.g., specific types of coal) can also be found in the 2006 IPCC Guidelines for National Greenhouse Gas Inventories or may be justified from literature and/or testing reports. </w:t>
      </w:r>
    </w:p>
    <w:p w14:paraId="19524D51" w14:textId="77777777" w:rsidR="00620061" w:rsidRPr="00216F75" w:rsidRDefault="00620061" w:rsidP="00620061">
      <w:pPr>
        <w:numPr>
          <w:ilvl w:val="0"/>
          <w:numId w:val="55"/>
        </w:numPr>
        <w:spacing w:line="324" w:lineRule="auto"/>
        <w:ind w:left="540"/>
        <w:jc w:val="left"/>
        <w:rPr>
          <w:rFonts w:eastAsia="Montserrat" w:cs="Arial"/>
          <w:szCs w:val="22"/>
        </w:rPr>
      </w:pPr>
      <w:r w:rsidRPr="00216F75">
        <w:rPr>
          <w:rFonts w:eastAsia="Montserrat" w:cs="Arial"/>
          <w:szCs w:val="22"/>
        </w:rPr>
        <w:t>GWPs from the IPCC Sixth Assessment Report (AR6.4) should be multiplied by the emission factors to convert them to CO</w:t>
      </w:r>
      <w:r w:rsidRPr="00216F75">
        <w:rPr>
          <w:rFonts w:eastAsia="Montserrat" w:cs="Arial"/>
          <w:szCs w:val="22"/>
          <w:vertAlign w:val="subscript"/>
        </w:rPr>
        <w:t>2</w:t>
      </w:r>
      <w:r w:rsidRPr="00216F75">
        <w:rPr>
          <w:rFonts w:eastAsia="Montserrat" w:cs="Arial"/>
          <w:szCs w:val="22"/>
        </w:rPr>
        <w:t>e as follows:</w:t>
      </w:r>
    </w:p>
    <w:p w14:paraId="056CC9C3" w14:textId="77777777" w:rsidR="00620061" w:rsidRPr="00216F75" w:rsidRDefault="00620061" w:rsidP="00620061">
      <w:pPr>
        <w:numPr>
          <w:ilvl w:val="1"/>
          <w:numId w:val="55"/>
        </w:numPr>
        <w:spacing w:line="324" w:lineRule="auto"/>
        <w:ind w:left="1260"/>
        <w:jc w:val="left"/>
        <w:rPr>
          <w:rFonts w:eastAsia="Montserrat" w:cs="Arial"/>
          <w:szCs w:val="22"/>
        </w:rPr>
      </w:pPr>
      <w:r w:rsidRPr="00216F75">
        <w:rPr>
          <w:rFonts w:eastAsia="Montserrat" w:cs="Arial"/>
          <w:szCs w:val="22"/>
        </w:rPr>
        <w:t>CO</w:t>
      </w:r>
      <w:r w:rsidRPr="00216F75">
        <w:rPr>
          <w:rFonts w:eastAsia="Montserrat" w:cs="Arial"/>
          <w:szCs w:val="22"/>
          <w:vertAlign w:val="subscript"/>
        </w:rPr>
        <w:t>2</w:t>
      </w:r>
      <w:r w:rsidRPr="00216F75">
        <w:rPr>
          <w:rFonts w:eastAsia="Montserrat" w:cs="Arial"/>
          <w:szCs w:val="22"/>
        </w:rPr>
        <w:t>: 1</w:t>
      </w:r>
    </w:p>
    <w:p w14:paraId="3984ED32" w14:textId="77777777" w:rsidR="00620061" w:rsidRPr="00216F75" w:rsidRDefault="00620061" w:rsidP="00620061">
      <w:pPr>
        <w:numPr>
          <w:ilvl w:val="1"/>
          <w:numId w:val="55"/>
        </w:numPr>
        <w:spacing w:line="324" w:lineRule="auto"/>
        <w:ind w:left="1260"/>
        <w:jc w:val="left"/>
        <w:rPr>
          <w:rFonts w:eastAsia="Montserrat" w:cs="Arial"/>
          <w:szCs w:val="22"/>
        </w:rPr>
      </w:pPr>
      <w:r w:rsidRPr="00216F75">
        <w:rPr>
          <w:rFonts w:eastAsia="Montserrat" w:cs="Arial"/>
          <w:szCs w:val="22"/>
        </w:rPr>
        <w:t>CH</w:t>
      </w:r>
      <w:r w:rsidRPr="00216F75">
        <w:rPr>
          <w:rFonts w:eastAsia="Montserrat" w:cs="Arial"/>
          <w:szCs w:val="22"/>
          <w:vertAlign w:val="subscript"/>
        </w:rPr>
        <w:t>4</w:t>
      </w:r>
      <w:r w:rsidRPr="00216F75">
        <w:rPr>
          <w:rFonts w:eastAsia="Montserrat" w:cs="Arial"/>
          <w:szCs w:val="22"/>
        </w:rPr>
        <w:t xml:space="preserve"> fossil fuels: 29.8</w:t>
      </w:r>
    </w:p>
    <w:p w14:paraId="3B8C6936" w14:textId="77777777" w:rsidR="00620061" w:rsidRPr="00216F75" w:rsidRDefault="00620061" w:rsidP="00620061">
      <w:pPr>
        <w:numPr>
          <w:ilvl w:val="1"/>
          <w:numId w:val="55"/>
        </w:numPr>
        <w:spacing w:line="324" w:lineRule="auto"/>
        <w:ind w:left="1260"/>
        <w:jc w:val="left"/>
        <w:rPr>
          <w:rFonts w:eastAsia="Montserrat" w:cs="Arial"/>
          <w:szCs w:val="22"/>
        </w:rPr>
      </w:pPr>
      <w:r w:rsidRPr="00216F75">
        <w:rPr>
          <w:rFonts w:eastAsia="Montserrat" w:cs="Arial"/>
          <w:szCs w:val="22"/>
        </w:rPr>
        <w:t>CH</w:t>
      </w:r>
      <w:r w:rsidRPr="00216F75">
        <w:rPr>
          <w:rFonts w:eastAsia="Montserrat" w:cs="Arial"/>
          <w:szCs w:val="22"/>
          <w:vertAlign w:val="subscript"/>
        </w:rPr>
        <w:t>4</w:t>
      </w:r>
      <w:r w:rsidRPr="00216F75">
        <w:rPr>
          <w:rFonts w:eastAsia="Montserrat" w:cs="Arial"/>
          <w:szCs w:val="22"/>
        </w:rPr>
        <w:t xml:space="preserve"> non fossil fuels: 27.2</w:t>
      </w:r>
    </w:p>
    <w:p w14:paraId="14AD127D" w14:textId="77777777" w:rsidR="00620061" w:rsidRPr="00216F75" w:rsidRDefault="00620061" w:rsidP="00620061">
      <w:pPr>
        <w:numPr>
          <w:ilvl w:val="1"/>
          <w:numId w:val="55"/>
        </w:numPr>
        <w:spacing w:line="324" w:lineRule="auto"/>
        <w:ind w:left="1260"/>
        <w:jc w:val="left"/>
        <w:rPr>
          <w:rFonts w:eastAsia="Montserrat" w:cs="Arial"/>
          <w:szCs w:val="22"/>
        </w:rPr>
      </w:pPr>
      <w:r w:rsidRPr="00216F75">
        <w:rPr>
          <w:rFonts w:eastAsia="Montserrat" w:cs="Arial"/>
          <w:szCs w:val="22"/>
        </w:rPr>
        <w:t>N</w:t>
      </w:r>
      <w:r w:rsidRPr="00216F75">
        <w:rPr>
          <w:rFonts w:eastAsia="Montserrat" w:cs="Arial"/>
          <w:szCs w:val="22"/>
          <w:vertAlign w:val="subscript"/>
        </w:rPr>
        <w:t>2</w:t>
      </w:r>
      <w:r w:rsidRPr="00216F75">
        <w:rPr>
          <w:rFonts w:eastAsia="Montserrat" w:cs="Arial"/>
          <w:szCs w:val="22"/>
        </w:rPr>
        <w:t xml:space="preserve">O: 273. </w:t>
      </w:r>
    </w:p>
    <w:p w14:paraId="4EAAFF08" w14:textId="77777777" w:rsidR="00620061" w:rsidRPr="00216F75" w:rsidDel="00450508" w:rsidRDefault="00620061" w:rsidP="00620061">
      <w:pPr>
        <w:numPr>
          <w:ilvl w:val="0"/>
          <w:numId w:val="55"/>
        </w:numPr>
        <w:spacing w:line="324" w:lineRule="auto"/>
        <w:ind w:left="540"/>
        <w:jc w:val="left"/>
        <w:rPr>
          <w:rFonts w:eastAsia="Montserrat" w:cs="Arial"/>
          <w:szCs w:val="22"/>
        </w:rPr>
      </w:pPr>
      <w:r w:rsidRPr="00216F75">
        <w:rPr>
          <w:rFonts w:eastAsia="Montserrat" w:cs="Arial"/>
          <w:szCs w:val="22"/>
        </w:rPr>
        <w:t>The tonnes CO</w:t>
      </w:r>
      <w:r w:rsidRPr="00216F75">
        <w:rPr>
          <w:rFonts w:eastAsia="Montserrat" w:cs="Arial"/>
          <w:szCs w:val="22"/>
          <w:vertAlign w:val="subscript"/>
        </w:rPr>
        <w:t>2</w:t>
      </w:r>
      <w:r w:rsidRPr="00216F75">
        <w:rPr>
          <w:rFonts w:eastAsia="Montserrat" w:cs="Arial"/>
          <w:szCs w:val="22"/>
        </w:rPr>
        <w:t>e per TJ for CO</w:t>
      </w:r>
      <w:r w:rsidRPr="00216F75">
        <w:rPr>
          <w:rFonts w:eastAsia="Montserrat" w:cs="Arial"/>
          <w:szCs w:val="22"/>
          <w:vertAlign w:val="subscript"/>
        </w:rPr>
        <w:t>2</w:t>
      </w:r>
      <w:r w:rsidRPr="00216F75">
        <w:rPr>
          <w:rFonts w:eastAsia="Montserrat" w:cs="Arial"/>
          <w:szCs w:val="22"/>
        </w:rPr>
        <w:t>, CH</w:t>
      </w:r>
      <w:r w:rsidRPr="00216F75">
        <w:rPr>
          <w:rFonts w:eastAsia="Montserrat" w:cs="Arial"/>
          <w:szCs w:val="22"/>
          <w:vertAlign w:val="subscript"/>
        </w:rPr>
        <w:t>4</w:t>
      </w:r>
      <w:r w:rsidRPr="00216F75">
        <w:rPr>
          <w:rFonts w:eastAsia="Montserrat" w:cs="Arial"/>
          <w:szCs w:val="22"/>
        </w:rPr>
        <w:t>, and N</w:t>
      </w:r>
      <w:r w:rsidRPr="00216F75">
        <w:rPr>
          <w:rFonts w:eastAsia="Montserrat" w:cs="Arial"/>
          <w:szCs w:val="22"/>
          <w:vertAlign w:val="subscript"/>
        </w:rPr>
        <w:t>2</w:t>
      </w:r>
      <w:r w:rsidRPr="00216F75">
        <w:rPr>
          <w:rFonts w:eastAsia="Montserrat" w:cs="Arial"/>
          <w:szCs w:val="22"/>
        </w:rPr>
        <w:t xml:space="preserve">O should be summed. </w:t>
      </w:r>
    </w:p>
    <w:p w14:paraId="1106A389" w14:textId="77777777" w:rsidR="00620061" w:rsidRPr="00216F75" w:rsidRDefault="00620061" w:rsidP="00620061">
      <w:pPr>
        <w:spacing w:line="324" w:lineRule="auto"/>
        <w:ind w:left="440"/>
        <w:rPr>
          <w:rFonts w:eastAsia="Montserrat" w:cs="Arial"/>
          <w:szCs w:val="22"/>
        </w:rPr>
      </w:pPr>
    </w:p>
    <w:p w14:paraId="46BC7923" w14:textId="77777777" w:rsidR="00620061" w:rsidRPr="00216F75" w:rsidRDefault="00620061" w:rsidP="00620061">
      <w:pPr>
        <w:spacing w:line="324" w:lineRule="auto"/>
        <w:rPr>
          <w:rFonts w:eastAsia="Montserrat" w:cs="Arial"/>
          <w:b/>
          <w:bCs/>
          <w:szCs w:val="22"/>
        </w:rPr>
      </w:pPr>
      <w:r w:rsidRPr="00216F75">
        <w:rPr>
          <w:rFonts w:eastAsia="Montserrat" w:cs="Arial"/>
          <w:b/>
          <w:bCs/>
          <w:szCs w:val="22"/>
        </w:rPr>
        <w:t>Sources</w:t>
      </w:r>
    </w:p>
    <w:p w14:paraId="478020A9" w14:textId="77777777" w:rsidR="00620061" w:rsidRPr="00216F75" w:rsidRDefault="00620061" w:rsidP="00620061">
      <w:pPr>
        <w:spacing w:line="288" w:lineRule="auto"/>
        <w:ind w:left="892" w:hanging="446"/>
        <w:rPr>
          <w:rFonts w:eastAsia="Montserrat" w:cs="Arial"/>
          <w:szCs w:val="22"/>
        </w:rPr>
      </w:pPr>
      <w:r w:rsidRPr="00216F75">
        <w:rPr>
          <w:rFonts w:eastAsia="Montserrat" w:cs="Arial"/>
          <w:szCs w:val="22"/>
          <w:vertAlign w:val="superscript"/>
        </w:rPr>
        <w:t>1</w:t>
      </w:r>
      <w:r w:rsidRPr="00216F75">
        <w:rPr>
          <w:rFonts w:eastAsia="Montserrat" w:cs="Arial"/>
          <w:szCs w:val="22"/>
        </w:rPr>
        <w:t xml:space="preserve"> Gomez, Darío R., and John D. Watterson. 2006. </w:t>
      </w:r>
      <w:r w:rsidRPr="00216F75">
        <w:rPr>
          <w:rFonts w:eastAsia="Montserrat" w:cs="Arial"/>
          <w:i/>
          <w:iCs/>
          <w:szCs w:val="22"/>
        </w:rPr>
        <w:t>2006 IPCC Guidelines for National Greenhouse Gas Inventories</w:t>
      </w:r>
      <w:r w:rsidRPr="00216F75">
        <w:rPr>
          <w:rFonts w:eastAsia="Montserrat" w:cs="Arial"/>
          <w:szCs w:val="22"/>
        </w:rPr>
        <w:t xml:space="preserve">. edited by S. Eggleston, L. Buendia, K. Miwa, T. Ngara, </w:t>
      </w:r>
      <w:r w:rsidRPr="00216F75">
        <w:rPr>
          <w:rFonts w:eastAsia="Montserrat" w:cs="Arial"/>
          <w:szCs w:val="22"/>
        </w:rPr>
        <w:lastRenderedPageBreak/>
        <w:t xml:space="preserve">and K. Tanabe. </w:t>
      </w:r>
      <w:proofErr w:type="spellStart"/>
      <w:r w:rsidRPr="00216F75">
        <w:rPr>
          <w:rFonts w:eastAsia="Montserrat" w:cs="Arial"/>
          <w:szCs w:val="22"/>
        </w:rPr>
        <w:t>Kamiyamaguchi</w:t>
      </w:r>
      <w:proofErr w:type="spellEnd"/>
      <w:r w:rsidRPr="00216F75">
        <w:rPr>
          <w:rFonts w:eastAsia="Montserrat" w:cs="Arial"/>
          <w:szCs w:val="22"/>
        </w:rPr>
        <w:t xml:space="preserve"> Hayama, Japan: Institute for Global Environmental Strategies.</w:t>
      </w:r>
    </w:p>
    <w:p w14:paraId="1971D148" w14:textId="77777777" w:rsidR="00620061" w:rsidRPr="00216F75" w:rsidRDefault="00620061" w:rsidP="00620061">
      <w:pPr>
        <w:shd w:val="clear" w:color="auto" w:fill="FFFFFF" w:themeFill="background1"/>
        <w:spacing w:line="288" w:lineRule="auto"/>
        <w:ind w:left="892" w:hanging="446"/>
        <w:rPr>
          <w:rFonts w:eastAsia="Montserrat" w:cs="Arial"/>
          <w:szCs w:val="22"/>
        </w:rPr>
      </w:pPr>
      <w:r w:rsidRPr="00216F75">
        <w:rPr>
          <w:rFonts w:eastAsia="Arial" w:cs="Arial"/>
          <w:color w:val="222222"/>
          <w:szCs w:val="22"/>
          <w:vertAlign w:val="superscript"/>
        </w:rPr>
        <w:t>2</w:t>
      </w:r>
      <w:r w:rsidRPr="00216F75">
        <w:rPr>
          <w:rFonts w:eastAsia="Arial" w:cs="Arial"/>
          <w:color w:val="222222"/>
          <w:szCs w:val="22"/>
        </w:rPr>
        <w:t xml:space="preserve"> </w:t>
      </w:r>
      <w:r w:rsidRPr="00216F75">
        <w:rPr>
          <w:rFonts w:eastAsia="Montserrat" w:cs="Arial"/>
          <w:szCs w:val="22"/>
        </w:rPr>
        <w:t xml:space="preserve">Brocard, D., C. </w:t>
      </w:r>
      <w:proofErr w:type="spellStart"/>
      <w:r w:rsidRPr="00216F75">
        <w:rPr>
          <w:rFonts w:eastAsia="Montserrat" w:cs="Arial"/>
          <w:szCs w:val="22"/>
        </w:rPr>
        <w:t>Lacaux</w:t>
      </w:r>
      <w:proofErr w:type="spellEnd"/>
      <w:r w:rsidRPr="00216F75">
        <w:rPr>
          <w:rFonts w:eastAsia="Montserrat" w:cs="Arial"/>
          <w:szCs w:val="22"/>
        </w:rPr>
        <w:t xml:space="preserve">, J. P. </w:t>
      </w:r>
      <w:proofErr w:type="spellStart"/>
      <w:r w:rsidRPr="00216F75">
        <w:rPr>
          <w:rFonts w:eastAsia="Montserrat" w:cs="Arial"/>
          <w:szCs w:val="22"/>
        </w:rPr>
        <w:t>Lacaux</w:t>
      </w:r>
      <w:proofErr w:type="spellEnd"/>
      <w:r w:rsidRPr="00216F75">
        <w:rPr>
          <w:rFonts w:eastAsia="Montserrat" w:cs="Arial"/>
          <w:szCs w:val="22"/>
        </w:rPr>
        <w:t>, G. Kouadio, and V. Yoboue. “Emissions from the Combustion of Biofuels in Western Africa.” In Biomass Burning and Global Change, edited by J. S. Levine, 1:350–60. Cambridge, MA: MIT Press, 1996.</w:t>
      </w:r>
    </w:p>
    <w:p w14:paraId="3E76817C" w14:textId="77777777" w:rsidR="00620061" w:rsidRPr="00216F75" w:rsidRDefault="00620061" w:rsidP="00620061">
      <w:pPr>
        <w:shd w:val="clear" w:color="auto" w:fill="FFFFFF" w:themeFill="background1"/>
        <w:spacing w:line="288" w:lineRule="auto"/>
        <w:ind w:left="892" w:hanging="446"/>
        <w:rPr>
          <w:rFonts w:eastAsia="Montserrat" w:cs="Arial"/>
          <w:szCs w:val="22"/>
        </w:rPr>
      </w:pPr>
      <w:r w:rsidRPr="00216F75">
        <w:rPr>
          <w:rFonts w:eastAsia="Arial" w:cs="Arial"/>
          <w:color w:val="222222"/>
          <w:szCs w:val="22"/>
          <w:vertAlign w:val="superscript"/>
        </w:rPr>
        <w:t>3</w:t>
      </w:r>
      <w:r w:rsidRPr="00216F75">
        <w:rPr>
          <w:rFonts w:eastAsia="Arial" w:cs="Arial"/>
          <w:color w:val="222222"/>
          <w:szCs w:val="22"/>
        </w:rPr>
        <w:t xml:space="preserve"> </w:t>
      </w:r>
      <w:r w:rsidRPr="00216F75">
        <w:rPr>
          <w:rFonts w:eastAsia="Montserrat" w:cs="Arial"/>
          <w:szCs w:val="22"/>
        </w:rPr>
        <w:t>Bertschi, Isaac T., Robert J. Yokelson, Darold E. Ward, Ted J. Christian, and Wei Min Hao. “Trace Gas Emissions from the Production and Use of Domestic Biofuels in Zambia Measured by Open-Path Fourier Transform Infrared Spectroscopy.” Journal of Geophysical Research-Atmosphere 108 (2003): 5–1, 5–13.</w:t>
      </w:r>
    </w:p>
    <w:p w14:paraId="63525314" w14:textId="77777777" w:rsidR="00620061" w:rsidRPr="00216F75" w:rsidRDefault="00620061" w:rsidP="00620061">
      <w:pPr>
        <w:shd w:val="clear" w:color="auto" w:fill="FFFFFF" w:themeFill="background1"/>
        <w:spacing w:line="288" w:lineRule="auto"/>
        <w:ind w:left="892" w:hanging="446"/>
        <w:rPr>
          <w:rFonts w:eastAsia="Montserrat" w:cs="Arial"/>
          <w:szCs w:val="22"/>
        </w:rPr>
      </w:pPr>
      <w:r w:rsidRPr="00216F75">
        <w:rPr>
          <w:rFonts w:eastAsia="Arial" w:cs="Arial"/>
          <w:color w:val="222222"/>
          <w:szCs w:val="22"/>
          <w:vertAlign w:val="superscript"/>
        </w:rPr>
        <w:t>4</w:t>
      </w:r>
      <w:r w:rsidRPr="00216F75">
        <w:rPr>
          <w:rFonts w:eastAsia="Arial" w:cs="Arial"/>
          <w:color w:val="222222"/>
          <w:szCs w:val="22"/>
        </w:rPr>
        <w:t xml:space="preserve"> </w:t>
      </w:r>
      <w:r w:rsidRPr="00216F75">
        <w:rPr>
          <w:rFonts w:eastAsia="Montserrat" w:cs="Arial"/>
          <w:szCs w:val="22"/>
        </w:rPr>
        <w:t xml:space="preserve">Akagi, S. K., R. J. Yokelson, C. </w:t>
      </w:r>
      <w:proofErr w:type="spellStart"/>
      <w:r w:rsidRPr="00216F75">
        <w:rPr>
          <w:rFonts w:eastAsia="Montserrat" w:cs="Arial"/>
          <w:szCs w:val="22"/>
        </w:rPr>
        <w:t>Wiedinmyer</w:t>
      </w:r>
      <w:proofErr w:type="spellEnd"/>
      <w:r w:rsidRPr="00216F75">
        <w:rPr>
          <w:rFonts w:eastAsia="Montserrat" w:cs="Arial"/>
          <w:szCs w:val="22"/>
        </w:rPr>
        <w:t xml:space="preserve">, M. J. Alvarado, J. S. Reid, T. Karl, J. D. Crounse, and P. O. Wennberg. “Emission Factors for Open and Domestic Biomass Burning for Use in Atmospheric Models.” Atmospheric Chemistry and Physics 11, no. 9 (May 3, 2011): 4039–72. </w:t>
      </w:r>
      <w:hyperlink r:id="rId74" w:history="1">
        <w:r w:rsidRPr="00216F75">
          <w:rPr>
            <w:rFonts w:eastAsia="Montserrat" w:cs="Arial"/>
            <w:color w:val="1163C1"/>
            <w:szCs w:val="22"/>
            <w:u w:val="single"/>
          </w:rPr>
          <w:t>https://doi.org/10.5194/acp-11-4039-2011</w:t>
        </w:r>
      </w:hyperlink>
      <w:r w:rsidRPr="00216F75">
        <w:rPr>
          <w:rFonts w:eastAsia="Montserrat" w:cs="Arial"/>
          <w:color w:val="1163C1"/>
          <w:szCs w:val="22"/>
        </w:rPr>
        <w:t xml:space="preserve"> </w:t>
      </w:r>
    </w:p>
    <w:p w14:paraId="684A08B8" w14:textId="77777777" w:rsidR="00620061" w:rsidRPr="00216F75" w:rsidRDefault="00620061" w:rsidP="00620061">
      <w:pPr>
        <w:shd w:val="clear" w:color="auto" w:fill="FFFFFF" w:themeFill="background1"/>
        <w:spacing w:line="288" w:lineRule="auto"/>
        <w:ind w:left="892" w:hanging="446"/>
        <w:rPr>
          <w:rFonts w:eastAsia="Montserrat" w:cs="Arial"/>
          <w:szCs w:val="22"/>
        </w:rPr>
      </w:pPr>
      <w:r w:rsidRPr="00216F75">
        <w:rPr>
          <w:rFonts w:eastAsia="Arial" w:cs="Arial"/>
          <w:color w:val="222222"/>
          <w:szCs w:val="22"/>
          <w:vertAlign w:val="superscript"/>
        </w:rPr>
        <w:t>5</w:t>
      </w:r>
      <w:r w:rsidRPr="00216F75">
        <w:rPr>
          <w:rFonts w:eastAsia="Arial" w:cs="Arial"/>
          <w:color w:val="222222"/>
          <w:szCs w:val="22"/>
        </w:rPr>
        <w:t xml:space="preserve"> </w:t>
      </w:r>
      <w:r w:rsidRPr="00216F75">
        <w:rPr>
          <w:rFonts w:eastAsia="Montserrat" w:cs="Arial"/>
          <w:szCs w:val="22"/>
        </w:rPr>
        <w:t xml:space="preserve">Smith, Kirk, R. Uma, V. V. N. Kishore, K. Lata, V. Joshi, </w:t>
      </w:r>
      <w:proofErr w:type="spellStart"/>
      <w:r w:rsidRPr="00216F75">
        <w:rPr>
          <w:rFonts w:eastAsia="Montserrat" w:cs="Arial"/>
          <w:szCs w:val="22"/>
        </w:rPr>
        <w:t>Junfeng</w:t>
      </w:r>
      <w:proofErr w:type="spellEnd"/>
      <w:r w:rsidRPr="00216F75">
        <w:rPr>
          <w:rFonts w:eastAsia="Montserrat" w:cs="Arial"/>
          <w:szCs w:val="22"/>
        </w:rPr>
        <w:t xml:space="preserve"> Zhang, R. A. Rasmussen, and M. A. K. Khalil. “Greenhouse Gases </w:t>
      </w:r>
      <w:proofErr w:type="gramStart"/>
      <w:r w:rsidRPr="00216F75">
        <w:rPr>
          <w:rFonts w:eastAsia="Montserrat" w:cs="Arial"/>
          <w:szCs w:val="22"/>
        </w:rPr>
        <w:t>From</w:t>
      </w:r>
      <w:proofErr w:type="gramEnd"/>
      <w:r w:rsidRPr="00216F75">
        <w:rPr>
          <w:rFonts w:eastAsia="Montserrat" w:cs="Arial"/>
          <w:szCs w:val="22"/>
        </w:rPr>
        <w:t xml:space="preserve"> Small-Scale Combustion Devices </w:t>
      </w:r>
      <w:proofErr w:type="gramStart"/>
      <w:r w:rsidRPr="00216F75">
        <w:rPr>
          <w:rFonts w:eastAsia="Montserrat" w:cs="Arial"/>
          <w:szCs w:val="22"/>
        </w:rPr>
        <w:t>In</w:t>
      </w:r>
      <w:proofErr w:type="gramEnd"/>
      <w:r w:rsidRPr="00216F75">
        <w:rPr>
          <w:rFonts w:eastAsia="Montserrat" w:cs="Arial"/>
          <w:szCs w:val="22"/>
        </w:rPr>
        <w:t xml:space="preserve"> Developing Countries Phase </w:t>
      </w:r>
      <w:proofErr w:type="spellStart"/>
      <w:r w:rsidRPr="00216F75">
        <w:rPr>
          <w:rFonts w:eastAsia="Montserrat" w:cs="Arial"/>
          <w:szCs w:val="22"/>
        </w:rPr>
        <w:t>IIa</w:t>
      </w:r>
      <w:proofErr w:type="spellEnd"/>
      <w:r w:rsidRPr="00216F75">
        <w:rPr>
          <w:rFonts w:eastAsia="Montserrat" w:cs="Arial"/>
          <w:szCs w:val="22"/>
        </w:rPr>
        <w:t xml:space="preserve">: Household Stoves </w:t>
      </w:r>
      <w:proofErr w:type="gramStart"/>
      <w:r w:rsidRPr="00216F75">
        <w:rPr>
          <w:rFonts w:eastAsia="Montserrat" w:cs="Arial"/>
          <w:szCs w:val="22"/>
        </w:rPr>
        <w:t>In</w:t>
      </w:r>
      <w:proofErr w:type="gramEnd"/>
      <w:r w:rsidRPr="00216F75">
        <w:rPr>
          <w:rFonts w:eastAsia="Montserrat" w:cs="Arial"/>
          <w:szCs w:val="22"/>
        </w:rPr>
        <w:t xml:space="preserve"> India.” Research Triangle Park, NC: US Environmental Protection Agency, June 2000.</w:t>
      </w:r>
    </w:p>
    <w:p w14:paraId="7B3D6E9B" w14:textId="77777777" w:rsidR="00620061" w:rsidRPr="00216F75" w:rsidRDefault="00620061" w:rsidP="00620061">
      <w:pPr>
        <w:shd w:val="clear" w:color="auto" w:fill="FFFFFF" w:themeFill="background1"/>
        <w:spacing w:line="288" w:lineRule="auto"/>
        <w:ind w:left="892" w:hanging="446"/>
        <w:rPr>
          <w:rFonts w:eastAsia="Montserrat" w:cs="Arial"/>
          <w:szCs w:val="22"/>
        </w:rPr>
      </w:pPr>
      <w:r w:rsidRPr="00216F75">
        <w:rPr>
          <w:rFonts w:eastAsia="Montserrat" w:cs="Arial"/>
          <w:szCs w:val="22"/>
          <w:vertAlign w:val="superscript"/>
        </w:rPr>
        <w:t>6</w:t>
      </w:r>
      <w:r w:rsidRPr="00216F75">
        <w:rPr>
          <w:rFonts w:eastAsia="Montserrat" w:cs="Arial"/>
          <w:szCs w:val="22"/>
        </w:rPr>
        <w:t xml:space="preserve">IPCC. Guidelines for National Greenhouse Gas Inventories: Reference Manual. 1996. </w:t>
      </w:r>
    </w:p>
    <w:p w14:paraId="7EC9227F" w14:textId="77777777" w:rsidR="00620061" w:rsidRPr="00216F75" w:rsidRDefault="00620061" w:rsidP="00620061">
      <w:pPr>
        <w:shd w:val="clear" w:color="auto" w:fill="FFFFFF" w:themeFill="background1"/>
        <w:spacing w:line="288" w:lineRule="auto"/>
        <w:ind w:left="892" w:hanging="446"/>
        <w:rPr>
          <w:rFonts w:eastAsia="Montserrat" w:cs="Arial"/>
          <w:szCs w:val="22"/>
        </w:rPr>
      </w:pPr>
      <w:r w:rsidRPr="00216F75">
        <w:rPr>
          <w:rFonts w:eastAsia="Montserrat" w:cs="Arial"/>
          <w:szCs w:val="22"/>
          <w:vertAlign w:val="superscript"/>
        </w:rPr>
        <w:t>7</w:t>
      </w:r>
      <w:r w:rsidRPr="00216F75">
        <w:rPr>
          <w:rFonts w:eastAsia="Montserrat" w:cs="Arial"/>
          <w:szCs w:val="22"/>
        </w:rPr>
        <w:t xml:space="preserve">Fleming LT, Weltman R, Yadav A, et al. Emissions from village cookstoves in Haryana, India, and their potential impacts on air quality. Atmos Chem Phys. </w:t>
      </w:r>
      <w:proofErr w:type="gramStart"/>
      <w:r w:rsidRPr="00216F75">
        <w:rPr>
          <w:rFonts w:eastAsia="Montserrat" w:cs="Arial"/>
          <w:szCs w:val="22"/>
        </w:rPr>
        <w:t>2018;18:15169</w:t>
      </w:r>
      <w:proofErr w:type="gramEnd"/>
      <w:r w:rsidRPr="00216F75">
        <w:rPr>
          <w:rFonts w:eastAsia="Montserrat" w:cs="Arial"/>
          <w:szCs w:val="22"/>
        </w:rPr>
        <w:t>–15182.</w:t>
      </w:r>
    </w:p>
    <w:p w14:paraId="053D5B73" w14:textId="77777777" w:rsidR="00620061" w:rsidRPr="00216F75" w:rsidRDefault="00620061" w:rsidP="00620061">
      <w:pPr>
        <w:shd w:val="clear" w:color="auto" w:fill="FFFFFF" w:themeFill="background1"/>
        <w:spacing w:line="288" w:lineRule="auto"/>
        <w:ind w:left="892" w:hanging="446"/>
        <w:rPr>
          <w:rFonts w:eastAsia="Montserrat" w:cs="Arial"/>
          <w:szCs w:val="22"/>
        </w:rPr>
      </w:pPr>
      <w:r w:rsidRPr="00216F75">
        <w:rPr>
          <w:rFonts w:eastAsia="Montserrat" w:cs="Arial"/>
          <w:szCs w:val="22"/>
          <w:vertAlign w:val="superscript"/>
        </w:rPr>
        <w:t>8</w:t>
      </w:r>
      <w:r w:rsidRPr="00216F75">
        <w:rPr>
          <w:rFonts w:eastAsia="Montserrat" w:cs="Arial"/>
          <w:szCs w:val="22"/>
        </w:rPr>
        <w:t>Stockwell CE, Christian TJ, Goetz JD, et al. Nepal Ambient Monitoring and Source Testing Experiment (</w:t>
      </w:r>
      <w:proofErr w:type="spellStart"/>
      <w:r w:rsidRPr="00216F75">
        <w:rPr>
          <w:rFonts w:eastAsia="Montserrat" w:cs="Arial"/>
          <w:szCs w:val="22"/>
        </w:rPr>
        <w:t>NAMaSTE</w:t>
      </w:r>
      <w:proofErr w:type="spellEnd"/>
      <w:r w:rsidRPr="00216F75">
        <w:rPr>
          <w:rFonts w:eastAsia="Montserrat" w:cs="Arial"/>
          <w:szCs w:val="22"/>
        </w:rPr>
        <w:t xml:space="preserve">): emissions of trace gases and light-absorbing carbon from wood and dung cooking fires, garbage and crop residue burning, brick kilns, and other sources. Atmospheric Chemistry and Physics. </w:t>
      </w:r>
      <w:proofErr w:type="gramStart"/>
      <w:r w:rsidRPr="00216F75">
        <w:rPr>
          <w:rFonts w:eastAsia="Montserrat" w:cs="Arial"/>
          <w:szCs w:val="22"/>
        </w:rPr>
        <w:t>2016;16:11043</w:t>
      </w:r>
      <w:proofErr w:type="gramEnd"/>
      <w:r w:rsidRPr="00216F75">
        <w:rPr>
          <w:rFonts w:eastAsia="Montserrat" w:cs="Arial"/>
          <w:szCs w:val="22"/>
        </w:rPr>
        <w:t>–11081.</w:t>
      </w:r>
    </w:p>
    <w:p w14:paraId="1DEA0141" w14:textId="77777777" w:rsidR="00620061" w:rsidRPr="00216F75" w:rsidRDefault="00620061" w:rsidP="00620061">
      <w:pPr>
        <w:shd w:val="clear" w:color="auto" w:fill="FFFFFF" w:themeFill="background1"/>
        <w:spacing w:line="288" w:lineRule="auto"/>
        <w:ind w:left="892" w:hanging="446"/>
        <w:rPr>
          <w:rFonts w:eastAsia="Montserrat" w:cs="Arial"/>
          <w:szCs w:val="22"/>
        </w:rPr>
      </w:pPr>
      <w:r w:rsidRPr="00216F75">
        <w:rPr>
          <w:rFonts w:eastAsia="Montserrat" w:cs="Arial"/>
          <w:szCs w:val="22"/>
          <w:vertAlign w:val="superscript"/>
        </w:rPr>
        <w:t>9</w:t>
      </w:r>
      <w:r w:rsidRPr="00216F75">
        <w:rPr>
          <w:rFonts w:eastAsia="Montserrat" w:cs="Arial"/>
          <w:szCs w:val="22"/>
        </w:rPr>
        <w:t xml:space="preserve">Akagi SK, Yokelson RJ, </w:t>
      </w:r>
      <w:proofErr w:type="spellStart"/>
      <w:r w:rsidRPr="00216F75">
        <w:rPr>
          <w:rFonts w:eastAsia="Montserrat" w:cs="Arial"/>
          <w:szCs w:val="22"/>
        </w:rPr>
        <w:t>Wiedinmyer</w:t>
      </w:r>
      <w:proofErr w:type="spellEnd"/>
      <w:r w:rsidRPr="00216F75">
        <w:rPr>
          <w:rFonts w:eastAsia="Montserrat" w:cs="Arial"/>
          <w:szCs w:val="22"/>
        </w:rPr>
        <w:t xml:space="preserve"> C, et al. Emission factors for open and domestic biomass burning for use in atmospheric models. Atmospheric Chemistry and Physics. </w:t>
      </w:r>
      <w:proofErr w:type="gramStart"/>
      <w:r w:rsidRPr="00216F75">
        <w:rPr>
          <w:rFonts w:eastAsia="Montserrat" w:cs="Arial"/>
          <w:szCs w:val="22"/>
        </w:rPr>
        <w:t>2011;11:4039</w:t>
      </w:r>
      <w:proofErr w:type="gramEnd"/>
      <w:r w:rsidRPr="00216F75">
        <w:rPr>
          <w:rFonts w:eastAsia="Montserrat" w:cs="Arial"/>
          <w:szCs w:val="22"/>
        </w:rPr>
        <w:t>–4072.</w:t>
      </w:r>
    </w:p>
    <w:p w14:paraId="353ED01D" w14:textId="77777777" w:rsidR="00620061" w:rsidRPr="00216F75" w:rsidRDefault="00620061" w:rsidP="00620061">
      <w:pPr>
        <w:shd w:val="clear" w:color="auto" w:fill="FFFFFF" w:themeFill="background1"/>
        <w:spacing w:line="288" w:lineRule="auto"/>
        <w:ind w:left="892" w:hanging="446"/>
        <w:rPr>
          <w:rFonts w:eastAsia="Montserrat" w:cs="Arial"/>
          <w:szCs w:val="22"/>
        </w:rPr>
      </w:pPr>
      <w:r w:rsidRPr="00216F75">
        <w:rPr>
          <w:rFonts w:eastAsia="Montserrat" w:cs="Arial"/>
          <w:szCs w:val="22"/>
          <w:vertAlign w:val="superscript"/>
        </w:rPr>
        <w:t>10</w:t>
      </w:r>
      <w:r w:rsidRPr="00216F75" w:rsidDel="00427278">
        <w:rPr>
          <w:rFonts w:cs="Arial"/>
          <w:szCs w:val="22"/>
        </w:rPr>
        <w:t xml:space="preserve">The Earth’s Energy Budget, Climate </w:t>
      </w:r>
      <w:proofErr w:type="gramStart"/>
      <w:r w:rsidRPr="00216F75" w:rsidDel="00427278">
        <w:rPr>
          <w:rFonts w:cs="Arial"/>
          <w:szCs w:val="22"/>
        </w:rPr>
        <w:t>Feedbacks</w:t>
      </w:r>
      <w:proofErr w:type="gramEnd"/>
      <w:r w:rsidRPr="00216F75" w:rsidDel="00427278">
        <w:rPr>
          <w:rFonts w:cs="Arial"/>
          <w:szCs w:val="22"/>
        </w:rPr>
        <w:t xml:space="preserve"> and Climate Sensitivity</w:t>
      </w:r>
      <w:r w:rsidRPr="00216F75">
        <w:rPr>
          <w:rFonts w:cs="Arial"/>
          <w:szCs w:val="22"/>
        </w:rPr>
        <w:t>,</w:t>
      </w:r>
      <w:r w:rsidRPr="00216F75" w:rsidDel="00427278">
        <w:rPr>
          <w:rFonts w:cs="Arial"/>
          <w:szCs w:val="22"/>
        </w:rPr>
        <w:t xml:space="preserve"> Table 7.15 in AR6 WG1 Chapter 7</w:t>
      </w:r>
      <w:r w:rsidRPr="00216F75">
        <w:rPr>
          <w:rFonts w:cs="Arial"/>
          <w:szCs w:val="22"/>
        </w:rPr>
        <w:t>.</w:t>
      </w:r>
      <w:r w:rsidRPr="00216F75" w:rsidDel="00427278">
        <w:rPr>
          <w:rFonts w:cs="Arial"/>
          <w:szCs w:val="22"/>
        </w:rPr>
        <w:t xml:space="preserve"> </w:t>
      </w:r>
      <w:hyperlink r:id="rId75" w:history="1">
        <w:r w:rsidRPr="00216F75" w:rsidDel="00427278">
          <w:rPr>
            <w:rStyle w:val="Hyperlink"/>
            <w:rFonts w:cs="Arial"/>
            <w:color w:val="1163C1"/>
            <w:szCs w:val="22"/>
          </w:rPr>
          <w:t>https://doi.org/10.1017/9781009157896.009</w:t>
        </w:r>
      </w:hyperlink>
      <w:r w:rsidRPr="00216F75">
        <w:rPr>
          <w:rFonts w:cs="Arial"/>
          <w:color w:val="1163C1"/>
          <w:szCs w:val="22"/>
        </w:rPr>
        <w:t xml:space="preserve"> </w:t>
      </w:r>
    </w:p>
    <w:p w14:paraId="45C2B689" w14:textId="77777777" w:rsidR="00620061" w:rsidRPr="00216F75" w:rsidRDefault="00620061" w:rsidP="00620061">
      <w:pPr>
        <w:shd w:val="clear" w:color="auto" w:fill="FFFFFF" w:themeFill="background1"/>
        <w:spacing w:line="324" w:lineRule="auto"/>
        <w:rPr>
          <w:rFonts w:eastAsia="Montserrat" w:cs="Arial"/>
          <w:b/>
          <w:szCs w:val="22"/>
        </w:rPr>
      </w:pPr>
      <w:r w:rsidRPr="00216F75">
        <w:rPr>
          <w:rFonts w:cs="Arial"/>
          <w:szCs w:val="22"/>
        </w:rPr>
        <w:br w:type="page"/>
      </w:r>
    </w:p>
    <w:p w14:paraId="209287C9" w14:textId="7A74B49E" w:rsidR="00055C06" w:rsidRDefault="00055C06" w:rsidP="00055C06">
      <w:pPr>
        <w:pStyle w:val="SDMAppTitle"/>
      </w:pPr>
      <w:bookmarkStart w:id="102" w:name="A6"/>
      <w:bookmarkStart w:id="103" w:name="_Toc193924649"/>
      <w:r w:rsidRPr="00055C06">
        <w:lastRenderedPageBreak/>
        <w:t>Require</w:t>
      </w:r>
      <w:bookmarkEnd w:id="102"/>
      <w:r w:rsidRPr="00055C06">
        <w:t>ments and Best Practices for Baseline and Project Surveys</w:t>
      </w:r>
    </w:p>
    <w:bookmarkEnd w:id="103"/>
    <w:p w14:paraId="3B6AAF86" w14:textId="77777777" w:rsidR="00620061" w:rsidRPr="00216F75" w:rsidRDefault="00620061" w:rsidP="00620061">
      <w:pPr>
        <w:spacing w:before="200"/>
        <w:outlineLvl w:val="1"/>
        <w:rPr>
          <w:rFonts w:cs="Arial"/>
          <w:b/>
          <w:bCs/>
          <w:szCs w:val="22"/>
        </w:rPr>
      </w:pPr>
      <w:r w:rsidRPr="00216F75">
        <w:rPr>
          <w:rFonts w:cs="Arial"/>
          <w:b/>
          <w:bCs/>
          <w:color w:val="000000"/>
          <w:szCs w:val="22"/>
        </w:rPr>
        <w:t>Overview</w:t>
      </w:r>
    </w:p>
    <w:p w14:paraId="06DC8771" w14:textId="77777777" w:rsidR="00620061" w:rsidRPr="00216F75" w:rsidRDefault="00620061" w:rsidP="00620061">
      <w:pPr>
        <w:rPr>
          <w:rFonts w:cs="Arial"/>
          <w:szCs w:val="22"/>
        </w:rPr>
      </w:pPr>
      <w:r w:rsidRPr="00216F75">
        <w:rPr>
          <w:rFonts w:cs="Arial"/>
          <w:color w:val="000000"/>
          <w:szCs w:val="22"/>
        </w:rPr>
        <w:t>Surveys are an integral part of the CLEAR methodology for developing the baseline scenario ex-ante, conducting a baseline KPT ex-ante, measuring usage annually, and completing a project KPT bi-annually.  </w:t>
      </w:r>
    </w:p>
    <w:p w14:paraId="5544B2C5" w14:textId="77777777" w:rsidR="00620061" w:rsidRPr="00216F75" w:rsidRDefault="00620061" w:rsidP="00620061">
      <w:pPr>
        <w:rPr>
          <w:rFonts w:cs="Arial"/>
          <w:szCs w:val="22"/>
        </w:rPr>
      </w:pPr>
    </w:p>
    <w:p w14:paraId="478B1CA9" w14:textId="77777777" w:rsidR="00620061" w:rsidRPr="00216F75" w:rsidRDefault="00620061" w:rsidP="00620061">
      <w:pPr>
        <w:rPr>
          <w:rFonts w:cs="Arial"/>
          <w:szCs w:val="22"/>
        </w:rPr>
      </w:pPr>
      <w:r w:rsidRPr="00216F75">
        <w:rPr>
          <w:rFonts w:cs="Arial"/>
          <w:color w:val="000000"/>
          <w:szCs w:val="22"/>
        </w:rPr>
        <w:t>This Appendix provides:</w:t>
      </w:r>
    </w:p>
    <w:p w14:paraId="3ED76B37" w14:textId="77777777" w:rsidR="00620061" w:rsidRPr="00216F75" w:rsidRDefault="00620061" w:rsidP="00620061">
      <w:pPr>
        <w:numPr>
          <w:ilvl w:val="0"/>
          <w:numId w:val="58"/>
        </w:numPr>
        <w:jc w:val="left"/>
        <w:textAlignment w:val="baseline"/>
        <w:rPr>
          <w:rFonts w:cs="Arial"/>
          <w:color w:val="000000"/>
          <w:szCs w:val="22"/>
        </w:rPr>
      </w:pPr>
      <w:r w:rsidRPr="00216F75">
        <w:rPr>
          <w:rFonts w:cs="Arial"/>
          <w:color w:val="000000"/>
          <w:szCs w:val="22"/>
        </w:rPr>
        <w:t xml:space="preserve">General guidance on conducting high quality </w:t>
      </w:r>
      <w:proofErr w:type="gramStart"/>
      <w:r w:rsidRPr="00216F75">
        <w:rPr>
          <w:rFonts w:cs="Arial"/>
          <w:color w:val="000000"/>
          <w:szCs w:val="22"/>
        </w:rPr>
        <w:t>surveys;</w:t>
      </w:r>
      <w:proofErr w:type="gramEnd"/>
    </w:p>
    <w:p w14:paraId="6939056E" w14:textId="77777777" w:rsidR="00620061" w:rsidRPr="00216F75" w:rsidRDefault="00620061" w:rsidP="00620061">
      <w:pPr>
        <w:numPr>
          <w:ilvl w:val="0"/>
          <w:numId w:val="58"/>
        </w:numPr>
        <w:jc w:val="left"/>
        <w:textAlignment w:val="baseline"/>
        <w:rPr>
          <w:rFonts w:cs="Arial"/>
          <w:color w:val="000000"/>
          <w:szCs w:val="22"/>
        </w:rPr>
      </w:pPr>
      <w:r w:rsidRPr="00216F75">
        <w:rPr>
          <w:rFonts w:cs="Arial"/>
          <w:color w:val="000000"/>
          <w:szCs w:val="22"/>
        </w:rPr>
        <w:t>Resources with sample questionnaires related to clean cooking; and</w:t>
      </w:r>
    </w:p>
    <w:p w14:paraId="4B922EBE" w14:textId="77777777" w:rsidR="00620061" w:rsidRPr="00216F75" w:rsidRDefault="00620061" w:rsidP="00620061">
      <w:pPr>
        <w:numPr>
          <w:ilvl w:val="0"/>
          <w:numId w:val="58"/>
        </w:numPr>
        <w:jc w:val="left"/>
        <w:textAlignment w:val="baseline"/>
        <w:rPr>
          <w:rFonts w:cs="Arial"/>
          <w:color w:val="000000"/>
          <w:szCs w:val="22"/>
        </w:rPr>
      </w:pPr>
      <w:proofErr w:type="gramStart"/>
      <w:r w:rsidRPr="00216F75">
        <w:rPr>
          <w:rFonts w:cs="Arial"/>
          <w:color w:val="000000"/>
          <w:szCs w:val="22"/>
        </w:rPr>
        <w:t>Particular instructions</w:t>
      </w:r>
      <w:proofErr w:type="gramEnd"/>
      <w:r w:rsidRPr="00216F75">
        <w:rPr>
          <w:rFonts w:cs="Arial"/>
          <w:color w:val="000000"/>
          <w:szCs w:val="22"/>
        </w:rPr>
        <w:t xml:space="preserve"> for each required survey.</w:t>
      </w:r>
    </w:p>
    <w:p w14:paraId="42180A70" w14:textId="77777777" w:rsidR="00620061" w:rsidRPr="00216F75" w:rsidRDefault="00620061" w:rsidP="00620061">
      <w:pPr>
        <w:rPr>
          <w:rFonts w:cs="Arial"/>
          <w:szCs w:val="22"/>
        </w:rPr>
      </w:pPr>
    </w:p>
    <w:p w14:paraId="2F55353E" w14:textId="09FE10DE" w:rsidR="00620061" w:rsidRPr="00216F75" w:rsidRDefault="00620061" w:rsidP="00620061">
      <w:pPr>
        <w:rPr>
          <w:rFonts w:cs="Arial"/>
          <w:szCs w:val="22"/>
        </w:rPr>
      </w:pPr>
      <w:r w:rsidRPr="00216F75">
        <w:rPr>
          <w:rFonts w:cs="Arial"/>
          <w:color w:val="000000"/>
          <w:szCs w:val="22"/>
        </w:rPr>
        <w:t>Requirements and guidance for selecting samples of appropriate size and representativeness can be foun</w:t>
      </w:r>
      <w:r w:rsidRPr="009E42A3">
        <w:rPr>
          <w:rFonts w:cs="Arial"/>
          <w:color w:val="000000"/>
          <w:szCs w:val="22"/>
        </w:rPr>
        <w:t xml:space="preserve">d in </w:t>
      </w:r>
      <w:hyperlink w:anchor="A10" w:history="1">
        <w:r w:rsidRPr="009E42A3">
          <w:rPr>
            <w:rStyle w:val="Hyperlink"/>
            <w:rFonts w:cs="Arial"/>
            <w:szCs w:val="22"/>
          </w:rPr>
          <w:t>Appendix 10.</w:t>
        </w:r>
      </w:hyperlink>
    </w:p>
    <w:p w14:paraId="72E85B18" w14:textId="77777777" w:rsidR="00620061" w:rsidRPr="00216F75" w:rsidRDefault="00620061" w:rsidP="00620061">
      <w:pPr>
        <w:spacing w:before="200"/>
        <w:outlineLvl w:val="1"/>
        <w:rPr>
          <w:rFonts w:cs="Arial"/>
          <w:b/>
          <w:bCs/>
          <w:szCs w:val="22"/>
        </w:rPr>
      </w:pPr>
      <w:r w:rsidRPr="00216F75">
        <w:rPr>
          <w:rFonts w:cs="Arial"/>
          <w:b/>
          <w:bCs/>
          <w:color w:val="000000"/>
          <w:szCs w:val="22"/>
        </w:rPr>
        <w:t>General survey requirements and guidance</w:t>
      </w:r>
    </w:p>
    <w:p w14:paraId="56FBA42C" w14:textId="77777777" w:rsidR="00620061" w:rsidRPr="00216F75" w:rsidRDefault="00620061" w:rsidP="00620061">
      <w:pPr>
        <w:rPr>
          <w:rFonts w:cs="Arial"/>
          <w:szCs w:val="22"/>
        </w:rPr>
      </w:pPr>
      <w:r w:rsidRPr="00216F75">
        <w:rPr>
          <w:rFonts w:cs="Arial"/>
          <w:color w:val="000000"/>
          <w:szCs w:val="22"/>
        </w:rPr>
        <w:t>All surveys undertaken for CLEAR must be conducted by trained enumerators. Best practice is for these enumerators to be independent of the project proponent’s organization. At a minimum, enumerators must not be engaged in a customer-facing role for the project proponent or its implementation partners, such as selling, marketing, distributing, or providing customer service for project technologies. </w:t>
      </w:r>
    </w:p>
    <w:p w14:paraId="0ED620F3" w14:textId="77777777" w:rsidR="00620061" w:rsidRPr="00216F75" w:rsidRDefault="00620061" w:rsidP="00620061">
      <w:pPr>
        <w:rPr>
          <w:rFonts w:cs="Arial"/>
          <w:szCs w:val="22"/>
        </w:rPr>
      </w:pPr>
    </w:p>
    <w:p w14:paraId="47BAD282" w14:textId="77777777" w:rsidR="00620061" w:rsidRPr="00216F75" w:rsidRDefault="00620061" w:rsidP="00620061">
      <w:pPr>
        <w:rPr>
          <w:rFonts w:cs="Arial"/>
          <w:szCs w:val="22"/>
        </w:rPr>
      </w:pPr>
      <w:r w:rsidRPr="00216F75">
        <w:rPr>
          <w:rFonts w:cs="Arial"/>
          <w:color w:val="000000"/>
          <w:szCs w:val="22"/>
        </w:rPr>
        <w:t>Before conducting surveys, the project proponent must ensure that relevant local authorities and community leaders have been consulted. All laws for the jurisdiction must be followed, and local customs should also be respected.</w:t>
      </w:r>
    </w:p>
    <w:p w14:paraId="652AA2F6" w14:textId="77777777" w:rsidR="00620061" w:rsidRPr="00216F75" w:rsidRDefault="00620061" w:rsidP="00620061">
      <w:pPr>
        <w:rPr>
          <w:rFonts w:cs="Arial"/>
          <w:szCs w:val="22"/>
        </w:rPr>
      </w:pPr>
    </w:p>
    <w:p w14:paraId="2FBA9A20" w14:textId="77777777" w:rsidR="00620061" w:rsidRPr="00216F75" w:rsidRDefault="00620061" w:rsidP="00620061">
      <w:pPr>
        <w:rPr>
          <w:rFonts w:cs="Arial"/>
          <w:szCs w:val="22"/>
        </w:rPr>
      </w:pPr>
      <w:r w:rsidRPr="00216F75">
        <w:rPr>
          <w:rFonts w:cs="Arial"/>
          <w:color w:val="000000"/>
          <w:szCs w:val="22"/>
        </w:rPr>
        <w:t>Wherever possible, all surveys should be conducted using an electronic platform with built-in quality checks. </w:t>
      </w:r>
    </w:p>
    <w:p w14:paraId="24B7808A" w14:textId="77777777" w:rsidR="00620061" w:rsidRPr="00216F75" w:rsidRDefault="00620061" w:rsidP="00620061">
      <w:pPr>
        <w:rPr>
          <w:rFonts w:cs="Arial"/>
          <w:szCs w:val="22"/>
        </w:rPr>
      </w:pPr>
    </w:p>
    <w:p w14:paraId="2ECAE97A" w14:textId="77777777" w:rsidR="00620061" w:rsidRPr="00216F75" w:rsidRDefault="00620061" w:rsidP="00620061">
      <w:pPr>
        <w:rPr>
          <w:rFonts w:cs="Arial"/>
          <w:szCs w:val="22"/>
        </w:rPr>
      </w:pPr>
      <w:r w:rsidRPr="00216F75">
        <w:rPr>
          <w:rFonts w:cs="Arial"/>
          <w:color w:val="000000"/>
          <w:szCs w:val="22"/>
        </w:rPr>
        <w:t xml:space="preserve">All surveys should be conducted with the main household cook, who must give her informed consent prior to the start of the interview. Consent must be documented as part of the survey form. If cultural or domestic constraints require that the interview be conducted with someone else, the main cook should be present at the interview, and the enumerator should </w:t>
      </w:r>
      <w:proofErr w:type="spellStart"/>
      <w:r w:rsidRPr="00216F75">
        <w:rPr>
          <w:rFonts w:cs="Arial"/>
          <w:color w:val="000000"/>
          <w:szCs w:val="22"/>
        </w:rPr>
        <w:t>endeavor</w:t>
      </w:r>
      <w:proofErr w:type="spellEnd"/>
      <w:r w:rsidRPr="00216F75">
        <w:rPr>
          <w:rFonts w:cs="Arial"/>
          <w:color w:val="000000"/>
          <w:szCs w:val="22"/>
        </w:rPr>
        <w:t xml:space="preserve"> to vet the answers with her. If the main household cook is a dependent child, both the child and their guardian must provide consent and be present for the interview.</w:t>
      </w:r>
    </w:p>
    <w:p w14:paraId="396BC1C4" w14:textId="77777777" w:rsidR="00620061" w:rsidRPr="00216F75" w:rsidRDefault="00620061" w:rsidP="00620061">
      <w:pPr>
        <w:rPr>
          <w:rFonts w:cs="Arial"/>
          <w:szCs w:val="22"/>
        </w:rPr>
      </w:pPr>
    </w:p>
    <w:p w14:paraId="75F54AE0" w14:textId="77777777" w:rsidR="00620061" w:rsidRPr="00216F75" w:rsidRDefault="00620061" w:rsidP="00620061">
      <w:pPr>
        <w:rPr>
          <w:rFonts w:cs="Arial"/>
          <w:szCs w:val="22"/>
        </w:rPr>
      </w:pPr>
      <w:r w:rsidRPr="00216F75">
        <w:rPr>
          <w:rFonts w:cs="Arial"/>
          <w:color w:val="000000"/>
          <w:szCs w:val="22"/>
        </w:rPr>
        <w:t>If the enumerators do not speak the local language fluently, an interpreter must be brought in to assist with administration of the questionnaire. </w:t>
      </w:r>
    </w:p>
    <w:p w14:paraId="5E4668F0" w14:textId="77777777" w:rsidR="00620061" w:rsidRPr="00216F75" w:rsidRDefault="00620061" w:rsidP="00620061">
      <w:pPr>
        <w:rPr>
          <w:rFonts w:cs="Arial"/>
          <w:szCs w:val="22"/>
        </w:rPr>
      </w:pPr>
    </w:p>
    <w:p w14:paraId="4E3498E0" w14:textId="77777777" w:rsidR="00620061" w:rsidRPr="00216F75" w:rsidRDefault="00620061" w:rsidP="00620061">
      <w:pPr>
        <w:rPr>
          <w:rFonts w:cs="Arial"/>
          <w:szCs w:val="22"/>
        </w:rPr>
      </w:pPr>
      <w:r w:rsidRPr="00216F75">
        <w:rPr>
          <w:rFonts w:cs="Arial"/>
          <w:color w:val="000000"/>
          <w:szCs w:val="22"/>
        </w:rPr>
        <w:t>Surveys should be as concise as possible. Enumerators must provide a realistic estimate of the time needed to complete the survey, and efforts should be made to schedule interviews at times that minimize disruptions to the household. </w:t>
      </w:r>
    </w:p>
    <w:p w14:paraId="52D9B379" w14:textId="77777777" w:rsidR="00620061" w:rsidRPr="00216F75" w:rsidRDefault="00620061" w:rsidP="00620061">
      <w:pPr>
        <w:rPr>
          <w:rFonts w:cs="Arial"/>
          <w:szCs w:val="22"/>
        </w:rPr>
      </w:pPr>
    </w:p>
    <w:p w14:paraId="04C70A98" w14:textId="77777777" w:rsidR="00620061" w:rsidRPr="00216F75" w:rsidRDefault="00620061" w:rsidP="00620061">
      <w:pPr>
        <w:rPr>
          <w:rFonts w:cs="Arial"/>
          <w:szCs w:val="22"/>
        </w:rPr>
      </w:pPr>
      <w:r w:rsidRPr="00216F75">
        <w:rPr>
          <w:rFonts w:cs="Arial"/>
          <w:color w:val="000000"/>
          <w:szCs w:val="22"/>
        </w:rPr>
        <w:t xml:space="preserve">Retrospective questions should ask the cook to report on their activities on a certain day, commonly “yesterday,” as this approach has been shown to be more accurate than asking interviewees to aggregate or approximate their activities over a longer </w:t>
      </w:r>
      <w:proofErr w:type="gramStart"/>
      <w:r w:rsidRPr="00216F75">
        <w:rPr>
          <w:rFonts w:cs="Arial"/>
          <w:color w:val="000000"/>
          <w:szCs w:val="22"/>
        </w:rPr>
        <w:t>period of time</w:t>
      </w:r>
      <w:proofErr w:type="gramEnd"/>
      <w:r w:rsidRPr="00216F75">
        <w:rPr>
          <w:rFonts w:cs="Arial"/>
          <w:color w:val="000000"/>
          <w:szCs w:val="22"/>
        </w:rPr>
        <w:t>, such as “last week.”</w:t>
      </w:r>
    </w:p>
    <w:p w14:paraId="62EE1054" w14:textId="77777777" w:rsidR="00620061" w:rsidRPr="00216F75" w:rsidRDefault="00620061" w:rsidP="00620061">
      <w:pPr>
        <w:rPr>
          <w:rFonts w:cs="Arial"/>
          <w:szCs w:val="22"/>
        </w:rPr>
      </w:pPr>
    </w:p>
    <w:p w14:paraId="61F55FAC" w14:textId="77777777" w:rsidR="00620061" w:rsidRPr="00216F75" w:rsidRDefault="00620061" w:rsidP="00620061">
      <w:pPr>
        <w:rPr>
          <w:rFonts w:cs="Arial"/>
          <w:szCs w:val="22"/>
        </w:rPr>
      </w:pPr>
      <w:r w:rsidRPr="00216F75">
        <w:rPr>
          <w:rFonts w:cs="Arial"/>
          <w:color w:val="000000"/>
          <w:szCs w:val="22"/>
        </w:rPr>
        <w:t xml:space="preserve">The methodology uses the term “cooking event” to refer to any occurrence where useful energy is delivered from a cookstove to </w:t>
      </w:r>
      <w:proofErr w:type="spellStart"/>
      <w:r w:rsidRPr="00216F75">
        <w:rPr>
          <w:rFonts w:cs="Arial"/>
          <w:color w:val="000000"/>
          <w:szCs w:val="22"/>
        </w:rPr>
        <w:t>fulfill</w:t>
      </w:r>
      <w:proofErr w:type="spellEnd"/>
      <w:r w:rsidRPr="00216F75">
        <w:rPr>
          <w:rFonts w:cs="Arial"/>
          <w:color w:val="000000"/>
          <w:szCs w:val="22"/>
        </w:rPr>
        <w:t xml:space="preserve"> a discrete task or set of tasks, such as cooking a meal (which may include multiple dishes), preparing tea, or heating water for bathing.  Surveys </w:t>
      </w:r>
      <w:r w:rsidRPr="00216F75">
        <w:rPr>
          <w:rFonts w:cs="Arial"/>
          <w:color w:val="000000"/>
          <w:szCs w:val="22"/>
        </w:rPr>
        <w:lastRenderedPageBreak/>
        <w:t>undertaken for CLEAR should use similar language, and project proponents must ensure that respondents include all types of tasks conducted using their cookstoves in their responses.</w:t>
      </w:r>
    </w:p>
    <w:p w14:paraId="1D643EAD" w14:textId="77777777" w:rsidR="00620061" w:rsidRPr="00216F75" w:rsidRDefault="00620061" w:rsidP="00620061">
      <w:pPr>
        <w:rPr>
          <w:rFonts w:cs="Arial"/>
          <w:szCs w:val="22"/>
        </w:rPr>
      </w:pPr>
    </w:p>
    <w:p w14:paraId="29C5299F" w14:textId="614A9A98" w:rsidR="00620061" w:rsidRPr="00216F75" w:rsidRDefault="00620061" w:rsidP="00620061">
      <w:pPr>
        <w:rPr>
          <w:rFonts w:cs="Arial"/>
          <w:szCs w:val="22"/>
        </w:rPr>
      </w:pPr>
      <w:r w:rsidRPr="00216F75">
        <w:rPr>
          <w:rFonts w:cs="Arial"/>
          <w:color w:val="000000"/>
          <w:szCs w:val="22"/>
        </w:rPr>
        <w:t>General guidance on conducting high quality surveys in the LMIC context can be found in the following documents: </w:t>
      </w:r>
    </w:p>
    <w:p w14:paraId="0BDA8A23" w14:textId="77777777" w:rsidR="00620061" w:rsidRPr="00216F75" w:rsidRDefault="00620061" w:rsidP="00620061">
      <w:pPr>
        <w:numPr>
          <w:ilvl w:val="0"/>
          <w:numId w:val="31"/>
        </w:numPr>
        <w:jc w:val="left"/>
        <w:textAlignment w:val="baseline"/>
        <w:rPr>
          <w:rFonts w:cs="Arial"/>
          <w:color w:val="000000"/>
          <w:szCs w:val="22"/>
        </w:rPr>
      </w:pPr>
      <w:hyperlink r:id="rId76" w:history="1">
        <w:r w:rsidRPr="00216F75">
          <w:rPr>
            <w:rFonts w:cs="Arial"/>
            <w:color w:val="1155CC"/>
            <w:szCs w:val="22"/>
            <w:u w:val="single"/>
          </w:rPr>
          <w:t>Household Sample Surveys in Developing and Transition Countries</w:t>
        </w:r>
      </w:hyperlink>
    </w:p>
    <w:p w14:paraId="59F21E3B" w14:textId="77777777" w:rsidR="00620061" w:rsidRPr="00216F75" w:rsidRDefault="00620061" w:rsidP="00620061">
      <w:pPr>
        <w:numPr>
          <w:ilvl w:val="0"/>
          <w:numId w:val="31"/>
        </w:numPr>
        <w:jc w:val="left"/>
        <w:textAlignment w:val="baseline"/>
        <w:rPr>
          <w:rFonts w:cs="Arial"/>
          <w:color w:val="000000"/>
          <w:szCs w:val="22"/>
        </w:rPr>
      </w:pPr>
      <w:hyperlink r:id="rId77" w:history="1">
        <w:r w:rsidRPr="00216F75">
          <w:rPr>
            <w:rFonts w:cs="Arial"/>
            <w:color w:val="1155CC"/>
            <w:szCs w:val="22"/>
            <w:u w:val="single"/>
          </w:rPr>
          <w:t>Designing Household Survey Samples: Practical Guidelines</w:t>
        </w:r>
      </w:hyperlink>
    </w:p>
    <w:p w14:paraId="387E9C25" w14:textId="77777777" w:rsidR="00620061" w:rsidRPr="00216F75" w:rsidRDefault="00620061" w:rsidP="00620061">
      <w:pPr>
        <w:numPr>
          <w:ilvl w:val="0"/>
          <w:numId w:val="31"/>
        </w:numPr>
        <w:jc w:val="left"/>
        <w:textAlignment w:val="baseline"/>
        <w:rPr>
          <w:rFonts w:cs="Arial"/>
          <w:color w:val="000000"/>
          <w:szCs w:val="22"/>
        </w:rPr>
      </w:pPr>
      <w:hyperlink r:id="rId78" w:anchor=":~:text=An%20official%20letter%20from%20the,of%20questions%20that%20will%20be" w:history="1">
        <w:r w:rsidRPr="00216F75">
          <w:rPr>
            <w:rFonts w:cs="Arial"/>
            <w:color w:val="1155CC"/>
            <w:szCs w:val="22"/>
            <w:u w:val="single"/>
          </w:rPr>
          <w:t xml:space="preserve">WHO WORLD HEALTH SURVEY </w:t>
        </w:r>
        <w:proofErr w:type="spellStart"/>
        <w:r w:rsidRPr="00216F75">
          <w:rPr>
            <w:rFonts w:cs="Arial"/>
            <w:color w:val="1155CC"/>
            <w:szCs w:val="22"/>
            <w:u w:val="single"/>
          </w:rPr>
          <w:t>SURVEY</w:t>
        </w:r>
        <w:proofErr w:type="spellEnd"/>
        <w:r w:rsidRPr="00216F75">
          <w:rPr>
            <w:rFonts w:cs="Arial"/>
            <w:color w:val="1155CC"/>
            <w:szCs w:val="22"/>
            <w:u w:val="single"/>
          </w:rPr>
          <w:t xml:space="preserve"> MANUAL</w:t>
        </w:r>
      </w:hyperlink>
    </w:p>
    <w:p w14:paraId="6C3901B1" w14:textId="77777777" w:rsidR="00620061" w:rsidRPr="00216F75" w:rsidRDefault="00620061" w:rsidP="00620061">
      <w:pPr>
        <w:numPr>
          <w:ilvl w:val="0"/>
          <w:numId w:val="31"/>
        </w:numPr>
        <w:shd w:val="clear" w:color="auto" w:fill="FFFFFF"/>
        <w:jc w:val="left"/>
        <w:textAlignment w:val="baseline"/>
        <w:rPr>
          <w:rFonts w:cs="Arial"/>
          <w:color w:val="000000"/>
          <w:szCs w:val="22"/>
        </w:rPr>
      </w:pPr>
      <w:proofErr w:type="spellStart"/>
      <w:proofErr w:type="gramStart"/>
      <w:r w:rsidRPr="00216F75">
        <w:rPr>
          <w:rFonts w:cs="Arial"/>
          <w:color w:val="181F25"/>
          <w:szCs w:val="22"/>
          <w:lang w:val="es-GT"/>
        </w:rPr>
        <w:t>Siwatu,Gbemisola</w:t>
      </w:r>
      <w:proofErr w:type="spellEnd"/>
      <w:proofErr w:type="gramEnd"/>
      <w:r w:rsidRPr="00216F75">
        <w:rPr>
          <w:rFonts w:cs="Arial"/>
          <w:color w:val="181F25"/>
          <w:szCs w:val="22"/>
          <w:lang w:val="es-GT"/>
        </w:rPr>
        <w:t xml:space="preserve"> </w:t>
      </w:r>
      <w:proofErr w:type="spellStart"/>
      <w:r w:rsidRPr="00216F75">
        <w:rPr>
          <w:rFonts w:cs="Arial"/>
          <w:color w:val="181F25"/>
          <w:szCs w:val="22"/>
          <w:lang w:val="es-GT"/>
        </w:rPr>
        <w:t>Oseni</w:t>
      </w:r>
      <w:proofErr w:type="spellEnd"/>
      <w:r w:rsidRPr="00216F75">
        <w:rPr>
          <w:rFonts w:cs="Arial"/>
          <w:color w:val="181F25"/>
          <w:szCs w:val="22"/>
          <w:lang w:val="es-GT"/>
        </w:rPr>
        <w:t>; Palacios-</w:t>
      </w:r>
      <w:proofErr w:type="spellStart"/>
      <w:proofErr w:type="gramStart"/>
      <w:r w:rsidRPr="00216F75">
        <w:rPr>
          <w:rFonts w:cs="Arial"/>
          <w:color w:val="181F25"/>
          <w:szCs w:val="22"/>
          <w:lang w:val="es-GT"/>
        </w:rPr>
        <w:t>Lopez,Amparo</w:t>
      </w:r>
      <w:proofErr w:type="spellEnd"/>
      <w:proofErr w:type="gramEnd"/>
      <w:r w:rsidRPr="00216F75">
        <w:rPr>
          <w:rFonts w:cs="Arial"/>
          <w:color w:val="181F25"/>
          <w:szCs w:val="22"/>
          <w:lang w:val="es-GT"/>
        </w:rPr>
        <w:t xml:space="preserve">; </w:t>
      </w:r>
      <w:proofErr w:type="spellStart"/>
      <w:proofErr w:type="gramStart"/>
      <w:r w:rsidRPr="00216F75">
        <w:rPr>
          <w:rFonts w:cs="Arial"/>
          <w:color w:val="181F25"/>
          <w:szCs w:val="22"/>
          <w:lang w:val="es-GT"/>
        </w:rPr>
        <w:t>Mugera,Harriet</w:t>
      </w:r>
      <w:proofErr w:type="spellEnd"/>
      <w:proofErr w:type="gramEnd"/>
      <w:r w:rsidRPr="00216F75">
        <w:rPr>
          <w:rFonts w:cs="Arial"/>
          <w:color w:val="181F25"/>
          <w:szCs w:val="22"/>
          <w:lang w:val="es-GT"/>
        </w:rPr>
        <w:t xml:space="preserve"> </w:t>
      </w:r>
      <w:proofErr w:type="spellStart"/>
      <w:r w:rsidRPr="00216F75">
        <w:rPr>
          <w:rFonts w:cs="Arial"/>
          <w:color w:val="181F25"/>
          <w:szCs w:val="22"/>
          <w:lang w:val="es-GT"/>
        </w:rPr>
        <w:t>Kasidi</w:t>
      </w:r>
      <w:proofErr w:type="spellEnd"/>
      <w:r w:rsidRPr="00216F75">
        <w:rPr>
          <w:rFonts w:cs="Arial"/>
          <w:color w:val="181F25"/>
          <w:szCs w:val="22"/>
          <w:lang w:val="es-GT"/>
        </w:rPr>
        <w:t xml:space="preserve">; </w:t>
      </w:r>
      <w:proofErr w:type="spellStart"/>
      <w:proofErr w:type="gramStart"/>
      <w:r w:rsidRPr="00216F75">
        <w:rPr>
          <w:rFonts w:cs="Arial"/>
          <w:color w:val="181F25"/>
          <w:szCs w:val="22"/>
          <w:lang w:val="es-GT"/>
        </w:rPr>
        <w:t>Durazo,Josefine</w:t>
      </w:r>
      <w:proofErr w:type="spellEnd"/>
      <w:proofErr w:type="gramEnd"/>
      <w:r w:rsidRPr="00216F75">
        <w:rPr>
          <w:rFonts w:cs="Arial"/>
          <w:color w:val="181F25"/>
          <w:szCs w:val="22"/>
          <w:lang w:val="es-GT"/>
        </w:rPr>
        <w:t xml:space="preserve">. </w:t>
      </w:r>
      <w:r w:rsidRPr="00216F75">
        <w:rPr>
          <w:rFonts w:cs="Arial"/>
          <w:i/>
          <w:iCs/>
          <w:color w:val="181F25"/>
          <w:szCs w:val="22"/>
        </w:rPr>
        <w:t xml:space="preserve">Capturing What </w:t>
      </w:r>
      <w:proofErr w:type="gramStart"/>
      <w:r w:rsidRPr="00216F75">
        <w:rPr>
          <w:rFonts w:cs="Arial"/>
          <w:i/>
          <w:iCs/>
          <w:color w:val="181F25"/>
          <w:szCs w:val="22"/>
        </w:rPr>
        <w:t>Matters :</w:t>
      </w:r>
      <w:proofErr w:type="gramEnd"/>
      <w:r w:rsidRPr="00216F75">
        <w:rPr>
          <w:rFonts w:cs="Arial"/>
          <w:i/>
          <w:iCs/>
          <w:color w:val="181F25"/>
          <w:szCs w:val="22"/>
        </w:rPr>
        <w:t xml:space="preserve"> Essential Guidelines for Designing Household Surveys (English). </w:t>
      </w:r>
      <w:r w:rsidRPr="00216F75">
        <w:rPr>
          <w:rFonts w:cs="Arial"/>
          <w:color w:val="181F25"/>
          <w:szCs w:val="22"/>
        </w:rPr>
        <w:t xml:space="preserve">LSMS Guidebook Washington, </w:t>
      </w:r>
      <w:proofErr w:type="gramStart"/>
      <w:r w:rsidRPr="00216F75">
        <w:rPr>
          <w:rFonts w:cs="Arial"/>
          <w:color w:val="181F25"/>
          <w:szCs w:val="22"/>
        </w:rPr>
        <w:t>D.C. :</w:t>
      </w:r>
      <w:proofErr w:type="gramEnd"/>
      <w:r w:rsidRPr="00216F75">
        <w:rPr>
          <w:rFonts w:cs="Arial"/>
          <w:color w:val="181F25"/>
          <w:szCs w:val="22"/>
        </w:rPr>
        <w:t xml:space="preserve"> World Bank Group. </w:t>
      </w:r>
      <w:hyperlink r:id="rId79" w:history="1">
        <w:r w:rsidRPr="00216F75">
          <w:rPr>
            <w:rStyle w:val="Hyperlink"/>
            <w:rFonts w:cs="Arial"/>
            <w:szCs w:val="22"/>
          </w:rPr>
          <w:t>http://documents.worldbank.org/curated/en/381751639456530686</w:t>
        </w:r>
      </w:hyperlink>
      <w:r w:rsidRPr="00216F75">
        <w:rPr>
          <w:rFonts w:cs="Arial"/>
          <w:color w:val="181F25"/>
          <w:szCs w:val="22"/>
        </w:rPr>
        <w:t xml:space="preserve"> </w:t>
      </w:r>
    </w:p>
    <w:p w14:paraId="6202E3BA" w14:textId="77777777" w:rsidR="00620061" w:rsidRPr="00216F75" w:rsidRDefault="00620061" w:rsidP="00620061">
      <w:pPr>
        <w:rPr>
          <w:rFonts w:cs="Arial"/>
          <w:szCs w:val="22"/>
        </w:rPr>
      </w:pPr>
    </w:p>
    <w:p w14:paraId="23E73D4D" w14:textId="77777777" w:rsidR="00620061" w:rsidRPr="00216F75" w:rsidRDefault="00620061" w:rsidP="00620061">
      <w:pPr>
        <w:rPr>
          <w:rFonts w:cs="Arial"/>
          <w:szCs w:val="22"/>
        </w:rPr>
      </w:pPr>
      <w:r w:rsidRPr="00216F75">
        <w:rPr>
          <w:rFonts w:cs="Arial"/>
          <w:color w:val="000000"/>
          <w:szCs w:val="22"/>
        </w:rPr>
        <w:t>Specific survey guidance and tested questions relating to various aspects of household energy patterns and transitions, including cooking carbon projects, can be found in the following resources. Not all questions may be relevant for CLEAR application.</w:t>
      </w:r>
    </w:p>
    <w:p w14:paraId="79276792" w14:textId="77777777" w:rsidR="00620061" w:rsidRPr="00216F75" w:rsidRDefault="00620061" w:rsidP="00620061">
      <w:pPr>
        <w:numPr>
          <w:ilvl w:val="0"/>
          <w:numId w:val="59"/>
        </w:numPr>
        <w:shd w:val="clear" w:color="auto" w:fill="FFFFFF"/>
        <w:jc w:val="left"/>
        <w:textAlignment w:val="baseline"/>
        <w:rPr>
          <w:rFonts w:cs="Arial"/>
          <w:color w:val="000000"/>
          <w:szCs w:val="22"/>
        </w:rPr>
      </w:pPr>
      <w:hyperlink r:id="rId80" w:history="1">
        <w:r w:rsidRPr="00216F75">
          <w:rPr>
            <w:rFonts w:cs="Arial"/>
            <w:color w:val="1155CC"/>
            <w:szCs w:val="22"/>
            <w:u w:val="single"/>
          </w:rPr>
          <w:t>Guidance on survey design</w:t>
        </w:r>
      </w:hyperlink>
      <w:r w:rsidRPr="00216F75">
        <w:rPr>
          <w:rFonts w:cs="Arial"/>
          <w:color w:val="181F25"/>
          <w:szCs w:val="22"/>
        </w:rPr>
        <w:t xml:space="preserve"> from the authors of Gill-Wiehl, A., </w:t>
      </w:r>
      <w:proofErr w:type="spellStart"/>
      <w:r w:rsidRPr="00216F75">
        <w:rPr>
          <w:rFonts w:cs="Arial"/>
          <w:color w:val="181F25"/>
          <w:szCs w:val="22"/>
        </w:rPr>
        <w:t>Kammen</w:t>
      </w:r>
      <w:proofErr w:type="spellEnd"/>
      <w:r w:rsidRPr="00216F75">
        <w:rPr>
          <w:rFonts w:cs="Arial"/>
          <w:color w:val="181F25"/>
          <w:szCs w:val="22"/>
        </w:rPr>
        <w:t xml:space="preserve">, D.M. &amp; Haya, B.K. Pervasive over-crediting from cookstove offset methodologies. Nat Sustain 7, 191–202 (2024). </w:t>
      </w:r>
      <w:hyperlink r:id="rId81" w:history="1">
        <w:r w:rsidRPr="00216F75">
          <w:rPr>
            <w:rFonts w:cs="Arial"/>
            <w:color w:val="1155CC"/>
            <w:szCs w:val="22"/>
            <w:u w:val="single"/>
          </w:rPr>
          <w:t>https://doi.org/10.1038/s41893-023-01259-6</w:t>
        </w:r>
      </w:hyperlink>
    </w:p>
    <w:p w14:paraId="77BD3982" w14:textId="77777777" w:rsidR="00620061" w:rsidRPr="00216F75" w:rsidRDefault="00620061" w:rsidP="00620061">
      <w:pPr>
        <w:numPr>
          <w:ilvl w:val="0"/>
          <w:numId w:val="59"/>
        </w:numPr>
        <w:shd w:val="clear" w:color="auto" w:fill="FFFFFF"/>
        <w:jc w:val="left"/>
        <w:textAlignment w:val="baseline"/>
        <w:rPr>
          <w:rFonts w:cs="Arial"/>
          <w:color w:val="000000"/>
          <w:szCs w:val="22"/>
        </w:rPr>
      </w:pPr>
      <w:r w:rsidRPr="00216F75">
        <w:rPr>
          <w:rFonts w:cs="Arial"/>
          <w:color w:val="000000"/>
          <w:szCs w:val="22"/>
        </w:rPr>
        <w:t xml:space="preserve">Gold Standard’s </w:t>
      </w:r>
      <w:hyperlink r:id="rId82" w:history="1">
        <w:r w:rsidRPr="00216F75">
          <w:rPr>
            <w:rFonts w:cs="Arial"/>
            <w:color w:val="1155CC"/>
            <w:szCs w:val="22"/>
            <w:u w:val="single"/>
          </w:rPr>
          <w:t>MECD Survey Questionnaire</w:t>
        </w:r>
      </w:hyperlink>
    </w:p>
    <w:p w14:paraId="3154189A" w14:textId="77777777" w:rsidR="00620061" w:rsidRPr="00216F75" w:rsidRDefault="00620061" w:rsidP="00620061">
      <w:pPr>
        <w:numPr>
          <w:ilvl w:val="0"/>
          <w:numId w:val="59"/>
        </w:numPr>
        <w:shd w:val="clear" w:color="auto" w:fill="FFFFFF"/>
        <w:jc w:val="left"/>
        <w:textAlignment w:val="baseline"/>
        <w:rPr>
          <w:rFonts w:cs="Arial"/>
          <w:color w:val="181F25"/>
          <w:szCs w:val="22"/>
        </w:rPr>
      </w:pPr>
      <w:r w:rsidRPr="00216F75">
        <w:rPr>
          <w:rFonts w:cs="Arial"/>
          <w:color w:val="000000"/>
          <w:szCs w:val="22"/>
        </w:rPr>
        <w:t>Gold Standard’s</w:t>
      </w:r>
      <w:r w:rsidRPr="00216F75">
        <w:rPr>
          <w:rFonts w:cs="Arial"/>
          <w:color w:val="181F25"/>
          <w:szCs w:val="22"/>
        </w:rPr>
        <w:t xml:space="preserve"> </w:t>
      </w:r>
      <w:hyperlink r:id="rId83" w:history="1">
        <w:r w:rsidRPr="00216F75">
          <w:rPr>
            <w:rFonts w:cs="Arial"/>
            <w:color w:val="1155CC"/>
            <w:szCs w:val="22"/>
            <w:u w:val="single"/>
          </w:rPr>
          <w:t>TPDDTEC Survey Questionnaire</w:t>
        </w:r>
      </w:hyperlink>
    </w:p>
    <w:p w14:paraId="0240A6D6" w14:textId="77777777" w:rsidR="00620061" w:rsidRPr="00216F75" w:rsidRDefault="00620061" w:rsidP="00620061">
      <w:pPr>
        <w:numPr>
          <w:ilvl w:val="0"/>
          <w:numId w:val="59"/>
        </w:numPr>
        <w:shd w:val="clear" w:color="auto" w:fill="FFFFFF"/>
        <w:jc w:val="left"/>
        <w:textAlignment w:val="baseline"/>
        <w:rPr>
          <w:rFonts w:cs="Arial"/>
          <w:color w:val="181F25"/>
          <w:szCs w:val="22"/>
        </w:rPr>
      </w:pPr>
      <w:r w:rsidRPr="00216F75">
        <w:rPr>
          <w:rFonts w:cs="Arial"/>
          <w:color w:val="181F25"/>
          <w:szCs w:val="22"/>
        </w:rPr>
        <w:t xml:space="preserve">Clean Cooking Alliance’s </w:t>
      </w:r>
      <w:hyperlink r:id="rId84" w:history="1">
        <w:r w:rsidRPr="00216F75">
          <w:rPr>
            <w:rFonts w:cs="Arial"/>
            <w:color w:val="1155CC"/>
            <w:szCs w:val="22"/>
            <w:u w:val="single"/>
          </w:rPr>
          <w:t>Fuel Stacking Toolkit</w:t>
        </w:r>
      </w:hyperlink>
    </w:p>
    <w:p w14:paraId="054D1FE2" w14:textId="77777777" w:rsidR="00620061" w:rsidRPr="00216F75" w:rsidRDefault="00620061" w:rsidP="00620061">
      <w:pPr>
        <w:spacing w:before="200"/>
        <w:outlineLvl w:val="1"/>
        <w:rPr>
          <w:rFonts w:cs="Arial"/>
          <w:b/>
          <w:bCs/>
          <w:szCs w:val="22"/>
        </w:rPr>
      </w:pPr>
      <w:r w:rsidRPr="00216F75">
        <w:rPr>
          <w:rFonts w:cs="Arial"/>
          <w:b/>
          <w:bCs/>
          <w:color w:val="000000"/>
          <w:szCs w:val="22"/>
        </w:rPr>
        <w:t>Baseline scenario survey</w:t>
      </w:r>
    </w:p>
    <w:p w14:paraId="7ACCE729" w14:textId="77777777" w:rsidR="00620061" w:rsidRPr="00216F75" w:rsidRDefault="00620061" w:rsidP="00620061">
      <w:pPr>
        <w:rPr>
          <w:rFonts w:cs="Arial"/>
          <w:szCs w:val="22"/>
        </w:rPr>
      </w:pPr>
      <w:r w:rsidRPr="00216F75">
        <w:rPr>
          <w:rFonts w:cs="Arial"/>
          <w:color w:val="000000"/>
          <w:szCs w:val="22"/>
        </w:rPr>
        <w:t>Purpose:</w:t>
      </w:r>
    </w:p>
    <w:p w14:paraId="21CCFA5C" w14:textId="77777777" w:rsidR="00620061" w:rsidRPr="00216F75" w:rsidRDefault="00620061" w:rsidP="00620061">
      <w:pPr>
        <w:numPr>
          <w:ilvl w:val="0"/>
          <w:numId w:val="60"/>
        </w:numPr>
        <w:jc w:val="left"/>
        <w:textAlignment w:val="baseline"/>
        <w:rPr>
          <w:rFonts w:cs="Arial"/>
          <w:color w:val="000000"/>
          <w:szCs w:val="22"/>
        </w:rPr>
      </w:pPr>
      <w:r w:rsidRPr="00216F75">
        <w:rPr>
          <w:rFonts w:cs="Arial"/>
          <w:color w:val="000000"/>
          <w:szCs w:val="22"/>
        </w:rPr>
        <w:t xml:space="preserve">Establish household </w:t>
      </w:r>
      <w:proofErr w:type="gramStart"/>
      <w:r w:rsidRPr="00216F75">
        <w:rPr>
          <w:rFonts w:cs="Arial"/>
          <w:color w:val="000000"/>
          <w:szCs w:val="22"/>
        </w:rPr>
        <w:t>size;</w:t>
      </w:r>
      <w:proofErr w:type="gramEnd"/>
      <w:r w:rsidRPr="00216F75">
        <w:rPr>
          <w:rFonts w:cs="Arial"/>
          <w:color w:val="000000"/>
          <w:szCs w:val="22"/>
        </w:rPr>
        <w:t> </w:t>
      </w:r>
    </w:p>
    <w:p w14:paraId="4FAD6A52" w14:textId="77777777" w:rsidR="00620061" w:rsidRPr="00216F75" w:rsidRDefault="00620061" w:rsidP="00620061">
      <w:pPr>
        <w:numPr>
          <w:ilvl w:val="0"/>
          <w:numId w:val="60"/>
        </w:numPr>
        <w:jc w:val="left"/>
        <w:textAlignment w:val="baseline"/>
        <w:rPr>
          <w:rFonts w:cs="Arial"/>
          <w:color w:val="000000"/>
          <w:szCs w:val="22"/>
        </w:rPr>
      </w:pPr>
      <w:r w:rsidRPr="00216F75">
        <w:rPr>
          <w:rFonts w:cs="Arial"/>
          <w:color w:val="000000"/>
          <w:szCs w:val="22"/>
        </w:rPr>
        <w:t xml:space="preserve">Identify cooking fuels and technologies </w:t>
      </w:r>
      <w:proofErr w:type="gramStart"/>
      <w:r w:rsidRPr="00216F75">
        <w:rPr>
          <w:rFonts w:cs="Arial"/>
          <w:color w:val="000000"/>
          <w:szCs w:val="22"/>
        </w:rPr>
        <w:t>used;</w:t>
      </w:r>
      <w:proofErr w:type="gramEnd"/>
    </w:p>
    <w:p w14:paraId="4AD4AFE5" w14:textId="77777777" w:rsidR="00620061" w:rsidRPr="00216F75" w:rsidRDefault="00620061" w:rsidP="00620061">
      <w:pPr>
        <w:numPr>
          <w:ilvl w:val="0"/>
          <w:numId w:val="60"/>
        </w:numPr>
        <w:jc w:val="left"/>
        <w:textAlignment w:val="baseline"/>
        <w:rPr>
          <w:rFonts w:cs="Arial"/>
          <w:color w:val="000000"/>
          <w:szCs w:val="22"/>
        </w:rPr>
      </w:pPr>
      <w:r w:rsidRPr="00216F75">
        <w:rPr>
          <w:rFonts w:cs="Arial"/>
          <w:color w:val="000000"/>
          <w:szCs w:val="22"/>
        </w:rPr>
        <w:t xml:space="preserve">Document the percentage of cooking events carried out on each fuel-technology </w:t>
      </w:r>
      <w:proofErr w:type="gramStart"/>
      <w:r w:rsidRPr="00216F75">
        <w:rPr>
          <w:rFonts w:cs="Arial"/>
          <w:color w:val="000000"/>
          <w:szCs w:val="22"/>
        </w:rPr>
        <w:t>combination;</w:t>
      </w:r>
      <w:proofErr w:type="gramEnd"/>
      <w:r w:rsidRPr="00216F75">
        <w:rPr>
          <w:rFonts w:cs="Arial"/>
          <w:color w:val="000000"/>
          <w:szCs w:val="22"/>
        </w:rPr>
        <w:t> </w:t>
      </w:r>
    </w:p>
    <w:p w14:paraId="5C6CB171" w14:textId="77777777" w:rsidR="00620061" w:rsidRPr="00216F75" w:rsidRDefault="00620061" w:rsidP="00620061">
      <w:pPr>
        <w:numPr>
          <w:ilvl w:val="0"/>
          <w:numId w:val="60"/>
        </w:numPr>
        <w:jc w:val="left"/>
        <w:textAlignment w:val="baseline"/>
        <w:rPr>
          <w:rFonts w:cs="Arial"/>
          <w:color w:val="000000"/>
          <w:szCs w:val="22"/>
        </w:rPr>
      </w:pPr>
      <w:r w:rsidRPr="00216F75">
        <w:rPr>
          <w:rFonts w:cs="Arial"/>
          <w:color w:val="000000"/>
          <w:szCs w:val="22"/>
        </w:rPr>
        <w:t>Capture seasonal or other variation in the percentage of cooking events carried out on each fuel-technology combination over the course of one year; and</w:t>
      </w:r>
    </w:p>
    <w:p w14:paraId="50E0204E" w14:textId="77777777" w:rsidR="00620061" w:rsidRPr="00216F75" w:rsidRDefault="00620061" w:rsidP="00620061">
      <w:pPr>
        <w:numPr>
          <w:ilvl w:val="0"/>
          <w:numId w:val="60"/>
        </w:numPr>
        <w:jc w:val="left"/>
        <w:textAlignment w:val="baseline"/>
        <w:rPr>
          <w:rFonts w:cs="Arial"/>
          <w:color w:val="000000"/>
          <w:szCs w:val="22"/>
        </w:rPr>
      </w:pPr>
      <w:r w:rsidRPr="00216F75">
        <w:rPr>
          <w:rFonts w:cs="Arial"/>
          <w:color w:val="000000"/>
          <w:szCs w:val="22"/>
        </w:rPr>
        <w:t>Understand the impact of space heating on fuel consumption (if any).</w:t>
      </w:r>
    </w:p>
    <w:p w14:paraId="41442B86" w14:textId="77777777" w:rsidR="00620061" w:rsidRPr="00216F75" w:rsidRDefault="00620061" w:rsidP="00620061">
      <w:pPr>
        <w:rPr>
          <w:rFonts w:cs="Arial"/>
          <w:szCs w:val="22"/>
        </w:rPr>
      </w:pPr>
    </w:p>
    <w:p w14:paraId="6F468FB0" w14:textId="1178A5E5" w:rsidR="00620061" w:rsidRPr="00216F75" w:rsidRDefault="00620061" w:rsidP="00620061">
      <w:pPr>
        <w:rPr>
          <w:rFonts w:cs="Arial"/>
          <w:szCs w:val="22"/>
        </w:rPr>
      </w:pPr>
      <w:r w:rsidRPr="00216F75">
        <w:rPr>
          <w:rFonts w:cs="Arial"/>
          <w:color w:val="222222"/>
          <w:szCs w:val="22"/>
        </w:rPr>
        <w:t xml:space="preserve">Project proponents are required to incorporate the resulting information on seasonal or other variations in fuel use into their monitoring plan design and to justify on the </w:t>
      </w:r>
      <w:hyperlink w:anchor="A1" w:history="1">
        <w:r w:rsidRPr="00073CB1">
          <w:rPr>
            <w:rStyle w:val="Hyperlink"/>
            <w:rFonts w:cs="Arial"/>
            <w:szCs w:val="22"/>
          </w:rPr>
          <w:t>Project Information Cover Sheet</w:t>
        </w:r>
      </w:hyperlink>
      <w:r w:rsidRPr="00216F75">
        <w:rPr>
          <w:rFonts w:cs="Arial"/>
          <w:color w:val="000000" w:themeColor="text1"/>
          <w:szCs w:val="22"/>
        </w:rPr>
        <w:t xml:space="preserve"> </w:t>
      </w:r>
      <w:r w:rsidRPr="00216F75">
        <w:rPr>
          <w:rFonts w:cs="Arial"/>
          <w:color w:val="222222"/>
          <w:szCs w:val="22"/>
        </w:rPr>
        <w:t>how the approach they are taking will result in accurate baseline and project fuel use measurements. If space heating is common in the project area, the justification must include an explanation of how space heating has been addressed in the project design. If an accurate approach cannot be taken, then the project proponent must instead select and justify a conservative approach.  </w:t>
      </w:r>
    </w:p>
    <w:p w14:paraId="0103553E" w14:textId="77777777" w:rsidR="00620061" w:rsidRPr="00216F75" w:rsidRDefault="00620061" w:rsidP="00620061">
      <w:pPr>
        <w:spacing w:before="200"/>
        <w:outlineLvl w:val="1"/>
        <w:rPr>
          <w:rFonts w:cs="Arial"/>
          <w:b/>
          <w:bCs/>
          <w:szCs w:val="22"/>
        </w:rPr>
      </w:pPr>
      <w:r w:rsidRPr="00216F75">
        <w:rPr>
          <w:rFonts w:cs="Arial"/>
          <w:b/>
          <w:bCs/>
          <w:color w:val="000000"/>
          <w:szCs w:val="22"/>
        </w:rPr>
        <w:t>Baseline and project KPT surveys</w:t>
      </w:r>
    </w:p>
    <w:p w14:paraId="77E9DA33" w14:textId="77777777" w:rsidR="00620061" w:rsidRPr="00216F75" w:rsidRDefault="00620061" w:rsidP="00620061">
      <w:pPr>
        <w:rPr>
          <w:rFonts w:cs="Arial"/>
          <w:szCs w:val="22"/>
        </w:rPr>
      </w:pPr>
      <w:r w:rsidRPr="00216F75">
        <w:rPr>
          <w:rFonts w:cs="Arial"/>
          <w:color w:val="000000"/>
          <w:szCs w:val="22"/>
        </w:rPr>
        <w:t>Purpose:</w:t>
      </w:r>
    </w:p>
    <w:p w14:paraId="6164DCF3" w14:textId="77777777" w:rsidR="00620061" w:rsidRPr="00216F75" w:rsidRDefault="00620061" w:rsidP="00620061">
      <w:pPr>
        <w:numPr>
          <w:ilvl w:val="0"/>
          <w:numId w:val="61"/>
        </w:numPr>
        <w:jc w:val="left"/>
        <w:textAlignment w:val="baseline"/>
        <w:rPr>
          <w:rFonts w:cs="Arial"/>
          <w:color w:val="000000"/>
          <w:szCs w:val="22"/>
        </w:rPr>
      </w:pPr>
      <w:r w:rsidRPr="00216F75">
        <w:rPr>
          <w:rFonts w:cs="Arial"/>
          <w:color w:val="000000"/>
          <w:szCs w:val="22"/>
        </w:rPr>
        <w:t>Track the number of people cooked for; and</w:t>
      </w:r>
    </w:p>
    <w:p w14:paraId="757D3668" w14:textId="77777777" w:rsidR="00620061" w:rsidRPr="00216F75" w:rsidRDefault="00620061" w:rsidP="00620061">
      <w:pPr>
        <w:numPr>
          <w:ilvl w:val="0"/>
          <w:numId w:val="61"/>
        </w:numPr>
        <w:jc w:val="left"/>
        <w:textAlignment w:val="baseline"/>
        <w:rPr>
          <w:rFonts w:cs="Arial"/>
          <w:color w:val="000000"/>
          <w:szCs w:val="22"/>
        </w:rPr>
      </w:pPr>
      <w:r w:rsidRPr="00216F75">
        <w:rPr>
          <w:rFonts w:cs="Arial"/>
          <w:color w:val="000000"/>
          <w:szCs w:val="22"/>
        </w:rPr>
        <w:t>Document any unusual cooking events.</w:t>
      </w:r>
    </w:p>
    <w:p w14:paraId="5F9D35B5" w14:textId="77777777" w:rsidR="00620061" w:rsidRPr="00216F75" w:rsidRDefault="00620061" w:rsidP="00620061">
      <w:pPr>
        <w:spacing w:before="200"/>
        <w:outlineLvl w:val="1"/>
        <w:rPr>
          <w:rFonts w:cs="Arial"/>
          <w:b/>
          <w:bCs/>
          <w:szCs w:val="22"/>
        </w:rPr>
      </w:pPr>
      <w:r w:rsidRPr="00216F75">
        <w:rPr>
          <w:rFonts w:cs="Arial"/>
          <w:b/>
          <w:bCs/>
          <w:color w:val="000000"/>
          <w:szCs w:val="22"/>
        </w:rPr>
        <w:t>Usage survey</w:t>
      </w:r>
    </w:p>
    <w:p w14:paraId="2D223965" w14:textId="77777777" w:rsidR="00620061" w:rsidRPr="00216F75" w:rsidRDefault="00620061" w:rsidP="00620061">
      <w:pPr>
        <w:rPr>
          <w:rFonts w:cs="Arial"/>
          <w:szCs w:val="22"/>
        </w:rPr>
      </w:pPr>
      <w:r w:rsidRPr="00216F75">
        <w:rPr>
          <w:rFonts w:cs="Arial"/>
          <w:color w:val="000000"/>
          <w:szCs w:val="22"/>
        </w:rPr>
        <w:t>Purpose:</w:t>
      </w:r>
    </w:p>
    <w:p w14:paraId="1500ACF6" w14:textId="77777777" w:rsidR="00620061" w:rsidRPr="00216F75" w:rsidRDefault="00620061" w:rsidP="00620061">
      <w:pPr>
        <w:numPr>
          <w:ilvl w:val="0"/>
          <w:numId w:val="62"/>
        </w:numPr>
        <w:jc w:val="left"/>
        <w:textAlignment w:val="baseline"/>
        <w:rPr>
          <w:rFonts w:cs="Arial"/>
          <w:color w:val="000000"/>
          <w:szCs w:val="22"/>
        </w:rPr>
      </w:pPr>
      <w:r w:rsidRPr="00216F75">
        <w:rPr>
          <w:rFonts w:cs="Arial"/>
          <w:color w:val="000000" w:themeColor="text1"/>
          <w:szCs w:val="22"/>
        </w:rPr>
        <w:t xml:space="preserve">Determine the presence of the project technology, and frequency with which the household uses the project technology </w:t>
      </w:r>
      <w:proofErr w:type="gramStart"/>
      <w:r w:rsidRPr="00216F75">
        <w:rPr>
          <w:rFonts w:cs="Arial"/>
          <w:color w:val="000000" w:themeColor="text1"/>
          <w:szCs w:val="22"/>
        </w:rPr>
        <w:t>in order to</w:t>
      </w:r>
      <w:proofErr w:type="gramEnd"/>
      <w:r w:rsidRPr="00216F75">
        <w:rPr>
          <w:rFonts w:cs="Arial"/>
          <w:color w:val="000000" w:themeColor="text1"/>
          <w:szCs w:val="22"/>
        </w:rPr>
        <w:t xml:space="preserve"> determine if the household may be counted as a user household. Note that SUMs monitoring may be used to measure the frequency of the use, but the survey must still be conducted to determine the presence of the project technology.</w:t>
      </w:r>
    </w:p>
    <w:p w14:paraId="55F827F7" w14:textId="77777777" w:rsidR="00620061" w:rsidRPr="00216F75" w:rsidRDefault="00620061" w:rsidP="00620061">
      <w:pPr>
        <w:numPr>
          <w:ilvl w:val="0"/>
          <w:numId w:val="62"/>
        </w:numPr>
        <w:jc w:val="left"/>
        <w:textAlignment w:val="baseline"/>
        <w:rPr>
          <w:rFonts w:cs="Arial"/>
          <w:color w:val="000000"/>
          <w:szCs w:val="22"/>
        </w:rPr>
      </w:pPr>
      <w:r w:rsidRPr="00216F75">
        <w:rPr>
          <w:rFonts w:cs="Arial"/>
          <w:color w:val="000000"/>
          <w:szCs w:val="22"/>
        </w:rPr>
        <w:t>Assess the types and characteristics of seasonal variations that may affect the project’s emission reductions. </w:t>
      </w:r>
    </w:p>
    <w:p w14:paraId="2C221D53" w14:textId="77777777" w:rsidR="00620061" w:rsidRPr="00216F75" w:rsidRDefault="00620061" w:rsidP="00620061">
      <w:pPr>
        <w:rPr>
          <w:rFonts w:cs="Arial"/>
          <w:szCs w:val="22"/>
        </w:rPr>
      </w:pPr>
    </w:p>
    <w:p w14:paraId="33CBD6E4" w14:textId="77777777" w:rsidR="00620061" w:rsidRPr="00216F75" w:rsidRDefault="00620061" w:rsidP="00620061">
      <w:pPr>
        <w:rPr>
          <w:rFonts w:cs="Arial"/>
          <w:szCs w:val="22"/>
        </w:rPr>
      </w:pPr>
      <w:r w:rsidRPr="00216F75">
        <w:rPr>
          <w:rFonts w:cs="Arial"/>
          <w:color w:val="000000"/>
          <w:szCs w:val="22"/>
        </w:rPr>
        <w:lastRenderedPageBreak/>
        <w:t>Usage survey results shall be corroborated with a visual inspection using a standardized checklist to assess if the project technology is present in the kitchen and shows signs of recent use. Enumerators must also take photographs with a Geographic Information System (GIS) and time record of all the cookstoves present in the household, as well as of the cooking area(s). The photographs must include both close-ups of each technology and its fuel (if present) and wider compositions showing the position of the cookstoves within or near the household. </w:t>
      </w:r>
    </w:p>
    <w:p w14:paraId="2DFFA539" w14:textId="77777777" w:rsidR="00620061" w:rsidRPr="00216F75" w:rsidRDefault="00620061" w:rsidP="00620061">
      <w:pPr>
        <w:rPr>
          <w:rFonts w:cs="Arial"/>
          <w:szCs w:val="22"/>
        </w:rPr>
      </w:pPr>
    </w:p>
    <w:p w14:paraId="43723E9E" w14:textId="77777777" w:rsidR="00620061" w:rsidRPr="00216F75" w:rsidRDefault="00620061" w:rsidP="00620061">
      <w:pPr>
        <w:rPr>
          <w:rFonts w:cs="Arial"/>
          <w:szCs w:val="22"/>
        </w:rPr>
      </w:pPr>
      <w:r w:rsidRPr="00216F75">
        <w:rPr>
          <w:rFonts w:cs="Arial"/>
          <w:i/>
          <w:iCs/>
          <w:color w:val="000000"/>
          <w:szCs w:val="22"/>
        </w:rPr>
        <w:t>Supplemental purpose of first usage survey administered for any given household</w:t>
      </w:r>
    </w:p>
    <w:p w14:paraId="10D9151C" w14:textId="77777777" w:rsidR="00620061" w:rsidRPr="00216F75" w:rsidRDefault="00620061" w:rsidP="00620061">
      <w:pPr>
        <w:numPr>
          <w:ilvl w:val="0"/>
          <w:numId w:val="63"/>
        </w:numPr>
        <w:jc w:val="left"/>
        <w:textAlignment w:val="baseline"/>
        <w:rPr>
          <w:rFonts w:cs="Arial"/>
          <w:color w:val="000000"/>
          <w:szCs w:val="22"/>
        </w:rPr>
      </w:pPr>
      <w:r w:rsidRPr="00216F75">
        <w:rPr>
          <w:rFonts w:cs="Arial"/>
          <w:color w:val="000000"/>
          <w:szCs w:val="22"/>
        </w:rPr>
        <w:t xml:space="preserve">Establish household </w:t>
      </w:r>
      <w:proofErr w:type="gramStart"/>
      <w:r w:rsidRPr="00216F75">
        <w:rPr>
          <w:rFonts w:cs="Arial"/>
          <w:color w:val="000000"/>
          <w:szCs w:val="22"/>
        </w:rPr>
        <w:t>size;</w:t>
      </w:r>
      <w:proofErr w:type="gramEnd"/>
      <w:r w:rsidRPr="00216F75">
        <w:rPr>
          <w:rFonts w:cs="Arial"/>
          <w:color w:val="000000"/>
          <w:szCs w:val="22"/>
        </w:rPr>
        <w:t> </w:t>
      </w:r>
    </w:p>
    <w:p w14:paraId="730B8140" w14:textId="77777777" w:rsidR="00620061" w:rsidRPr="00216F75" w:rsidRDefault="00620061" w:rsidP="00620061">
      <w:pPr>
        <w:numPr>
          <w:ilvl w:val="0"/>
          <w:numId w:val="63"/>
        </w:numPr>
        <w:jc w:val="left"/>
        <w:textAlignment w:val="baseline"/>
        <w:rPr>
          <w:rFonts w:cs="Arial"/>
          <w:color w:val="000000"/>
          <w:szCs w:val="22"/>
        </w:rPr>
      </w:pPr>
      <w:r w:rsidRPr="00216F75">
        <w:rPr>
          <w:rFonts w:cs="Arial"/>
          <w:color w:val="000000"/>
          <w:szCs w:val="22"/>
        </w:rPr>
        <w:t>Identify cooking fuels and technologies used prior to acquisition of project technology (retrospective baseline</w:t>
      </w:r>
      <w:proofErr w:type="gramStart"/>
      <w:r w:rsidRPr="00216F75">
        <w:rPr>
          <w:rFonts w:cs="Arial"/>
          <w:color w:val="000000"/>
          <w:szCs w:val="22"/>
        </w:rPr>
        <w:t>);</w:t>
      </w:r>
      <w:proofErr w:type="gramEnd"/>
    </w:p>
    <w:p w14:paraId="1B6A694A" w14:textId="77777777" w:rsidR="00620061" w:rsidRPr="00216F75" w:rsidRDefault="00620061" w:rsidP="00620061">
      <w:pPr>
        <w:numPr>
          <w:ilvl w:val="0"/>
          <w:numId w:val="63"/>
        </w:numPr>
        <w:jc w:val="left"/>
        <w:textAlignment w:val="baseline"/>
        <w:rPr>
          <w:rFonts w:cs="Arial"/>
          <w:color w:val="000000"/>
          <w:szCs w:val="22"/>
        </w:rPr>
      </w:pPr>
      <w:r w:rsidRPr="00216F75">
        <w:rPr>
          <w:rFonts w:cs="Arial"/>
          <w:color w:val="000000"/>
          <w:szCs w:val="22"/>
        </w:rPr>
        <w:t>Document the percentage of cooking events carried out on each fuel-technology combination used prior to acquisition of project technology (retrospective baseline</w:t>
      </w:r>
      <w:proofErr w:type="gramStart"/>
      <w:r w:rsidRPr="00216F75">
        <w:rPr>
          <w:rFonts w:cs="Arial"/>
          <w:color w:val="000000"/>
          <w:szCs w:val="22"/>
        </w:rPr>
        <w:t>);</w:t>
      </w:r>
      <w:proofErr w:type="gramEnd"/>
      <w:r w:rsidRPr="00216F75">
        <w:rPr>
          <w:rFonts w:cs="Arial"/>
          <w:color w:val="000000"/>
          <w:szCs w:val="22"/>
        </w:rPr>
        <w:t> </w:t>
      </w:r>
    </w:p>
    <w:p w14:paraId="5C560B3B" w14:textId="77777777" w:rsidR="00620061" w:rsidRPr="00216F75" w:rsidRDefault="00620061" w:rsidP="00620061">
      <w:pPr>
        <w:rPr>
          <w:rFonts w:cs="Arial"/>
          <w:szCs w:val="22"/>
        </w:rPr>
      </w:pPr>
    </w:p>
    <w:p w14:paraId="6BF9BDFB" w14:textId="3365D3F6" w:rsidR="00620061" w:rsidRPr="00216F75" w:rsidRDefault="00620061" w:rsidP="00620061">
      <w:pPr>
        <w:rPr>
          <w:rFonts w:cs="Arial"/>
          <w:color w:val="000000"/>
          <w:szCs w:val="22"/>
        </w:rPr>
      </w:pPr>
      <w:r w:rsidRPr="00216F75">
        <w:rPr>
          <w:rFonts w:cs="Arial"/>
          <w:color w:val="000000"/>
          <w:szCs w:val="22"/>
        </w:rPr>
        <w:t>This supplemental usage survey activity is used to check how well the project household characteristics match the ex-ante baseline scenario. Retrospective questions are added to the first usage survey conducted in any given household. To the extent possible, these retrospective questions should be identical to the questions in the baseline scenario survey, just asked retrospectively. Project proponents must identify any mismatch between the primary fuel type and household size documented during the baseline scenario and those reported by actual project households during the project roll-out (</w:t>
      </w:r>
      <w:r w:rsidRPr="00E3192D">
        <w:rPr>
          <w:rFonts w:cs="Arial"/>
          <w:color w:val="000000"/>
          <w:szCs w:val="22"/>
        </w:rPr>
        <w:t xml:space="preserve">see </w:t>
      </w:r>
      <w:hyperlink w:anchor="S1021" w:history="1">
        <w:r w:rsidRPr="00E3192D">
          <w:rPr>
            <w:rStyle w:val="Hyperlink"/>
            <w:rFonts w:cs="Arial"/>
            <w:szCs w:val="22"/>
          </w:rPr>
          <w:t xml:space="preserve">Section </w:t>
        </w:r>
        <w:r w:rsidR="009B4BF8" w:rsidRPr="00E3192D">
          <w:rPr>
            <w:rStyle w:val="Hyperlink"/>
            <w:rFonts w:cs="Arial"/>
            <w:szCs w:val="22"/>
          </w:rPr>
          <w:t>10.2.1</w:t>
        </w:r>
      </w:hyperlink>
      <w:r w:rsidRPr="00E3192D">
        <w:rPr>
          <w:rFonts w:cs="Arial"/>
          <w:color w:val="000000"/>
          <w:szCs w:val="22"/>
        </w:rPr>
        <w:t xml:space="preserve"> for further</w:t>
      </w:r>
      <w:r w:rsidRPr="00216F75">
        <w:rPr>
          <w:rFonts w:cs="Arial"/>
          <w:color w:val="000000"/>
          <w:szCs w:val="22"/>
        </w:rPr>
        <w:t xml:space="preserve"> details).</w:t>
      </w:r>
    </w:p>
    <w:p w14:paraId="66FA476F" w14:textId="77777777" w:rsidR="00620061" w:rsidRPr="00216F75" w:rsidRDefault="00620061" w:rsidP="00620061">
      <w:pPr>
        <w:rPr>
          <w:rFonts w:eastAsia="Montserrat" w:cs="Arial"/>
          <w:b/>
          <w:color w:val="365F91" w:themeColor="accent1" w:themeShade="BF"/>
          <w:szCs w:val="22"/>
        </w:rPr>
      </w:pPr>
      <w:r w:rsidRPr="00216F75">
        <w:rPr>
          <w:rFonts w:cs="Arial"/>
          <w:szCs w:val="22"/>
        </w:rPr>
        <w:br w:type="page"/>
      </w:r>
    </w:p>
    <w:p w14:paraId="5D0AC234" w14:textId="0A363DFC" w:rsidR="00055C06" w:rsidRDefault="00055C06" w:rsidP="00055C06">
      <w:pPr>
        <w:pStyle w:val="SDMAppTitle"/>
      </w:pPr>
      <w:bookmarkStart w:id="104" w:name="A7"/>
      <w:bookmarkStart w:id="105" w:name="_Toc193924650"/>
      <w:r w:rsidRPr="00055C06">
        <w:lastRenderedPageBreak/>
        <w:t>Requireme</w:t>
      </w:r>
      <w:bookmarkEnd w:id="104"/>
      <w:r w:rsidRPr="00055C06">
        <w:t>nts and Best Practices for Kitchen Performance Tests (KPTs)</w:t>
      </w:r>
    </w:p>
    <w:bookmarkEnd w:id="105"/>
    <w:p w14:paraId="2419C044" w14:textId="77777777" w:rsidR="00620061" w:rsidRPr="00216F75" w:rsidRDefault="00620061" w:rsidP="00620061">
      <w:pPr>
        <w:rPr>
          <w:rFonts w:cs="Arial"/>
          <w:b/>
          <w:bCs/>
          <w:szCs w:val="22"/>
        </w:rPr>
      </w:pPr>
      <w:r w:rsidRPr="00216F75">
        <w:rPr>
          <w:rFonts w:cs="Arial"/>
          <w:b/>
          <w:bCs/>
          <w:szCs w:val="22"/>
        </w:rPr>
        <w:t>Overview</w:t>
      </w:r>
    </w:p>
    <w:p w14:paraId="0AF1B1F8" w14:textId="77777777" w:rsidR="00620061" w:rsidRPr="00216F75" w:rsidRDefault="00620061" w:rsidP="00620061">
      <w:pPr>
        <w:pStyle w:val="NormalWeb"/>
        <w:spacing w:before="0" w:beforeAutospacing="0" w:after="200" w:afterAutospacing="0"/>
        <w:rPr>
          <w:rFonts w:ascii="Arial" w:hAnsi="Arial" w:cs="Arial"/>
          <w:sz w:val="22"/>
          <w:szCs w:val="22"/>
        </w:rPr>
      </w:pPr>
      <w:r w:rsidRPr="00216F75">
        <w:rPr>
          <w:rFonts w:ascii="Arial" w:hAnsi="Arial" w:cs="Arial"/>
          <w:color w:val="000000"/>
          <w:sz w:val="22"/>
          <w:szCs w:val="22"/>
        </w:rPr>
        <w:t>The KPT is a field-based methodology used to estimate household fuel consumption under real-world conditions. Within the CLEAR methodology, the KPT serves as the primary tool for assessing fuel savings needed to calculate emissions reductions.</w:t>
      </w:r>
    </w:p>
    <w:p w14:paraId="75453295" w14:textId="77777777" w:rsidR="00620061" w:rsidRPr="00216F75" w:rsidRDefault="00620061" w:rsidP="00620061">
      <w:pPr>
        <w:pStyle w:val="NormalWeb"/>
        <w:spacing w:before="0" w:beforeAutospacing="0" w:after="200" w:afterAutospacing="0"/>
        <w:rPr>
          <w:rFonts w:ascii="Arial" w:hAnsi="Arial" w:cs="Arial"/>
          <w:color w:val="000000" w:themeColor="text1"/>
          <w:sz w:val="22"/>
          <w:szCs w:val="22"/>
        </w:rPr>
      </w:pPr>
      <w:r w:rsidRPr="00216F75">
        <w:rPr>
          <w:rFonts w:ascii="Arial" w:hAnsi="Arial" w:cs="Arial"/>
          <w:color w:val="000000" w:themeColor="text1"/>
          <w:sz w:val="22"/>
          <w:szCs w:val="22"/>
        </w:rPr>
        <w:t xml:space="preserve">This document provides context for how the KPT protocol should be applied in the CLEAR methodology. It refers to the latest version of the KPT protocol available on the CCA website at </w:t>
      </w:r>
      <w:hyperlink r:id="rId85">
        <w:r w:rsidRPr="00216F75">
          <w:rPr>
            <w:rStyle w:val="Hyperlink"/>
            <w:rFonts w:ascii="Arial" w:eastAsia="Montserrat" w:hAnsi="Arial" w:cs="Arial"/>
            <w:color w:val="1155CC"/>
            <w:sz w:val="22"/>
            <w:szCs w:val="22"/>
          </w:rPr>
          <w:t>https://cleancooking.org/protocols</w:t>
        </w:r>
      </w:hyperlink>
      <w:r w:rsidRPr="00216F75">
        <w:rPr>
          <w:rFonts w:ascii="Arial" w:hAnsi="Arial" w:cs="Arial"/>
          <w:color w:val="000000" w:themeColor="text1"/>
          <w:sz w:val="22"/>
          <w:szCs w:val="22"/>
        </w:rPr>
        <w:t xml:space="preserve">. Where guidance provided here conflicts with the directives of the KPT protocol, guidance here should be followed for projects using CLEAR, including the energy consumption estimates on a per capita fuel consumption basis rather than per standard adult basis. </w:t>
      </w:r>
    </w:p>
    <w:p w14:paraId="7AB286DF" w14:textId="77777777" w:rsidR="00620061" w:rsidRPr="00216F75" w:rsidRDefault="00620061" w:rsidP="00620061">
      <w:pPr>
        <w:rPr>
          <w:rFonts w:cs="Arial"/>
          <w:b/>
          <w:bCs/>
          <w:szCs w:val="22"/>
        </w:rPr>
      </w:pPr>
      <w:r w:rsidRPr="00216F75">
        <w:rPr>
          <w:rFonts w:cs="Arial"/>
          <w:b/>
          <w:bCs/>
          <w:szCs w:val="22"/>
        </w:rPr>
        <w:t>Sampling requirements</w:t>
      </w:r>
    </w:p>
    <w:p w14:paraId="2DED05E2" w14:textId="77777777" w:rsidR="00620061" w:rsidRPr="00216F75" w:rsidRDefault="00620061" w:rsidP="00620061">
      <w:pPr>
        <w:pStyle w:val="NormalWeb"/>
        <w:spacing w:before="0" w:beforeAutospacing="0" w:after="200" w:afterAutospacing="0"/>
        <w:rPr>
          <w:rFonts w:ascii="Arial" w:hAnsi="Arial" w:cs="Arial"/>
          <w:sz w:val="22"/>
          <w:szCs w:val="22"/>
        </w:rPr>
      </w:pPr>
      <w:r w:rsidRPr="00216F75">
        <w:rPr>
          <w:rFonts w:ascii="Arial" w:hAnsi="Arial" w:cs="Arial"/>
          <w:color w:val="000000"/>
          <w:sz w:val="22"/>
          <w:szCs w:val="22"/>
        </w:rPr>
        <w:t>Projects must meet the 95/10 precision guideline for the total energy consumption (TJ/(person*year)) for the project and baseline KPTs or use the conservative 95% confidence bound that results in the lower emissions reduction estimate.   </w:t>
      </w:r>
    </w:p>
    <w:p w14:paraId="79078617" w14:textId="4F4BC5CB" w:rsidR="00620061" w:rsidRPr="00216F75" w:rsidRDefault="00620061" w:rsidP="00620061">
      <w:pPr>
        <w:pStyle w:val="NormalWeb"/>
        <w:spacing w:before="0" w:beforeAutospacing="0" w:after="200" w:afterAutospacing="0"/>
        <w:rPr>
          <w:rFonts w:ascii="Arial" w:hAnsi="Arial" w:cs="Arial"/>
          <w:sz w:val="22"/>
          <w:szCs w:val="22"/>
        </w:rPr>
      </w:pPr>
      <w:r w:rsidRPr="00216F75">
        <w:rPr>
          <w:rFonts w:ascii="Arial" w:hAnsi="Arial" w:cs="Arial"/>
          <w:color w:val="000000"/>
          <w:sz w:val="22"/>
          <w:szCs w:val="22"/>
        </w:rPr>
        <w:t xml:space="preserve">For baseline and project KPTs, households shall be selected from the group of households included in the baseline scenario survey and project usage surveys, respectively. Households are anticipated to be statistically </w:t>
      </w:r>
      <w:proofErr w:type="gramStart"/>
      <w:r w:rsidRPr="00216F75">
        <w:rPr>
          <w:rFonts w:ascii="Arial" w:hAnsi="Arial" w:cs="Arial"/>
          <w:color w:val="000000"/>
          <w:sz w:val="22"/>
          <w:szCs w:val="22"/>
        </w:rPr>
        <w:t>similar to</w:t>
      </w:r>
      <w:proofErr w:type="gramEnd"/>
      <w:r w:rsidRPr="00216F75">
        <w:rPr>
          <w:rFonts w:ascii="Arial" w:hAnsi="Arial" w:cs="Arial"/>
          <w:color w:val="000000"/>
          <w:sz w:val="22"/>
          <w:szCs w:val="22"/>
        </w:rPr>
        <w:t xml:space="preserve"> those of the larger surveys and must be within 10% of the household size and proportion of cooking done with the primary fuel for the respective baseline and project scenarios. If either of these conditions are not met, the project will conduct additional sampling until these conditions are met. This requirement is separate and additional to checking that the baseline scenario is </w:t>
      </w:r>
      <w:r w:rsidRPr="009B4BF8">
        <w:rPr>
          <w:rFonts w:ascii="Arial" w:hAnsi="Arial" w:cs="Arial"/>
          <w:color w:val="000000"/>
          <w:sz w:val="22"/>
          <w:szCs w:val="22"/>
        </w:rPr>
        <w:t xml:space="preserve">representative of the project scenario (see </w:t>
      </w:r>
      <w:hyperlink w:anchor="S1021" w:history="1">
        <w:r w:rsidRPr="009B4BF8">
          <w:rPr>
            <w:rStyle w:val="Hyperlink"/>
            <w:rFonts w:ascii="Arial" w:hAnsi="Arial" w:cs="Arial"/>
            <w:sz w:val="22"/>
            <w:szCs w:val="22"/>
          </w:rPr>
          <w:t xml:space="preserve">Section </w:t>
        </w:r>
        <w:r w:rsidR="009B4BF8" w:rsidRPr="009B4BF8">
          <w:rPr>
            <w:rStyle w:val="Hyperlink"/>
            <w:rFonts w:ascii="Arial" w:hAnsi="Arial" w:cs="Arial"/>
            <w:sz w:val="22"/>
            <w:szCs w:val="22"/>
          </w:rPr>
          <w:t>10.2.1</w:t>
        </w:r>
      </w:hyperlink>
      <w:r w:rsidRPr="009B4BF8">
        <w:rPr>
          <w:rFonts w:ascii="Arial" w:hAnsi="Arial" w:cs="Arial"/>
          <w:color w:val="000000"/>
          <w:sz w:val="22"/>
          <w:szCs w:val="22"/>
        </w:rPr>
        <w:t>). For the project scenario, sampling shall</w:t>
      </w:r>
      <w:r w:rsidRPr="00216F75">
        <w:rPr>
          <w:rFonts w:ascii="Arial" w:hAnsi="Arial" w:cs="Arial"/>
          <w:color w:val="000000"/>
          <w:sz w:val="22"/>
          <w:szCs w:val="22"/>
        </w:rPr>
        <w:t xml:space="preserve"> be stratified across </w:t>
      </w:r>
      <w:proofErr w:type="gramStart"/>
      <w:r w:rsidRPr="00216F75">
        <w:rPr>
          <w:rFonts w:ascii="Arial" w:hAnsi="Arial" w:cs="Arial"/>
          <w:color w:val="000000"/>
          <w:sz w:val="22"/>
          <w:szCs w:val="22"/>
        </w:rPr>
        <w:t>technology</w:t>
      </w:r>
      <w:proofErr w:type="gramEnd"/>
      <w:r w:rsidRPr="00216F75">
        <w:rPr>
          <w:rFonts w:ascii="Arial" w:hAnsi="Arial" w:cs="Arial"/>
          <w:color w:val="000000"/>
          <w:sz w:val="22"/>
          <w:szCs w:val="22"/>
        </w:rPr>
        <w:t xml:space="preserve"> ages to ensure representative results.  </w:t>
      </w:r>
    </w:p>
    <w:p w14:paraId="30B01C23" w14:textId="77777777" w:rsidR="00620061" w:rsidRPr="00216F75" w:rsidRDefault="00620061" w:rsidP="00620061">
      <w:pPr>
        <w:pStyle w:val="NormalWeb"/>
        <w:spacing w:before="0" w:beforeAutospacing="0" w:after="200" w:afterAutospacing="0"/>
        <w:rPr>
          <w:rFonts w:ascii="Arial" w:hAnsi="Arial" w:cs="Arial"/>
          <w:sz w:val="22"/>
          <w:szCs w:val="22"/>
        </w:rPr>
      </w:pPr>
      <w:r w:rsidRPr="00216F75">
        <w:rPr>
          <w:rFonts w:ascii="Arial" w:hAnsi="Arial" w:cs="Arial"/>
          <w:color w:val="000000"/>
          <w:sz w:val="22"/>
          <w:szCs w:val="22"/>
        </w:rPr>
        <w:t>Given that simple random sampling may result in impractical logistics for four days of consecutive household visits, a household may be excluded</w:t>
      </w:r>
      <w:r w:rsidRPr="00216F75">
        <w:rPr>
          <w:rFonts w:ascii="Arial" w:hAnsi="Arial" w:cs="Arial"/>
          <w:color w:val="222222"/>
          <w:sz w:val="22"/>
          <w:szCs w:val="22"/>
        </w:rPr>
        <w:t xml:space="preserve"> if </w:t>
      </w:r>
      <w:proofErr w:type="gramStart"/>
      <w:r w:rsidRPr="00216F75">
        <w:rPr>
          <w:rFonts w:ascii="Arial" w:hAnsi="Arial" w:cs="Arial"/>
          <w:color w:val="222222"/>
          <w:sz w:val="22"/>
          <w:szCs w:val="22"/>
        </w:rPr>
        <w:t>all of</w:t>
      </w:r>
      <w:proofErr w:type="gramEnd"/>
      <w:r w:rsidRPr="00216F75">
        <w:rPr>
          <w:rFonts w:ascii="Arial" w:hAnsi="Arial" w:cs="Arial"/>
          <w:color w:val="222222"/>
          <w:sz w:val="22"/>
          <w:szCs w:val="22"/>
        </w:rPr>
        <w:t xml:space="preserve"> the following conditions are met:  </w:t>
      </w:r>
    </w:p>
    <w:p w14:paraId="6F344740" w14:textId="77777777" w:rsidR="00620061" w:rsidRPr="00216F75" w:rsidRDefault="00620061" w:rsidP="00620061">
      <w:pPr>
        <w:pStyle w:val="NormalWeb"/>
        <w:numPr>
          <w:ilvl w:val="0"/>
          <w:numId w:val="74"/>
        </w:numPr>
        <w:spacing w:before="0" w:beforeAutospacing="0" w:after="0" w:afterAutospacing="0"/>
        <w:textAlignment w:val="baseline"/>
        <w:rPr>
          <w:rFonts w:ascii="Arial" w:hAnsi="Arial" w:cs="Arial"/>
          <w:color w:val="222222"/>
          <w:sz w:val="22"/>
          <w:szCs w:val="22"/>
        </w:rPr>
      </w:pPr>
      <w:r w:rsidRPr="00216F75">
        <w:rPr>
          <w:rFonts w:ascii="Arial" w:hAnsi="Arial" w:cs="Arial"/>
          <w:color w:val="000000"/>
          <w:sz w:val="22"/>
          <w:szCs w:val="22"/>
        </w:rPr>
        <w:t>The household requires</w:t>
      </w:r>
      <w:r w:rsidRPr="00216F75">
        <w:rPr>
          <w:rFonts w:ascii="Arial" w:hAnsi="Arial" w:cs="Arial"/>
          <w:color w:val="222222"/>
          <w:sz w:val="22"/>
          <w:szCs w:val="22"/>
        </w:rPr>
        <w:t xml:space="preserve"> more than one hour of transportation from the next nearest household in the sample;</w:t>
      </w:r>
    </w:p>
    <w:p w14:paraId="439E489A" w14:textId="77777777" w:rsidR="00620061" w:rsidRPr="00216F75" w:rsidRDefault="00620061" w:rsidP="00620061">
      <w:pPr>
        <w:pStyle w:val="NormalWeb"/>
        <w:numPr>
          <w:ilvl w:val="0"/>
          <w:numId w:val="74"/>
        </w:numPr>
        <w:spacing w:before="0" w:beforeAutospacing="0" w:after="0" w:afterAutospacing="0"/>
        <w:textAlignment w:val="baseline"/>
        <w:rPr>
          <w:rFonts w:ascii="Arial" w:hAnsi="Arial" w:cs="Arial"/>
          <w:color w:val="222222"/>
          <w:sz w:val="22"/>
          <w:szCs w:val="22"/>
        </w:rPr>
      </w:pPr>
      <w:r w:rsidRPr="00216F75">
        <w:rPr>
          <w:rFonts w:ascii="Arial" w:hAnsi="Arial" w:cs="Arial"/>
          <w:color w:val="222222"/>
          <w:sz w:val="22"/>
          <w:szCs w:val="22"/>
        </w:rPr>
        <w:t>The households in the area where the samples are excluded can be demonstrated to be similar in household size, fuel use type, and energy demand; and</w:t>
      </w:r>
    </w:p>
    <w:p w14:paraId="2A541A95" w14:textId="77777777" w:rsidR="00620061" w:rsidRPr="00216F75" w:rsidRDefault="00620061" w:rsidP="00620061">
      <w:pPr>
        <w:pStyle w:val="NormalWeb"/>
        <w:numPr>
          <w:ilvl w:val="0"/>
          <w:numId w:val="74"/>
        </w:numPr>
        <w:spacing w:before="0" w:beforeAutospacing="0" w:after="200" w:afterAutospacing="0"/>
        <w:textAlignment w:val="baseline"/>
        <w:rPr>
          <w:rFonts w:ascii="Arial" w:hAnsi="Arial" w:cs="Arial"/>
          <w:color w:val="222222"/>
          <w:sz w:val="22"/>
          <w:szCs w:val="22"/>
        </w:rPr>
      </w:pPr>
      <w:r w:rsidRPr="00216F75">
        <w:rPr>
          <w:rFonts w:ascii="Arial" w:hAnsi="Arial" w:cs="Arial"/>
          <w:color w:val="222222"/>
          <w:sz w:val="22"/>
          <w:szCs w:val="22"/>
        </w:rPr>
        <w:t>The total number of excluded households is not greater than 10% of households initially selected for the KPT sample.</w:t>
      </w:r>
    </w:p>
    <w:p w14:paraId="778C8969" w14:textId="77777777" w:rsidR="00620061" w:rsidRPr="00216F75" w:rsidRDefault="00620061" w:rsidP="00620061">
      <w:pPr>
        <w:rPr>
          <w:rFonts w:cs="Arial"/>
          <w:b/>
          <w:bCs/>
          <w:szCs w:val="22"/>
        </w:rPr>
      </w:pPr>
      <w:r w:rsidRPr="00216F75">
        <w:rPr>
          <w:rFonts w:cs="Arial"/>
          <w:b/>
          <w:bCs/>
          <w:szCs w:val="22"/>
        </w:rPr>
        <w:t>Measurements and sample integrity</w:t>
      </w:r>
    </w:p>
    <w:p w14:paraId="658085B1" w14:textId="77777777" w:rsidR="00620061" w:rsidRPr="00216F75" w:rsidRDefault="00620061" w:rsidP="00620061">
      <w:pPr>
        <w:rPr>
          <w:rFonts w:cs="Arial"/>
          <w:szCs w:val="22"/>
          <w:u w:val="single"/>
        </w:rPr>
      </w:pPr>
      <w:r w:rsidRPr="00216F75">
        <w:rPr>
          <w:rFonts w:cs="Arial"/>
          <w:szCs w:val="22"/>
          <w:u w:val="single"/>
        </w:rPr>
        <w:t>Scale Checks</w:t>
      </w:r>
    </w:p>
    <w:p w14:paraId="0E95BD95" w14:textId="77777777" w:rsidR="00620061" w:rsidRPr="00216F75" w:rsidRDefault="00620061" w:rsidP="00620061">
      <w:pPr>
        <w:pStyle w:val="NormalWeb"/>
        <w:numPr>
          <w:ilvl w:val="0"/>
          <w:numId w:val="75"/>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Scales must be checked with a certified calibration weight (5–20 kg) at least weekly during field campaigns and results of calibration checks clearly recorded to facilitate verification by VVBs.</w:t>
      </w:r>
    </w:p>
    <w:p w14:paraId="2196AE49" w14:textId="77777777" w:rsidR="00620061" w:rsidRPr="00216F75" w:rsidRDefault="00620061" w:rsidP="00620061">
      <w:pPr>
        <w:pStyle w:val="NormalWeb"/>
        <w:numPr>
          <w:ilvl w:val="0"/>
          <w:numId w:val="75"/>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themeColor="text1"/>
          <w:sz w:val="22"/>
          <w:szCs w:val="22"/>
        </w:rPr>
        <w:t>The scale must be accurate within 1% of the calibration mass.</w:t>
      </w:r>
    </w:p>
    <w:p w14:paraId="2CA8DFFE" w14:textId="77777777" w:rsidR="00620061" w:rsidRPr="00216F75" w:rsidRDefault="00620061" w:rsidP="00620061">
      <w:pPr>
        <w:pStyle w:val="NormalWeb"/>
        <w:numPr>
          <w:ilvl w:val="0"/>
          <w:numId w:val="75"/>
        </w:numPr>
        <w:spacing w:before="0" w:beforeAutospacing="0" w:after="200" w:afterAutospacing="0"/>
        <w:textAlignment w:val="baseline"/>
        <w:rPr>
          <w:rFonts w:ascii="Arial" w:hAnsi="Arial" w:cs="Arial"/>
          <w:color w:val="000000"/>
          <w:sz w:val="22"/>
          <w:szCs w:val="22"/>
        </w:rPr>
      </w:pPr>
      <w:r w:rsidRPr="00216F75">
        <w:rPr>
          <w:rFonts w:ascii="Arial" w:hAnsi="Arial" w:cs="Arial"/>
          <w:color w:val="000000" w:themeColor="text1"/>
          <w:sz w:val="22"/>
          <w:szCs w:val="22"/>
        </w:rPr>
        <w:t>If a scale fails a check, any data collected since the last successful check must be excluded from the analysis.</w:t>
      </w:r>
    </w:p>
    <w:p w14:paraId="65A5D2F6" w14:textId="77777777" w:rsidR="00620061" w:rsidRPr="00216F75" w:rsidRDefault="00620061" w:rsidP="00620061">
      <w:pPr>
        <w:rPr>
          <w:rFonts w:cs="Arial"/>
          <w:szCs w:val="22"/>
          <w:u w:val="single"/>
        </w:rPr>
      </w:pPr>
      <w:r w:rsidRPr="00216F75">
        <w:rPr>
          <w:rFonts w:cs="Arial"/>
          <w:szCs w:val="22"/>
          <w:u w:val="single"/>
        </w:rPr>
        <w:t>Accounting for Wood Moisture</w:t>
      </w:r>
    </w:p>
    <w:p w14:paraId="259B1058" w14:textId="77777777" w:rsidR="00620061" w:rsidRPr="00216F75" w:rsidRDefault="00620061" w:rsidP="00620061">
      <w:pPr>
        <w:pStyle w:val="NormalWeb"/>
        <w:numPr>
          <w:ilvl w:val="0"/>
          <w:numId w:val="76"/>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Default energy conversions assume air-dried wood (~20% moisture, wet basis) with a Net Calorific Value (NCV) of 0.0156 TJ/</w:t>
      </w:r>
      <w:proofErr w:type="spellStart"/>
      <w:r w:rsidRPr="00216F75">
        <w:rPr>
          <w:rFonts w:ascii="Arial" w:hAnsi="Arial" w:cs="Arial"/>
          <w:color w:val="000000"/>
          <w:sz w:val="22"/>
          <w:szCs w:val="22"/>
        </w:rPr>
        <w:t>tonne</w:t>
      </w:r>
      <w:proofErr w:type="spellEnd"/>
      <w:r w:rsidRPr="00216F75">
        <w:rPr>
          <w:rFonts w:ascii="Arial" w:hAnsi="Arial" w:cs="Arial"/>
          <w:color w:val="000000"/>
          <w:sz w:val="22"/>
          <w:szCs w:val="22"/>
        </w:rPr>
        <w:t>.</w:t>
      </w:r>
    </w:p>
    <w:p w14:paraId="48CEC5CD" w14:textId="77777777" w:rsidR="00620061" w:rsidRPr="00216F75" w:rsidRDefault="00620061" w:rsidP="00620061">
      <w:pPr>
        <w:pStyle w:val="NormalWeb"/>
        <w:numPr>
          <w:ilvl w:val="0"/>
          <w:numId w:val="76"/>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This NCV should be applied to wood quantities before making any moisture adjustments.</w:t>
      </w:r>
    </w:p>
    <w:p w14:paraId="3F872E67" w14:textId="77777777" w:rsidR="00620061" w:rsidRPr="00216F75" w:rsidRDefault="00620061" w:rsidP="00620061">
      <w:pPr>
        <w:pStyle w:val="NormalWeb"/>
        <w:numPr>
          <w:ilvl w:val="0"/>
          <w:numId w:val="76"/>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lastRenderedPageBreak/>
        <w:t>While NCV assumptions provide a standardized approach, it is best practice to measure actual moisture content, particularly to:</w:t>
      </w:r>
    </w:p>
    <w:p w14:paraId="400BF298" w14:textId="77777777" w:rsidR="00620061" w:rsidRPr="00216F75" w:rsidRDefault="00620061" w:rsidP="00620061">
      <w:pPr>
        <w:pStyle w:val="NormalWeb"/>
        <w:numPr>
          <w:ilvl w:val="1"/>
          <w:numId w:val="76"/>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Identify potential outliers</w:t>
      </w:r>
    </w:p>
    <w:p w14:paraId="25668E82" w14:textId="77777777" w:rsidR="00620061" w:rsidRPr="00216F75" w:rsidRDefault="00620061" w:rsidP="00620061">
      <w:pPr>
        <w:pStyle w:val="NormalWeb"/>
        <w:numPr>
          <w:ilvl w:val="1"/>
          <w:numId w:val="76"/>
        </w:numPr>
        <w:spacing w:before="0" w:beforeAutospacing="0" w:after="200" w:afterAutospacing="0"/>
        <w:textAlignment w:val="baseline"/>
        <w:rPr>
          <w:rFonts w:ascii="Arial" w:hAnsi="Arial" w:cs="Arial"/>
          <w:color w:val="000000"/>
          <w:sz w:val="22"/>
          <w:szCs w:val="22"/>
        </w:rPr>
      </w:pPr>
      <w:r w:rsidRPr="00216F75">
        <w:rPr>
          <w:rFonts w:ascii="Arial" w:hAnsi="Arial" w:cs="Arial"/>
          <w:color w:val="000000"/>
          <w:sz w:val="22"/>
          <w:szCs w:val="22"/>
        </w:rPr>
        <w:t>Assess seasonal variations in fuel characteristics</w:t>
      </w:r>
    </w:p>
    <w:p w14:paraId="6A75CA2B" w14:textId="77777777" w:rsidR="00620061" w:rsidRPr="00216F75" w:rsidRDefault="00620061" w:rsidP="00620061">
      <w:pPr>
        <w:pStyle w:val="NormalWeb"/>
        <w:spacing w:before="0" w:beforeAutospacing="0" w:after="0" w:afterAutospacing="0"/>
        <w:rPr>
          <w:rFonts w:ascii="Arial" w:hAnsi="Arial" w:cs="Arial"/>
          <w:sz w:val="22"/>
          <w:szCs w:val="22"/>
        </w:rPr>
      </w:pPr>
      <w:r w:rsidRPr="00216F75">
        <w:rPr>
          <w:rFonts w:ascii="Arial" w:hAnsi="Arial" w:cs="Arial"/>
          <w:b/>
          <w:bCs/>
          <w:color w:val="000000"/>
          <w:sz w:val="22"/>
          <w:szCs w:val="22"/>
        </w:rPr>
        <w:t>Fuel provision</w:t>
      </w:r>
    </w:p>
    <w:p w14:paraId="43D9D59F" w14:textId="77777777" w:rsidR="00620061" w:rsidRPr="00216F75" w:rsidRDefault="00620061" w:rsidP="00620061">
      <w:pPr>
        <w:pStyle w:val="NormalWeb"/>
        <w:spacing w:before="0" w:beforeAutospacing="0" w:after="200" w:afterAutospacing="0"/>
        <w:rPr>
          <w:rFonts w:ascii="Arial" w:hAnsi="Arial" w:cs="Arial"/>
          <w:sz w:val="22"/>
          <w:szCs w:val="22"/>
        </w:rPr>
      </w:pPr>
      <w:r w:rsidRPr="00216F75">
        <w:rPr>
          <w:rFonts w:ascii="Arial" w:hAnsi="Arial" w:cs="Arial"/>
          <w:color w:val="000000"/>
          <w:sz w:val="22"/>
          <w:szCs w:val="22"/>
        </w:rPr>
        <w:t>Because providing fuel to households can introduce substantial bias, fuel should not be provided to households for use during the KPT in most cases. </w:t>
      </w:r>
    </w:p>
    <w:p w14:paraId="16E51439" w14:textId="77777777" w:rsidR="00620061" w:rsidRPr="00216F75" w:rsidRDefault="00620061" w:rsidP="00620061">
      <w:pPr>
        <w:pStyle w:val="NormalWeb"/>
        <w:spacing w:before="0" w:beforeAutospacing="0" w:after="200" w:afterAutospacing="0"/>
        <w:rPr>
          <w:rFonts w:ascii="Arial" w:hAnsi="Arial" w:cs="Arial"/>
          <w:sz w:val="22"/>
          <w:szCs w:val="22"/>
        </w:rPr>
      </w:pPr>
      <w:r w:rsidRPr="00216F75">
        <w:rPr>
          <w:rFonts w:ascii="Arial" w:hAnsi="Arial" w:cs="Arial"/>
          <w:color w:val="000000"/>
          <w:sz w:val="22"/>
          <w:szCs w:val="22"/>
        </w:rPr>
        <w:t xml:space="preserve">In situations where households normally collect their fuel (e.g., wood, crop residues, dung) daily and </w:t>
      </w:r>
      <w:proofErr w:type="gramStart"/>
      <w:r w:rsidRPr="00216F75">
        <w:rPr>
          <w:rFonts w:ascii="Arial" w:hAnsi="Arial" w:cs="Arial"/>
          <w:color w:val="000000"/>
          <w:sz w:val="22"/>
          <w:szCs w:val="22"/>
        </w:rPr>
        <w:t>are not able to</w:t>
      </w:r>
      <w:proofErr w:type="gramEnd"/>
      <w:r w:rsidRPr="00216F75">
        <w:rPr>
          <w:rFonts w:ascii="Arial" w:hAnsi="Arial" w:cs="Arial"/>
          <w:color w:val="000000"/>
          <w:sz w:val="22"/>
          <w:szCs w:val="22"/>
        </w:rPr>
        <w:t xml:space="preserve"> collect and store a full day’s fuel in advance, project proponents may provide fuel for the KPT under the following conditions:</w:t>
      </w:r>
    </w:p>
    <w:p w14:paraId="6D4591EA" w14:textId="77777777" w:rsidR="00620061" w:rsidRPr="00216F75" w:rsidRDefault="00620061" w:rsidP="00620061">
      <w:pPr>
        <w:pStyle w:val="NormalWeb"/>
        <w:numPr>
          <w:ilvl w:val="0"/>
          <w:numId w:val="77"/>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The number of households that are unable to collect and store a full day’s fuel in advance must comprise more than 40% of the KPT sample; otherwise, those households should simply be excluded from the sample.</w:t>
      </w:r>
    </w:p>
    <w:p w14:paraId="20FBBB97" w14:textId="77777777" w:rsidR="00620061" w:rsidRPr="00216F75" w:rsidRDefault="00620061" w:rsidP="00620061">
      <w:pPr>
        <w:pStyle w:val="NormalWeb"/>
        <w:numPr>
          <w:ilvl w:val="0"/>
          <w:numId w:val="77"/>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 xml:space="preserve">Where fuel is provided, the household must be identified as having been </w:t>
      </w:r>
      <w:proofErr w:type="gramStart"/>
      <w:r w:rsidRPr="00216F75">
        <w:rPr>
          <w:rFonts w:ascii="Arial" w:hAnsi="Arial" w:cs="Arial"/>
          <w:color w:val="000000"/>
          <w:sz w:val="22"/>
          <w:szCs w:val="22"/>
        </w:rPr>
        <w:t>provided</w:t>
      </w:r>
      <w:proofErr w:type="gramEnd"/>
      <w:r w:rsidRPr="00216F75">
        <w:rPr>
          <w:rFonts w:ascii="Arial" w:hAnsi="Arial" w:cs="Arial"/>
          <w:color w:val="000000"/>
          <w:sz w:val="22"/>
          <w:szCs w:val="22"/>
        </w:rPr>
        <w:t xml:space="preserve"> fuel, and a 20% discount must be applied to the fuel consumption measured for that household during the baseline KPT.</w:t>
      </w:r>
    </w:p>
    <w:p w14:paraId="745853D0" w14:textId="77777777" w:rsidR="00620061" w:rsidRPr="00216F75" w:rsidRDefault="00620061" w:rsidP="00620061">
      <w:pPr>
        <w:pStyle w:val="NormalWeb"/>
        <w:numPr>
          <w:ilvl w:val="0"/>
          <w:numId w:val="77"/>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The amount of fuel provided must not exceed 30 MJ/(person*day) (approximately 2 kg/(person*day)).</w:t>
      </w:r>
    </w:p>
    <w:p w14:paraId="7B944919" w14:textId="77777777" w:rsidR="00620061" w:rsidRPr="00216F75" w:rsidRDefault="00620061" w:rsidP="00620061">
      <w:pPr>
        <w:pStyle w:val="NormalWeb"/>
        <w:numPr>
          <w:ilvl w:val="0"/>
          <w:numId w:val="77"/>
        </w:numPr>
        <w:spacing w:before="0" w:beforeAutospacing="0" w:after="200" w:afterAutospacing="0"/>
        <w:textAlignment w:val="baseline"/>
        <w:rPr>
          <w:rFonts w:ascii="Arial" w:hAnsi="Arial" w:cs="Arial"/>
          <w:color w:val="000000"/>
          <w:sz w:val="22"/>
          <w:szCs w:val="22"/>
        </w:rPr>
      </w:pPr>
      <w:r w:rsidRPr="00216F75">
        <w:rPr>
          <w:rFonts w:ascii="Arial" w:hAnsi="Arial" w:cs="Arial"/>
          <w:color w:val="000000"/>
          <w:sz w:val="22"/>
          <w:szCs w:val="22"/>
        </w:rPr>
        <w:t>If fuel is provided to a household for the baseline KPT, the same amount of fuel must also be provided to that household for the project KPT.</w:t>
      </w:r>
    </w:p>
    <w:p w14:paraId="02C52BB6" w14:textId="77777777" w:rsidR="00620061" w:rsidRPr="00216F75" w:rsidRDefault="00620061" w:rsidP="00620061">
      <w:pPr>
        <w:pStyle w:val="NormalWeb"/>
        <w:spacing w:before="0" w:beforeAutospacing="0" w:after="200" w:afterAutospacing="0"/>
        <w:rPr>
          <w:rFonts w:ascii="Arial" w:hAnsi="Arial" w:cs="Arial"/>
          <w:sz w:val="22"/>
          <w:szCs w:val="22"/>
        </w:rPr>
      </w:pPr>
      <w:r w:rsidRPr="00216F75">
        <w:rPr>
          <w:rFonts w:ascii="Arial" w:hAnsi="Arial" w:cs="Arial"/>
          <w:color w:val="000000"/>
          <w:sz w:val="22"/>
          <w:szCs w:val="22"/>
        </w:rPr>
        <w:t>For households where the primary fuel is purchased in discrete quantities, and it is impractical to store three times the amount typically used in a day, projects must follow the KPT protocol guidance for fuel purchases and estimate weights accordingly.</w:t>
      </w:r>
    </w:p>
    <w:p w14:paraId="612AA0AF" w14:textId="77777777" w:rsidR="00620061" w:rsidRPr="00216F75" w:rsidRDefault="00620061" w:rsidP="00620061">
      <w:pPr>
        <w:pStyle w:val="NormalWeb"/>
        <w:spacing w:before="0" w:beforeAutospacing="0" w:after="200" w:afterAutospacing="0"/>
        <w:rPr>
          <w:rFonts w:ascii="Arial" w:hAnsi="Arial" w:cs="Arial"/>
          <w:color w:val="000000"/>
          <w:sz w:val="22"/>
          <w:szCs w:val="22"/>
        </w:rPr>
      </w:pPr>
      <w:r w:rsidRPr="00216F75">
        <w:rPr>
          <w:rFonts w:ascii="Arial" w:hAnsi="Arial" w:cs="Arial"/>
          <w:color w:val="000000"/>
          <w:sz w:val="22"/>
          <w:szCs w:val="22"/>
        </w:rPr>
        <w:t>Alternatively, rather than providing fuel, project proponents may use fuel-weighing sensors that measure fuel consumption in real-time. This option may be used for any KPT, regardless of household fuel constraints.</w:t>
      </w:r>
    </w:p>
    <w:p w14:paraId="3B6342ED" w14:textId="77777777" w:rsidR="00620061" w:rsidRPr="00216F75" w:rsidRDefault="00620061" w:rsidP="00620061">
      <w:pPr>
        <w:pStyle w:val="NormalWeb"/>
        <w:spacing w:before="0" w:beforeAutospacing="0" w:after="0" w:afterAutospacing="0"/>
        <w:rPr>
          <w:rFonts w:ascii="Arial" w:hAnsi="Arial" w:cs="Arial"/>
          <w:b/>
          <w:bCs/>
          <w:sz w:val="22"/>
          <w:szCs w:val="22"/>
        </w:rPr>
      </w:pPr>
      <w:r w:rsidRPr="00216F75">
        <w:rPr>
          <w:rFonts w:ascii="Arial" w:hAnsi="Arial" w:cs="Arial"/>
          <w:b/>
          <w:bCs/>
          <w:color w:val="000000"/>
          <w:sz w:val="22"/>
          <w:szCs w:val="22"/>
        </w:rPr>
        <w:t>Data quality and outlier handling</w:t>
      </w:r>
    </w:p>
    <w:p w14:paraId="6A0B5769" w14:textId="77777777" w:rsidR="00620061" w:rsidRPr="00216F75" w:rsidRDefault="00620061" w:rsidP="00620061">
      <w:pPr>
        <w:rPr>
          <w:rFonts w:cs="Arial"/>
          <w:szCs w:val="22"/>
          <w:u w:val="single"/>
        </w:rPr>
      </w:pPr>
      <w:r w:rsidRPr="00216F75">
        <w:rPr>
          <w:rFonts w:cs="Arial"/>
          <w:szCs w:val="22"/>
          <w:u w:val="single"/>
        </w:rPr>
        <w:t>Outliers Identification and Exclusion Criteria</w:t>
      </w:r>
    </w:p>
    <w:p w14:paraId="502544C4" w14:textId="77777777" w:rsidR="00620061" w:rsidRPr="00216F75" w:rsidRDefault="00620061" w:rsidP="00620061">
      <w:pPr>
        <w:pStyle w:val="NormalWeb"/>
        <w:spacing w:before="0" w:beforeAutospacing="0" w:after="200" w:afterAutospacing="0"/>
        <w:rPr>
          <w:rFonts w:ascii="Arial" w:hAnsi="Arial" w:cs="Arial"/>
          <w:sz w:val="22"/>
          <w:szCs w:val="22"/>
        </w:rPr>
      </w:pPr>
      <w:r w:rsidRPr="00216F75">
        <w:rPr>
          <w:rFonts w:ascii="Arial" w:hAnsi="Arial" w:cs="Arial"/>
          <w:color w:val="000000"/>
          <w:sz w:val="22"/>
          <w:szCs w:val="22"/>
        </w:rPr>
        <w:t>Outliers shall be defined as data points that fall beyond 1.5 times the interquartile range (IQR) from its endpoints. Outliers may only be excluded if there is a clear, documented reason for their removal. Any excluded data must be retained along with an explanation. Acceptable reasons for exclusion are:</w:t>
      </w:r>
    </w:p>
    <w:p w14:paraId="40CBE314" w14:textId="77777777" w:rsidR="00620061" w:rsidRPr="00216F75" w:rsidRDefault="00620061" w:rsidP="00620061">
      <w:pPr>
        <w:pStyle w:val="NormalWeb"/>
        <w:numPr>
          <w:ilvl w:val="0"/>
          <w:numId w:val="78"/>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Data entry errors;</w:t>
      </w:r>
    </w:p>
    <w:p w14:paraId="68D341DE" w14:textId="77777777" w:rsidR="00620061" w:rsidRPr="00216F75" w:rsidRDefault="00620061" w:rsidP="00620061">
      <w:pPr>
        <w:pStyle w:val="NormalWeb"/>
        <w:numPr>
          <w:ilvl w:val="0"/>
          <w:numId w:val="78"/>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Documented unusual events (e.g., party, non-household members using the cookstove); or</w:t>
      </w:r>
    </w:p>
    <w:p w14:paraId="0B92C60E" w14:textId="77777777" w:rsidR="00620061" w:rsidRPr="00216F75" w:rsidRDefault="00620061" w:rsidP="00620061">
      <w:pPr>
        <w:pStyle w:val="NormalWeb"/>
        <w:numPr>
          <w:ilvl w:val="0"/>
          <w:numId w:val="78"/>
        </w:numPr>
        <w:spacing w:before="0" w:beforeAutospacing="0" w:after="200" w:afterAutospacing="0"/>
        <w:textAlignment w:val="baseline"/>
        <w:rPr>
          <w:rFonts w:ascii="Arial" w:hAnsi="Arial" w:cs="Arial"/>
          <w:color w:val="000000"/>
          <w:sz w:val="22"/>
          <w:szCs w:val="22"/>
        </w:rPr>
      </w:pPr>
      <w:r w:rsidRPr="00216F75">
        <w:rPr>
          <w:rFonts w:ascii="Arial" w:hAnsi="Arial" w:cs="Arial"/>
          <w:color w:val="000000"/>
          <w:sz w:val="22"/>
          <w:szCs w:val="22"/>
        </w:rPr>
        <w:t>A per capita fuel consumption &gt;175 MJ/(person*day) for any single day (equivalent to ~10 kg of wood/(person*day)).</w:t>
      </w:r>
    </w:p>
    <w:p w14:paraId="18C4C9DA" w14:textId="77777777" w:rsidR="00620061" w:rsidRPr="00216F75" w:rsidRDefault="00620061" w:rsidP="00620061">
      <w:pPr>
        <w:rPr>
          <w:rFonts w:cs="Arial"/>
          <w:szCs w:val="22"/>
          <w:u w:val="single"/>
        </w:rPr>
      </w:pPr>
      <w:r w:rsidRPr="00216F75">
        <w:rPr>
          <w:rFonts w:cs="Arial"/>
          <w:szCs w:val="22"/>
          <w:u w:val="single"/>
        </w:rPr>
        <w:t>Minimum Data Requirements</w:t>
      </w:r>
    </w:p>
    <w:p w14:paraId="50805D9A" w14:textId="77777777" w:rsidR="00620061" w:rsidRPr="00216F75" w:rsidRDefault="00620061" w:rsidP="00620061">
      <w:pPr>
        <w:pStyle w:val="NormalWeb"/>
        <w:numPr>
          <w:ilvl w:val="0"/>
          <w:numId w:val="79"/>
        </w:numPr>
        <w:spacing w:before="0" w:beforeAutospacing="0" w:after="0" w:afterAutospacing="0"/>
        <w:rPr>
          <w:rFonts w:ascii="Arial" w:hAnsi="Arial" w:cs="Arial"/>
          <w:sz w:val="22"/>
          <w:szCs w:val="22"/>
        </w:rPr>
      </w:pPr>
      <w:r w:rsidRPr="00216F75">
        <w:rPr>
          <w:rFonts w:ascii="Arial" w:hAnsi="Arial" w:cs="Arial"/>
          <w:color w:val="000000"/>
          <w:sz w:val="22"/>
          <w:szCs w:val="22"/>
        </w:rPr>
        <w:t>Only households with at least three complete days of data may be included in the analysis.</w:t>
      </w:r>
    </w:p>
    <w:p w14:paraId="6793B9A1" w14:textId="77777777" w:rsidR="00620061" w:rsidRPr="00216F75" w:rsidRDefault="00620061" w:rsidP="00620061">
      <w:pPr>
        <w:pStyle w:val="NormalWeb"/>
        <w:numPr>
          <w:ilvl w:val="0"/>
          <w:numId w:val="79"/>
        </w:numPr>
        <w:spacing w:before="0" w:beforeAutospacing="0" w:after="0" w:afterAutospacing="0"/>
        <w:rPr>
          <w:rFonts w:ascii="Arial" w:hAnsi="Arial" w:cs="Arial"/>
          <w:sz w:val="22"/>
          <w:szCs w:val="22"/>
        </w:rPr>
      </w:pPr>
      <w:r w:rsidRPr="00216F75">
        <w:rPr>
          <w:rFonts w:ascii="Arial" w:hAnsi="Arial" w:cs="Arial"/>
          <w:color w:val="000000"/>
          <w:sz w:val="22"/>
          <w:szCs w:val="22"/>
        </w:rPr>
        <w:t>These three days do not need to be consecutive if:</w:t>
      </w:r>
    </w:p>
    <w:p w14:paraId="294549C7" w14:textId="77777777" w:rsidR="00620061" w:rsidRPr="00216F75" w:rsidRDefault="00620061" w:rsidP="00620061">
      <w:pPr>
        <w:pStyle w:val="NormalWeb"/>
        <w:numPr>
          <w:ilvl w:val="1"/>
          <w:numId w:val="79"/>
        </w:numPr>
        <w:spacing w:before="0" w:beforeAutospacing="0" w:after="0" w:afterAutospacing="0"/>
        <w:rPr>
          <w:rFonts w:ascii="Arial" w:hAnsi="Arial" w:cs="Arial"/>
          <w:sz w:val="22"/>
          <w:szCs w:val="22"/>
        </w:rPr>
      </w:pPr>
      <w:r w:rsidRPr="00216F75">
        <w:rPr>
          <w:rFonts w:ascii="Arial" w:hAnsi="Arial" w:cs="Arial"/>
          <w:color w:val="000000"/>
          <w:sz w:val="22"/>
          <w:szCs w:val="22"/>
        </w:rPr>
        <w:t>Some data are missing due to measurement failures; and</w:t>
      </w:r>
    </w:p>
    <w:p w14:paraId="622C2D89" w14:textId="77777777" w:rsidR="00620061" w:rsidRPr="00216F75" w:rsidRDefault="00620061" w:rsidP="00620061">
      <w:pPr>
        <w:pStyle w:val="NormalWeb"/>
        <w:numPr>
          <w:ilvl w:val="1"/>
          <w:numId w:val="79"/>
        </w:numPr>
        <w:spacing w:before="0" w:beforeAutospacing="0" w:after="0" w:afterAutospacing="0"/>
        <w:rPr>
          <w:rFonts w:ascii="Arial" w:hAnsi="Arial" w:cs="Arial"/>
          <w:sz w:val="22"/>
          <w:szCs w:val="22"/>
        </w:rPr>
      </w:pPr>
      <w:r w:rsidRPr="00216F75">
        <w:rPr>
          <w:rFonts w:ascii="Arial" w:hAnsi="Arial" w:cs="Arial"/>
          <w:color w:val="000000"/>
          <w:sz w:val="22"/>
          <w:szCs w:val="22"/>
        </w:rPr>
        <w:t>Additional visits were conducted to compensate.</w:t>
      </w:r>
    </w:p>
    <w:p w14:paraId="53DBBD3B" w14:textId="77777777" w:rsidR="00620061" w:rsidRPr="00216F75" w:rsidRDefault="00620061" w:rsidP="00620061">
      <w:pPr>
        <w:pStyle w:val="NormalWeb"/>
        <w:numPr>
          <w:ilvl w:val="1"/>
          <w:numId w:val="79"/>
        </w:numPr>
        <w:spacing w:before="0" w:beforeAutospacing="0" w:after="0" w:afterAutospacing="0"/>
        <w:rPr>
          <w:rFonts w:ascii="Arial" w:hAnsi="Arial" w:cs="Arial"/>
          <w:sz w:val="22"/>
          <w:szCs w:val="22"/>
        </w:rPr>
      </w:pPr>
      <w:r w:rsidRPr="00216F75">
        <w:rPr>
          <w:rFonts w:ascii="Arial" w:hAnsi="Arial" w:cs="Arial"/>
          <w:color w:val="000000"/>
          <w:sz w:val="22"/>
          <w:szCs w:val="22"/>
        </w:rPr>
        <w:t xml:space="preserve">All data collection must </w:t>
      </w:r>
      <w:proofErr w:type="gramStart"/>
      <w:r w:rsidRPr="00216F75">
        <w:rPr>
          <w:rFonts w:ascii="Arial" w:hAnsi="Arial" w:cs="Arial"/>
          <w:color w:val="000000"/>
          <w:sz w:val="22"/>
          <w:szCs w:val="22"/>
        </w:rPr>
        <w:t>occur</w:t>
      </w:r>
      <w:proofErr w:type="gramEnd"/>
      <w:r w:rsidRPr="00216F75">
        <w:rPr>
          <w:rFonts w:ascii="Arial" w:hAnsi="Arial" w:cs="Arial"/>
          <w:color w:val="000000"/>
          <w:sz w:val="22"/>
          <w:szCs w:val="22"/>
        </w:rPr>
        <w:t xml:space="preserve"> within a two-week period.</w:t>
      </w:r>
    </w:p>
    <w:p w14:paraId="2FF75FD2" w14:textId="77777777" w:rsidR="00620061" w:rsidRPr="00216F75" w:rsidRDefault="00620061" w:rsidP="00620061">
      <w:pPr>
        <w:rPr>
          <w:rFonts w:cs="Arial"/>
          <w:szCs w:val="22"/>
        </w:rPr>
      </w:pPr>
    </w:p>
    <w:p w14:paraId="4023B788" w14:textId="77777777" w:rsidR="00620061" w:rsidRPr="00216F75" w:rsidRDefault="00620061" w:rsidP="00620061">
      <w:pPr>
        <w:pStyle w:val="NormalWeb"/>
        <w:spacing w:before="0" w:beforeAutospacing="0" w:after="0" w:afterAutospacing="0"/>
        <w:rPr>
          <w:rFonts w:ascii="Arial" w:hAnsi="Arial" w:cs="Arial"/>
          <w:sz w:val="22"/>
          <w:szCs w:val="22"/>
        </w:rPr>
      </w:pPr>
      <w:r w:rsidRPr="00216F75">
        <w:rPr>
          <w:rFonts w:ascii="Arial" w:hAnsi="Arial" w:cs="Arial"/>
          <w:b/>
          <w:bCs/>
          <w:color w:val="000000"/>
          <w:sz w:val="22"/>
          <w:szCs w:val="22"/>
        </w:rPr>
        <w:t>CTEC KPT considerations</w:t>
      </w:r>
    </w:p>
    <w:p w14:paraId="3544B7BF" w14:textId="77777777" w:rsidR="00620061" w:rsidRPr="00216F75" w:rsidRDefault="00620061" w:rsidP="00620061">
      <w:pPr>
        <w:pStyle w:val="NormalWeb"/>
        <w:spacing w:before="0" w:beforeAutospacing="0" w:after="0" w:afterAutospacing="0"/>
        <w:rPr>
          <w:rFonts w:ascii="Arial" w:hAnsi="Arial" w:cs="Arial"/>
          <w:color w:val="000000"/>
          <w:sz w:val="22"/>
          <w:szCs w:val="22"/>
        </w:rPr>
      </w:pPr>
      <w:r w:rsidRPr="00216F75">
        <w:rPr>
          <w:rFonts w:ascii="Arial" w:hAnsi="Arial" w:cs="Arial"/>
          <w:color w:val="000000"/>
          <w:sz w:val="22"/>
          <w:szCs w:val="22"/>
        </w:rPr>
        <w:t xml:space="preserve">The CTEC KPT approach for determining energy consumption in the project scenario requires quantifying the energy consumption of all technologies used in the project scenario based on a </w:t>
      </w:r>
      <w:r w:rsidRPr="00216F75">
        <w:rPr>
          <w:rFonts w:ascii="Arial" w:hAnsi="Arial" w:cs="Arial"/>
          <w:color w:val="000000"/>
          <w:sz w:val="22"/>
          <w:szCs w:val="22"/>
        </w:rPr>
        <w:lastRenderedPageBreak/>
        <w:t xml:space="preserve">project </w:t>
      </w:r>
      <w:proofErr w:type="gramStart"/>
      <w:r w:rsidRPr="00216F75">
        <w:rPr>
          <w:rFonts w:ascii="Arial" w:hAnsi="Arial" w:cs="Arial"/>
          <w:color w:val="000000"/>
          <w:sz w:val="22"/>
          <w:szCs w:val="22"/>
        </w:rPr>
        <w:t>KPT</w:t>
      </w:r>
      <w:proofErr w:type="gramEnd"/>
      <w:r w:rsidRPr="00216F75">
        <w:rPr>
          <w:rFonts w:ascii="Arial" w:hAnsi="Arial" w:cs="Arial"/>
          <w:color w:val="000000"/>
          <w:sz w:val="22"/>
          <w:szCs w:val="22"/>
        </w:rPr>
        <w:t>. The project must use metered energy consumption data for the project technology/fuel specific to the KPT period where available. </w:t>
      </w:r>
    </w:p>
    <w:p w14:paraId="2849DDF9" w14:textId="77777777" w:rsidR="00620061" w:rsidRPr="00216F75" w:rsidRDefault="00620061" w:rsidP="00620061">
      <w:pPr>
        <w:pStyle w:val="NormalWeb"/>
        <w:spacing w:before="0" w:beforeAutospacing="0" w:after="0" w:afterAutospacing="0"/>
        <w:rPr>
          <w:rFonts w:ascii="Arial" w:hAnsi="Arial" w:cs="Arial"/>
          <w:sz w:val="22"/>
          <w:szCs w:val="22"/>
        </w:rPr>
      </w:pPr>
    </w:p>
    <w:p w14:paraId="34D56D27" w14:textId="77777777" w:rsidR="00620061" w:rsidRPr="00216F75" w:rsidRDefault="00620061" w:rsidP="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Where metered energy consumption is not available specific to the KPT period, the traditional fuel-weighing KPT approach must be used. Fuel-</w:t>
      </w:r>
      <w:proofErr w:type="gramStart"/>
      <w:r w:rsidRPr="00216F75">
        <w:rPr>
          <w:rFonts w:ascii="Arial" w:hAnsi="Arial" w:cs="Arial"/>
          <w:color w:val="000000"/>
          <w:sz w:val="22"/>
          <w:szCs w:val="22"/>
        </w:rPr>
        <w:t>weighing</w:t>
      </w:r>
      <w:proofErr w:type="gramEnd"/>
      <w:r w:rsidRPr="00216F75">
        <w:rPr>
          <w:rFonts w:ascii="Arial" w:hAnsi="Arial" w:cs="Arial"/>
          <w:color w:val="000000"/>
          <w:sz w:val="22"/>
          <w:szCs w:val="22"/>
        </w:rPr>
        <w:t xml:space="preserve"> must always be used for fuel consumption based on sales tracking data.</w:t>
      </w:r>
      <w:r w:rsidRPr="00216F75" w:rsidDel="00981AB0">
        <w:rPr>
          <w:rFonts w:ascii="Arial" w:hAnsi="Arial" w:cs="Arial"/>
          <w:sz w:val="22"/>
          <w:szCs w:val="22"/>
        </w:rPr>
        <w:t xml:space="preserve"> </w:t>
      </w:r>
    </w:p>
    <w:p w14:paraId="7AC946E2" w14:textId="77777777" w:rsidR="00620061" w:rsidRPr="00216F75" w:rsidRDefault="00620061" w:rsidP="00620061">
      <w:pPr>
        <w:rPr>
          <w:rFonts w:cs="Arial"/>
          <w:szCs w:val="22"/>
        </w:rPr>
      </w:pPr>
    </w:p>
    <w:p w14:paraId="16B14484" w14:textId="77777777" w:rsidR="00620061" w:rsidRPr="00216F75" w:rsidRDefault="00620061" w:rsidP="00620061">
      <w:pPr>
        <w:rPr>
          <w:rFonts w:cs="Arial"/>
          <w:szCs w:val="22"/>
        </w:rPr>
      </w:pPr>
    </w:p>
    <w:p w14:paraId="299E2B89" w14:textId="77777777" w:rsidR="00620061" w:rsidRPr="00216F75" w:rsidRDefault="00620061" w:rsidP="00620061">
      <w:pPr>
        <w:rPr>
          <w:rFonts w:cs="Arial"/>
          <w:color w:val="000000"/>
          <w:szCs w:val="22"/>
        </w:rPr>
      </w:pPr>
      <w:r w:rsidRPr="00216F75">
        <w:rPr>
          <w:rFonts w:cs="Arial"/>
          <w:color w:val="000000"/>
          <w:szCs w:val="22"/>
        </w:rPr>
        <w:br w:type="page"/>
      </w:r>
    </w:p>
    <w:p w14:paraId="52A8AEA8" w14:textId="0DCA0543" w:rsidR="00055C06" w:rsidRDefault="00055C06" w:rsidP="00055C06">
      <w:pPr>
        <w:pStyle w:val="SDMAppTitle"/>
      </w:pPr>
      <w:bookmarkStart w:id="106" w:name="A8"/>
      <w:bookmarkStart w:id="107" w:name="_Toc193924651"/>
      <w:r w:rsidRPr="00055C06">
        <w:lastRenderedPageBreak/>
        <w:t>Requirem</w:t>
      </w:r>
      <w:bookmarkEnd w:id="106"/>
      <w:r w:rsidRPr="00055C06">
        <w:t>ents and Best Practices for Controlled Cooking Tests (CCTs)</w:t>
      </w:r>
    </w:p>
    <w:bookmarkEnd w:id="107"/>
    <w:p w14:paraId="6ED07DED" w14:textId="77777777" w:rsidR="00620061" w:rsidRPr="00216F75" w:rsidRDefault="00620061" w:rsidP="00620061">
      <w:pPr>
        <w:spacing w:before="200"/>
        <w:outlineLvl w:val="1"/>
        <w:rPr>
          <w:rFonts w:cs="Arial"/>
          <w:b/>
          <w:bCs/>
          <w:szCs w:val="22"/>
        </w:rPr>
      </w:pPr>
      <w:r w:rsidRPr="00216F75">
        <w:rPr>
          <w:rFonts w:cs="Arial"/>
          <w:b/>
          <w:bCs/>
          <w:color w:val="000000"/>
          <w:szCs w:val="22"/>
        </w:rPr>
        <w:t>Overview</w:t>
      </w:r>
    </w:p>
    <w:p w14:paraId="4F7BCE34" w14:textId="77777777" w:rsidR="00620061" w:rsidRPr="00216F75" w:rsidRDefault="00620061" w:rsidP="00620061">
      <w:pPr>
        <w:rPr>
          <w:rFonts w:cs="Arial"/>
          <w:szCs w:val="22"/>
        </w:rPr>
      </w:pPr>
      <w:r w:rsidRPr="00216F75">
        <w:rPr>
          <w:rFonts w:cs="Arial"/>
          <w:color w:val="000000"/>
          <w:szCs w:val="22"/>
        </w:rPr>
        <w:t>The CCT is a field test used to measure cookstove performance in a controlled setting using local fuels, pots, and cooking practices, with local cooks preparing a pre-determined local meal, which may include multiple dishes. This standard meal is defined as all the prepared foods that are commonly eaten together by a household at the time of day when that household consumes their largest amount of food.</w:t>
      </w:r>
    </w:p>
    <w:p w14:paraId="5BA28A50" w14:textId="77777777" w:rsidR="00620061" w:rsidRPr="00216F75" w:rsidRDefault="00620061" w:rsidP="00620061">
      <w:pPr>
        <w:rPr>
          <w:rFonts w:cs="Arial"/>
          <w:szCs w:val="22"/>
        </w:rPr>
      </w:pPr>
    </w:p>
    <w:p w14:paraId="05A10EB6" w14:textId="77777777" w:rsidR="00620061" w:rsidRPr="00216F75" w:rsidRDefault="00620061" w:rsidP="00620061">
      <w:pPr>
        <w:rPr>
          <w:rFonts w:cs="Arial"/>
          <w:szCs w:val="22"/>
        </w:rPr>
      </w:pPr>
      <w:r w:rsidRPr="00216F75">
        <w:rPr>
          <w:rFonts w:cs="Arial"/>
          <w:color w:val="000000"/>
          <w:szCs w:val="22"/>
        </w:rPr>
        <w:t>Within the CLEAR methodology, the CCT is used to assess the specific energy consumption of both baseline and project cookstoves, the ratio of which is used to back-calculate displaced baseline energy consumption in CTEC projects. </w:t>
      </w:r>
    </w:p>
    <w:p w14:paraId="0EBE01F6" w14:textId="77777777" w:rsidR="00620061" w:rsidRPr="00216F75" w:rsidRDefault="00620061" w:rsidP="00620061">
      <w:pPr>
        <w:rPr>
          <w:rFonts w:cs="Arial"/>
          <w:szCs w:val="22"/>
        </w:rPr>
      </w:pPr>
    </w:p>
    <w:p w14:paraId="2A5DE36E" w14:textId="77777777" w:rsidR="00620061" w:rsidRPr="00216F75" w:rsidRDefault="00620061" w:rsidP="00620061">
      <w:pPr>
        <w:spacing w:after="200"/>
        <w:rPr>
          <w:rFonts w:cs="Arial"/>
          <w:szCs w:val="22"/>
        </w:rPr>
      </w:pPr>
      <w:r w:rsidRPr="00216F75">
        <w:rPr>
          <w:rFonts w:cs="Arial"/>
          <w:color w:val="000000"/>
          <w:szCs w:val="22"/>
        </w:rPr>
        <w:t xml:space="preserve">This document provides context for how the CCT protocol should be applied in the context of the CLEAR methodology. It refers to the latest version of the CCT protocol available on the CCA website at </w:t>
      </w:r>
      <w:hyperlink r:id="rId86" w:history="1">
        <w:r w:rsidRPr="00216F75">
          <w:rPr>
            <w:rFonts w:cs="Arial"/>
            <w:color w:val="1155CC"/>
            <w:szCs w:val="22"/>
            <w:u w:val="single"/>
          </w:rPr>
          <w:t>https://cleancooking.org/protocols</w:t>
        </w:r>
      </w:hyperlink>
      <w:r w:rsidRPr="00216F75">
        <w:rPr>
          <w:rFonts w:cs="Arial"/>
          <w:color w:val="000000"/>
          <w:szCs w:val="22"/>
        </w:rPr>
        <w:t>. Where guidance provided here conflicts with the directives of the CCT protocol, guidance here should be followed for projects using CLEAR.</w:t>
      </w:r>
    </w:p>
    <w:p w14:paraId="6EEABB1D" w14:textId="77777777" w:rsidR="00620061" w:rsidRPr="00216F75" w:rsidRDefault="00620061" w:rsidP="00620061">
      <w:pPr>
        <w:rPr>
          <w:rFonts w:cs="Arial"/>
          <w:szCs w:val="22"/>
        </w:rPr>
      </w:pPr>
      <w:r w:rsidRPr="00216F75">
        <w:rPr>
          <w:rFonts w:cs="Arial"/>
          <w:b/>
          <w:bCs/>
          <w:color w:val="000000"/>
          <w:szCs w:val="22"/>
        </w:rPr>
        <w:t>Sampling requirements</w:t>
      </w:r>
    </w:p>
    <w:p w14:paraId="3E1944AA" w14:textId="77777777" w:rsidR="00620061" w:rsidRPr="00216F75" w:rsidRDefault="00620061" w:rsidP="00620061">
      <w:pPr>
        <w:spacing w:after="240"/>
        <w:rPr>
          <w:rFonts w:cs="Arial"/>
          <w:szCs w:val="22"/>
        </w:rPr>
      </w:pPr>
      <w:r w:rsidRPr="00216F75">
        <w:rPr>
          <w:rFonts w:cs="Arial"/>
          <w:color w:val="000000"/>
          <w:szCs w:val="22"/>
        </w:rPr>
        <w:t>To ensure robust and representative data collection for the CCT within the CLEAR methodology, the following sampling and testing requirements must be adhered to.</w:t>
      </w:r>
    </w:p>
    <w:p w14:paraId="6A6C14C8" w14:textId="77777777" w:rsidR="00620061" w:rsidRPr="00216F75" w:rsidRDefault="00620061" w:rsidP="00620061">
      <w:pPr>
        <w:pStyle w:val="ListParagraph"/>
        <w:numPr>
          <w:ilvl w:val="0"/>
          <w:numId w:val="64"/>
        </w:numPr>
        <w:jc w:val="left"/>
        <w:textAlignment w:val="baseline"/>
        <w:rPr>
          <w:rFonts w:cs="Arial"/>
          <w:i/>
          <w:iCs/>
          <w:color w:val="000000"/>
          <w:szCs w:val="22"/>
        </w:rPr>
      </w:pPr>
      <w:r w:rsidRPr="00216F75">
        <w:rPr>
          <w:rFonts w:cs="Arial"/>
          <w:b/>
          <w:bCs/>
          <w:i/>
          <w:iCs/>
          <w:color w:val="000000"/>
          <w:szCs w:val="22"/>
        </w:rPr>
        <w:t>Selection and testing of baseline and project cookstoves</w:t>
      </w:r>
    </w:p>
    <w:p w14:paraId="4F66337E" w14:textId="77777777" w:rsidR="00620061" w:rsidRPr="00216F75" w:rsidRDefault="00620061" w:rsidP="00620061">
      <w:pPr>
        <w:pStyle w:val="ListParagraph"/>
        <w:numPr>
          <w:ilvl w:val="0"/>
          <w:numId w:val="65"/>
        </w:numPr>
        <w:jc w:val="left"/>
        <w:textAlignment w:val="baseline"/>
        <w:rPr>
          <w:rFonts w:cs="Arial"/>
          <w:color w:val="000000"/>
          <w:szCs w:val="22"/>
        </w:rPr>
      </w:pPr>
      <w:r w:rsidRPr="00216F75">
        <w:rPr>
          <w:rFonts w:cs="Arial"/>
          <w:color w:val="000000"/>
          <w:szCs w:val="22"/>
        </w:rPr>
        <w:t xml:space="preserve">Baseline technologies must be tested </w:t>
      </w:r>
      <w:proofErr w:type="gramStart"/>
      <w:r w:rsidRPr="00216F75">
        <w:rPr>
          <w:rFonts w:cs="Arial"/>
          <w:color w:val="000000"/>
          <w:szCs w:val="22"/>
        </w:rPr>
        <w:t>in order to</w:t>
      </w:r>
      <w:proofErr w:type="gramEnd"/>
      <w:r w:rsidRPr="00216F75">
        <w:rPr>
          <w:rFonts w:cs="Arial"/>
          <w:color w:val="000000"/>
          <w:szCs w:val="22"/>
        </w:rPr>
        <w:t xml:space="preserve"> be included in baseline fuel consumption displacement. Untested baseline technologies shall not be included in calculating displaced fuel consumption. For example, if project surveys indicate that a baseline technology accounts for 10% of cooking events and the project does NOT conduct a CCT with that baseline technology, then the 10% displacement that would have been attributed to that baseline technology is disregarded and not included in the back calculation, nor is it redistributed to the other cookstove types, resulting in a lower baseline than could otherwise be claimed;</w:t>
      </w:r>
    </w:p>
    <w:p w14:paraId="1ED245C3" w14:textId="77777777" w:rsidR="00620061" w:rsidRPr="00216F75" w:rsidRDefault="00620061" w:rsidP="00620061">
      <w:pPr>
        <w:pStyle w:val="ListParagraph"/>
        <w:numPr>
          <w:ilvl w:val="0"/>
          <w:numId w:val="65"/>
        </w:numPr>
        <w:jc w:val="left"/>
        <w:textAlignment w:val="baseline"/>
        <w:rPr>
          <w:rFonts w:cs="Arial"/>
          <w:color w:val="000000"/>
          <w:szCs w:val="22"/>
        </w:rPr>
      </w:pPr>
      <w:r w:rsidRPr="00216F75">
        <w:rPr>
          <w:rFonts w:cs="Arial"/>
          <w:color w:val="000000"/>
          <w:szCs w:val="22"/>
        </w:rPr>
        <w:t>The most common example of a given type of baseline cookstove should be selected (see section on cookstove types below). For example, if there are multiple simple open-fire cookstove types (e.g., three-stone fire or U-shaped mud cookstove), the most common, representative example should be chosen for each cookstove type. This selection should be made as part of the process with project area cooks to determine the standard meal, per the CCT protocol</w:t>
      </w:r>
      <w:r w:rsidRPr="00216F75">
        <w:rPr>
          <w:rStyle w:val="FootnoteReference"/>
          <w:rFonts w:cs="Arial"/>
          <w:color w:val="000000"/>
          <w:szCs w:val="22"/>
        </w:rPr>
        <w:footnoteReference w:id="18"/>
      </w:r>
      <w:r w:rsidRPr="00216F75">
        <w:rPr>
          <w:rFonts w:cs="Arial"/>
          <w:color w:val="000000"/>
          <w:szCs w:val="22"/>
        </w:rPr>
        <w:t>;</w:t>
      </w:r>
    </w:p>
    <w:p w14:paraId="03CB0D48" w14:textId="77777777" w:rsidR="00620061" w:rsidRPr="00216F75" w:rsidRDefault="00620061" w:rsidP="00620061">
      <w:pPr>
        <w:pStyle w:val="ListParagraph"/>
        <w:numPr>
          <w:ilvl w:val="0"/>
          <w:numId w:val="65"/>
        </w:numPr>
        <w:jc w:val="left"/>
        <w:textAlignment w:val="baseline"/>
        <w:rPr>
          <w:rFonts w:cs="Arial"/>
          <w:color w:val="000000"/>
          <w:szCs w:val="22"/>
        </w:rPr>
      </w:pPr>
      <w:r w:rsidRPr="00216F75">
        <w:rPr>
          <w:rFonts w:cs="Arial"/>
          <w:color w:val="000000"/>
          <w:szCs w:val="22"/>
        </w:rPr>
        <w:t xml:space="preserve">At least three samples of each baseline cookstove type must be tested to account for inter-stove type </w:t>
      </w:r>
      <w:proofErr w:type="gramStart"/>
      <w:r w:rsidRPr="00216F75">
        <w:rPr>
          <w:rFonts w:cs="Arial"/>
          <w:color w:val="000000"/>
          <w:szCs w:val="22"/>
        </w:rPr>
        <w:t>variability;</w:t>
      </w:r>
      <w:proofErr w:type="gramEnd"/>
    </w:p>
    <w:p w14:paraId="1FC9228E" w14:textId="77777777" w:rsidR="00620061" w:rsidRPr="00E3192D" w:rsidRDefault="00620061" w:rsidP="00620061">
      <w:pPr>
        <w:pStyle w:val="ListParagraph"/>
        <w:numPr>
          <w:ilvl w:val="0"/>
          <w:numId w:val="65"/>
        </w:numPr>
        <w:jc w:val="left"/>
        <w:textAlignment w:val="baseline"/>
        <w:rPr>
          <w:rFonts w:cs="Arial"/>
          <w:color w:val="000000"/>
          <w:szCs w:val="22"/>
        </w:rPr>
      </w:pPr>
      <w:r w:rsidRPr="00E3192D">
        <w:rPr>
          <w:rFonts w:cs="Arial"/>
          <w:color w:val="000000"/>
          <w:szCs w:val="22"/>
        </w:rPr>
        <w:t>Each cook must prepare at least three meals per baseline cookstove type (at least one on each baseline cookstove type sample) to capture variability in performance.</w:t>
      </w:r>
    </w:p>
    <w:p w14:paraId="023F5930" w14:textId="77777777" w:rsidR="00620061" w:rsidRPr="00E3192D" w:rsidRDefault="00620061" w:rsidP="00620061">
      <w:pPr>
        <w:pStyle w:val="ListParagraph"/>
        <w:numPr>
          <w:ilvl w:val="0"/>
          <w:numId w:val="65"/>
        </w:numPr>
        <w:jc w:val="left"/>
        <w:textAlignment w:val="baseline"/>
        <w:rPr>
          <w:rFonts w:cs="Arial"/>
          <w:color w:val="000000"/>
          <w:szCs w:val="22"/>
        </w:rPr>
      </w:pPr>
      <w:r w:rsidRPr="00E3192D">
        <w:rPr>
          <w:rFonts w:cs="Arial"/>
          <w:color w:val="000000"/>
          <w:szCs w:val="22"/>
        </w:rPr>
        <w:t>All project technologies must be tested.</w:t>
      </w:r>
    </w:p>
    <w:p w14:paraId="534D315F" w14:textId="77777777" w:rsidR="00620061" w:rsidRPr="00E3192D" w:rsidRDefault="00620061" w:rsidP="00620061">
      <w:pPr>
        <w:pStyle w:val="ListParagraph"/>
        <w:numPr>
          <w:ilvl w:val="0"/>
          <w:numId w:val="65"/>
        </w:numPr>
        <w:jc w:val="left"/>
        <w:textAlignment w:val="baseline"/>
        <w:rPr>
          <w:rFonts w:cs="Arial"/>
          <w:color w:val="000000"/>
          <w:szCs w:val="22"/>
        </w:rPr>
      </w:pPr>
      <w:r w:rsidRPr="00E3192D">
        <w:rPr>
          <w:rFonts w:cs="Arial"/>
          <w:color w:val="000000"/>
          <w:szCs w:val="22"/>
        </w:rPr>
        <w:t>When CCTs are conducted as part of ongoing project monitoring, including to account for any degradation over time, then at least three cookstoves per vintage randomly sampled from project households, should be tested (households should receive a new replacement cookstove).</w:t>
      </w:r>
    </w:p>
    <w:p w14:paraId="536BE66D" w14:textId="77777777" w:rsidR="00620061" w:rsidRPr="00E3192D" w:rsidRDefault="00620061" w:rsidP="00620061">
      <w:pPr>
        <w:pStyle w:val="ListParagraph"/>
        <w:textAlignment w:val="baseline"/>
        <w:rPr>
          <w:rFonts w:cs="Arial"/>
          <w:color w:val="000000"/>
          <w:szCs w:val="22"/>
        </w:rPr>
      </w:pPr>
    </w:p>
    <w:p w14:paraId="6D73B711" w14:textId="77777777" w:rsidR="00620061" w:rsidRPr="00216F75" w:rsidRDefault="00620061" w:rsidP="00620061">
      <w:pPr>
        <w:pStyle w:val="ListParagraph"/>
        <w:numPr>
          <w:ilvl w:val="0"/>
          <w:numId w:val="64"/>
        </w:numPr>
        <w:spacing w:before="240"/>
        <w:jc w:val="left"/>
        <w:textAlignment w:val="baseline"/>
        <w:rPr>
          <w:rFonts w:cs="Arial"/>
          <w:i/>
          <w:color w:val="000000"/>
          <w:szCs w:val="22"/>
        </w:rPr>
      </w:pPr>
      <w:r w:rsidRPr="00E3192D">
        <w:rPr>
          <w:rFonts w:cs="Arial"/>
          <w:b/>
          <w:bCs/>
          <w:i/>
          <w:iCs/>
          <w:color w:val="000000"/>
          <w:szCs w:val="22"/>
        </w:rPr>
        <w:t>Selection</w:t>
      </w:r>
      <w:r w:rsidRPr="00216F75">
        <w:rPr>
          <w:rFonts w:cs="Arial"/>
          <w:b/>
          <w:bCs/>
          <w:i/>
          <w:iCs/>
          <w:color w:val="000000"/>
          <w:szCs w:val="22"/>
          <w:lang w:val="es-ES"/>
        </w:rPr>
        <w:t xml:space="preserve"> </w:t>
      </w:r>
      <w:proofErr w:type="spellStart"/>
      <w:r w:rsidRPr="00216F75">
        <w:rPr>
          <w:rFonts w:cs="Arial"/>
          <w:b/>
          <w:bCs/>
          <w:i/>
          <w:iCs/>
          <w:color w:val="000000"/>
          <w:szCs w:val="22"/>
          <w:lang w:val="es-ES"/>
        </w:rPr>
        <w:t>of</w:t>
      </w:r>
      <w:proofErr w:type="spellEnd"/>
      <w:r w:rsidRPr="00216F75">
        <w:rPr>
          <w:rFonts w:cs="Arial"/>
          <w:b/>
          <w:bCs/>
          <w:i/>
          <w:iCs/>
          <w:color w:val="000000"/>
          <w:szCs w:val="22"/>
          <w:lang w:val="es-ES"/>
        </w:rPr>
        <w:t xml:space="preserve"> </w:t>
      </w:r>
      <w:proofErr w:type="spellStart"/>
      <w:r w:rsidRPr="00216F75">
        <w:rPr>
          <w:rFonts w:cs="Arial"/>
          <w:b/>
          <w:bCs/>
          <w:i/>
          <w:iCs/>
          <w:color w:val="000000"/>
          <w:szCs w:val="22"/>
          <w:lang w:val="es-ES"/>
        </w:rPr>
        <w:t>cooks</w:t>
      </w:r>
      <w:proofErr w:type="spellEnd"/>
    </w:p>
    <w:p w14:paraId="0B42EE5B" w14:textId="77777777" w:rsidR="00620061" w:rsidRPr="00216F75" w:rsidRDefault="00620061" w:rsidP="00620061">
      <w:pPr>
        <w:pStyle w:val="NormalWeb"/>
        <w:numPr>
          <w:ilvl w:val="0"/>
          <w:numId w:val="66"/>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lastRenderedPageBreak/>
        <w:t>At least three local cooks, who are unfamiliar with each other and reside in different locations within the project area, shall be recruited for testing;</w:t>
      </w:r>
    </w:p>
    <w:p w14:paraId="21BED12F" w14:textId="77777777" w:rsidR="00620061" w:rsidRPr="00216F75" w:rsidRDefault="00620061" w:rsidP="00620061">
      <w:pPr>
        <w:pStyle w:val="NormalWeb"/>
        <w:numPr>
          <w:ilvl w:val="0"/>
          <w:numId w:val="66"/>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 xml:space="preserve">Cooks recruited for testing must not be affiliated with the project beyond their participation in the CCTs. Ideally, they would not be project participants, but if they </w:t>
      </w:r>
      <w:proofErr w:type="gramStart"/>
      <w:r w:rsidRPr="00216F75">
        <w:rPr>
          <w:rFonts w:ascii="Arial" w:hAnsi="Arial" w:cs="Arial"/>
          <w:color w:val="000000"/>
          <w:sz w:val="22"/>
          <w:szCs w:val="22"/>
        </w:rPr>
        <w:t>are</w:t>
      </w:r>
      <w:proofErr w:type="gramEnd"/>
      <w:r w:rsidRPr="00216F75">
        <w:rPr>
          <w:rFonts w:ascii="Arial" w:hAnsi="Arial" w:cs="Arial"/>
          <w:color w:val="000000"/>
          <w:sz w:val="22"/>
          <w:szCs w:val="22"/>
        </w:rPr>
        <w:t xml:space="preserve"> they must not receive any special treatment beyond what is required for the CCT. All cooks may be compensated for their time and travel for the CCT testing;</w:t>
      </w:r>
    </w:p>
    <w:p w14:paraId="306BAD6D" w14:textId="77777777" w:rsidR="00620061" w:rsidRPr="00216F75" w:rsidRDefault="00620061" w:rsidP="00620061">
      <w:pPr>
        <w:pStyle w:val="NormalWeb"/>
        <w:numPr>
          <w:ilvl w:val="0"/>
          <w:numId w:val="66"/>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 xml:space="preserve">The cooks should be familiar with and comfortable cooking on </w:t>
      </w:r>
      <w:proofErr w:type="gramStart"/>
      <w:r w:rsidRPr="00216F75">
        <w:rPr>
          <w:rFonts w:ascii="Arial" w:hAnsi="Arial" w:cs="Arial"/>
          <w:color w:val="000000"/>
          <w:sz w:val="22"/>
          <w:szCs w:val="22"/>
        </w:rPr>
        <w:t>all of</w:t>
      </w:r>
      <w:proofErr w:type="gramEnd"/>
      <w:r w:rsidRPr="00216F75">
        <w:rPr>
          <w:rFonts w:ascii="Arial" w:hAnsi="Arial" w:cs="Arial"/>
          <w:color w:val="000000"/>
          <w:sz w:val="22"/>
          <w:szCs w:val="22"/>
        </w:rPr>
        <w:t xml:space="preserve"> the baseline cookstove phenotypes;</w:t>
      </w:r>
    </w:p>
    <w:p w14:paraId="2DE8EEAA" w14:textId="77777777" w:rsidR="00620061" w:rsidRPr="00216F75" w:rsidRDefault="00620061" w:rsidP="00620061">
      <w:pPr>
        <w:pStyle w:val="NormalWeb"/>
        <w:numPr>
          <w:ilvl w:val="0"/>
          <w:numId w:val="66"/>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If any of the cooks do not yet have the project cookstove, they should be given one to use at their household for a minimum of two weeks before starting the CCT.  They should be given the same training and support (and no extra) that regular project participants receive; and</w:t>
      </w:r>
    </w:p>
    <w:p w14:paraId="5C18AED9" w14:textId="77777777" w:rsidR="00620061" w:rsidRPr="00216F75" w:rsidRDefault="00620061" w:rsidP="00620061">
      <w:pPr>
        <w:pStyle w:val="NormalWeb"/>
        <w:numPr>
          <w:ilvl w:val="0"/>
          <w:numId w:val="66"/>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 xml:space="preserve">Ideally, the same cooks should be used for the initial CCTs conducted during the validation phase and for subsequent project monitoring periods. If not possible, </w:t>
      </w:r>
      <w:proofErr w:type="gramStart"/>
      <w:r w:rsidRPr="00216F75">
        <w:rPr>
          <w:rFonts w:ascii="Arial" w:hAnsi="Arial" w:cs="Arial"/>
          <w:color w:val="000000"/>
          <w:sz w:val="22"/>
          <w:szCs w:val="22"/>
        </w:rPr>
        <w:t>alternate</w:t>
      </w:r>
      <w:proofErr w:type="gramEnd"/>
      <w:r w:rsidRPr="00216F75">
        <w:rPr>
          <w:rFonts w:ascii="Arial" w:hAnsi="Arial" w:cs="Arial"/>
          <w:color w:val="000000"/>
          <w:sz w:val="22"/>
          <w:szCs w:val="22"/>
        </w:rPr>
        <w:t xml:space="preserve"> cooks may be selected using the same criteria as above. </w:t>
      </w:r>
    </w:p>
    <w:p w14:paraId="39F8926D" w14:textId="77777777" w:rsidR="00620061" w:rsidRPr="00216F75" w:rsidRDefault="00620061" w:rsidP="00620061">
      <w:pPr>
        <w:pStyle w:val="Heading3"/>
        <w:spacing w:before="0"/>
        <w:ind w:left="0" w:firstLine="0"/>
        <w:rPr>
          <w:rFonts w:ascii="Arial" w:hAnsi="Arial" w:cs="Arial"/>
          <w:color w:val="000000"/>
          <w:sz w:val="22"/>
          <w:szCs w:val="22"/>
        </w:rPr>
      </w:pPr>
    </w:p>
    <w:p w14:paraId="1016200A" w14:textId="77777777" w:rsidR="00620061" w:rsidRPr="00216F75" w:rsidRDefault="00620061" w:rsidP="00620061">
      <w:pPr>
        <w:rPr>
          <w:rFonts w:cs="Arial"/>
          <w:b/>
          <w:bCs/>
          <w:szCs w:val="22"/>
        </w:rPr>
      </w:pPr>
      <w:r w:rsidRPr="00216F75">
        <w:rPr>
          <w:rFonts w:cs="Arial"/>
          <w:b/>
          <w:bCs/>
          <w:szCs w:val="22"/>
        </w:rPr>
        <w:t>Testing matrix and precision guidelines</w:t>
      </w:r>
    </w:p>
    <w:p w14:paraId="3BD7DB34" w14:textId="77777777" w:rsidR="00620061" w:rsidRPr="00216F75" w:rsidRDefault="00620061" w:rsidP="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The figure below represents the minimum required testing configuration for a CCT given the set of cookstoves listed above. Each of the three cooks should conduct an equal number of tests across all cookstove types. The cookstove types included in the example below are:</w:t>
      </w:r>
    </w:p>
    <w:p w14:paraId="63011CE0" w14:textId="77777777" w:rsidR="00620061" w:rsidRPr="00216F75" w:rsidRDefault="00620061" w:rsidP="00620061">
      <w:pPr>
        <w:pStyle w:val="NormalWeb"/>
        <w:numPr>
          <w:ilvl w:val="0"/>
          <w:numId w:val="67"/>
        </w:numPr>
        <w:spacing w:before="24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CTEC cookstove (e.g., electric, LPG, ethanol, or biogas cookstove);</w:t>
      </w:r>
    </w:p>
    <w:p w14:paraId="3CBDA60D" w14:textId="77777777" w:rsidR="00620061" w:rsidRPr="00216F75" w:rsidRDefault="00620061" w:rsidP="00620061">
      <w:pPr>
        <w:pStyle w:val="NormalWeb"/>
        <w:numPr>
          <w:ilvl w:val="0"/>
          <w:numId w:val="67"/>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LPG cookstove (baseline);</w:t>
      </w:r>
    </w:p>
    <w:p w14:paraId="5298110C" w14:textId="77777777" w:rsidR="00620061" w:rsidRPr="00216F75" w:rsidRDefault="00620061" w:rsidP="00620061">
      <w:pPr>
        <w:pStyle w:val="NormalWeb"/>
        <w:numPr>
          <w:ilvl w:val="0"/>
          <w:numId w:val="67"/>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Charcoal cookstove (baseline); and</w:t>
      </w:r>
    </w:p>
    <w:p w14:paraId="2ED2C869" w14:textId="77777777" w:rsidR="00620061" w:rsidRPr="00216F75" w:rsidRDefault="00620061" w:rsidP="00620061">
      <w:pPr>
        <w:pStyle w:val="NormalWeb"/>
        <w:numPr>
          <w:ilvl w:val="0"/>
          <w:numId w:val="67"/>
        </w:numPr>
        <w:spacing w:before="0" w:beforeAutospacing="0" w:after="240" w:afterAutospacing="0"/>
        <w:textAlignment w:val="baseline"/>
        <w:rPr>
          <w:rFonts w:ascii="Arial" w:hAnsi="Arial" w:cs="Arial"/>
          <w:color w:val="000000"/>
          <w:sz w:val="22"/>
          <w:szCs w:val="22"/>
        </w:rPr>
      </w:pPr>
      <w:r w:rsidRPr="00216F75">
        <w:rPr>
          <w:rFonts w:ascii="Arial" w:hAnsi="Arial" w:cs="Arial"/>
          <w:color w:val="000000"/>
          <w:sz w:val="22"/>
          <w:szCs w:val="22"/>
        </w:rPr>
        <w:t>Simple wood cookstove (baseline, e.g., three-stone fire or mud cookstove).</w:t>
      </w:r>
    </w:p>
    <w:p w14:paraId="675F2FD2" w14:textId="77777777" w:rsidR="00620061" w:rsidRPr="00216F75" w:rsidRDefault="00620061" w:rsidP="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To minimize bias, cookstove models should be rotated systematically so that no cook follows the same sequence repeatedly. </w:t>
      </w:r>
    </w:p>
    <w:p w14:paraId="49BA76A9" w14:textId="77777777" w:rsidR="00620061" w:rsidRPr="00216F75" w:rsidRDefault="00620061" w:rsidP="00620061">
      <w:pPr>
        <w:pStyle w:val="NormalWeb"/>
        <w:spacing w:before="240" w:beforeAutospacing="0" w:after="240" w:afterAutospacing="0"/>
        <w:rPr>
          <w:rFonts w:ascii="Arial" w:hAnsi="Arial" w:cs="Arial"/>
          <w:color w:val="000000"/>
          <w:sz w:val="22"/>
          <w:szCs w:val="22"/>
        </w:rPr>
      </w:pPr>
      <w:r w:rsidRPr="00216F75">
        <w:rPr>
          <w:rFonts w:ascii="Arial" w:hAnsi="Arial" w:cs="Arial"/>
          <w:color w:val="000000"/>
          <w:sz w:val="22"/>
          <w:szCs w:val="22"/>
        </w:rPr>
        <w:t>As shown in the Figure below, each set of three tests is conducted simultaneously, with Cook 1, Cook 2, and Cook 3 testing different cookstoves at the same time. The cookstove type order changes for each test block to ensure that no cook consistently follows the same cookstove sequence.</w:t>
      </w:r>
    </w:p>
    <w:p w14:paraId="11671667" w14:textId="77777777" w:rsidR="00620061" w:rsidRPr="00216F75" w:rsidRDefault="00620061" w:rsidP="00620061">
      <w:pPr>
        <w:pStyle w:val="NormalWeb"/>
        <w:spacing w:before="240" w:beforeAutospacing="0" w:after="240" w:afterAutospacing="0"/>
        <w:rPr>
          <w:rFonts w:ascii="Arial" w:hAnsi="Arial" w:cs="Arial"/>
          <w:color w:val="000000"/>
          <w:sz w:val="22"/>
          <w:szCs w:val="22"/>
          <w:bdr w:val="none" w:sz="0" w:space="0" w:color="auto" w:frame="1"/>
        </w:rPr>
      </w:pPr>
      <w:r w:rsidRPr="00216F75">
        <w:rPr>
          <w:rFonts w:ascii="Arial" w:hAnsi="Arial" w:cs="Arial"/>
          <w:color w:val="000000"/>
          <w:sz w:val="22"/>
          <w:szCs w:val="22"/>
          <w:bdr w:val="none" w:sz="0" w:space="0" w:color="auto" w:frame="1"/>
        </w:rPr>
        <w:lastRenderedPageBreak/>
        <w:fldChar w:fldCharType="begin"/>
      </w:r>
      <w:r w:rsidRPr="00216F75">
        <w:rPr>
          <w:rFonts w:ascii="Arial" w:hAnsi="Arial" w:cs="Arial"/>
          <w:color w:val="000000"/>
          <w:sz w:val="22"/>
          <w:szCs w:val="22"/>
          <w:bdr w:val="none" w:sz="0" w:space="0" w:color="auto" w:frame="1"/>
        </w:rPr>
        <w:instrText xml:space="preserve"> INCLUDEPICTURE "https://lh7-rt.googleusercontent.com/docsz/AD_4nXfEYnaZaUkl3foyBAK4SPfeenIoswKSBpIf-YNRVE_Ik2dpp6A0tEYawcdfYfwcUp7UQlQ8sNmWG7Ao9zeeA1VghUFPRwKzscBwdN1nutNEvwcRLyDmkT7GXXv7-ubBDr3G54KoHw?key=_P_GvLTIcvLTNREE9Y1SjAF4" \* MERGEFORMATINET </w:instrText>
      </w:r>
      <w:r w:rsidRPr="00216F75">
        <w:rPr>
          <w:rFonts w:ascii="Arial" w:hAnsi="Arial" w:cs="Arial"/>
          <w:color w:val="000000"/>
          <w:sz w:val="22"/>
          <w:szCs w:val="22"/>
          <w:bdr w:val="none" w:sz="0" w:space="0" w:color="auto" w:frame="1"/>
        </w:rPr>
        <w:fldChar w:fldCharType="separate"/>
      </w:r>
      <w:r w:rsidRPr="00216F75">
        <w:rPr>
          <w:rFonts w:ascii="Arial" w:hAnsi="Arial" w:cs="Arial"/>
          <w:noProof/>
          <w:color w:val="000000"/>
          <w:sz w:val="22"/>
          <w:szCs w:val="22"/>
          <w:bdr w:val="none" w:sz="0" w:space="0" w:color="auto" w:frame="1"/>
        </w:rPr>
        <w:drawing>
          <wp:inline distT="0" distB="0" distL="0" distR="0" wp14:anchorId="6A28B80F" wp14:editId="372A07EB">
            <wp:extent cx="5850890" cy="5241925"/>
            <wp:effectExtent l="0" t="0" r="3810" b="3175"/>
            <wp:docPr id="1884720765" name="Picture 1" descr="A chart of different colo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720765" name="Picture 1" descr="A chart of different colors&#10;&#10;Description automatically generated with medium confidence"/>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850890" cy="5241925"/>
                    </a:xfrm>
                    <a:prstGeom prst="rect">
                      <a:avLst/>
                    </a:prstGeom>
                    <a:noFill/>
                    <a:ln>
                      <a:noFill/>
                    </a:ln>
                  </pic:spPr>
                </pic:pic>
              </a:graphicData>
            </a:graphic>
          </wp:inline>
        </w:drawing>
      </w:r>
      <w:r w:rsidRPr="00216F75">
        <w:rPr>
          <w:rFonts w:ascii="Arial" w:hAnsi="Arial" w:cs="Arial"/>
          <w:color w:val="000000"/>
          <w:sz w:val="22"/>
          <w:szCs w:val="22"/>
          <w:bdr w:val="none" w:sz="0" w:space="0" w:color="auto" w:frame="1"/>
        </w:rPr>
        <w:fldChar w:fldCharType="end"/>
      </w:r>
    </w:p>
    <w:p w14:paraId="3AD31B33" w14:textId="77777777" w:rsidR="00620061" w:rsidRPr="00216F75" w:rsidRDefault="00620061" w:rsidP="00620061">
      <w:pPr>
        <w:pStyle w:val="NormalWeb"/>
        <w:spacing w:before="240" w:beforeAutospacing="0" w:after="240" w:afterAutospacing="0"/>
        <w:jc w:val="center"/>
        <w:rPr>
          <w:rFonts w:ascii="Arial" w:hAnsi="Arial" w:cs="Arial"/>
          <w:sz w:val="22"/>
          <w:szCs w:val="22"/>
        </w:rPr>
      </w:pPr>
      <w:r w:rsidRPr="00216F75">
        <w:rPr>
          <w:rFonts w:ascii="Arial" w:hAnsi="Arial" w:cs="Arial"/>
          <w:sz w:val="22"/>
          <w:szCs w:val="22"/>
        </w:rPr>
        <w:t>Minimum testing configuration and example schedule for CCT.</w:t>
      </w:r>
    </w:p>
    <w:p w14:paraId="4FC74CB1" w14:textId="77777777" w:rsidR="00620061" w:rsidRPr="00216F75" w:rsidRDefault="00620061" w:rsidP="00620061">
      <w:pPr>
        <w:pStyle w:val="NormalWeb"/>
        <w:spacing w:before="0" w:beforeAutospacing="0" w:after="0" w:afterAutospacing="0"/>
        <w:rPr>
          <w:rFonts w:ascii="Arial" w:hAnsi="Arial" w:cs="Arial"/>
          <w:b/>
          <w:bCs/>
          <w:sz w:val="22"/>
          <w:szCs w:val="22"/>
        </w:rPr>
      </w:pPr>
      <w:r w:rsidRPr="00216F75">
        <w:rPr>
          <w:rFonts w:ascii="Arial" w:hAnsi="Arial" w:cs="Arial"/>
          <w:b/>
          <w:bCs/>
          <w:sz w:val="22"/>
          <w:szCs w:val="22"/>
        </w:rPr>
        <w:t>Measurements and sample integrity</w:t>
      </w:r>
    </w:p>
    <w:p w14:paraId="2BD601FC" w14:textId="77777777" w:rsidR="00620061" w:rsidRPr="00216F75" w:rsidRDefault="00620061" w:rsidP="00620061">
      <w:pPr>
        <w:rPr>
          <w:rFonts w:cs="Arial"/>
          <w:szCs w:val="22"/>
          <w:u w:val="single"/>
        </w:rPr>
      </w:pPr>
      <w:r w:rsidRPr="00216F75">
        <w:rPr>
          <w:rFonts w:cs="Arial"/>
          <w:szCs w:val="22"/>
          <w:u w:val="single"/>
        </w:rPr>
        <w:t>Scale Checks</w:t>
      </w:r>
    </w:p>
    <w:p w14:paraId="4C16F8AA" w14:textId="77777777" w:rsidR="00620061" w:rsidRPr="00216F75" w:rsidRDefault="00620061" w:rsidP="00620061">
      <w:pPr>
        <w:pStyle w:val="NormalWeb"/>
        <w:numPr>
          <w:ilvl w:val="0"/>
          <w:numId w:val="73"/>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Scales must be checked with a certified calibration weight (5–20 kg) daily during the testing campaign;</w:t>
      </w:r>
    </w:p>
    <w:p w14:paraId="284E5C9D" w14:textId="77777777" w:rsidR="00620061" w:rsidRPr="00216F75" w:rsidRDefault="00620061" w:rsidP="00620061">
      <w:pPr>
        <w:pStyle w:val="NormalWeb"/>
        <w:numPr>
          <w:ilvl w:val="0"/>
          <w:numId w:val="68"/>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The scale must be accurate within 1% of the calibration mass; and</w:t>
      </w:r>
    </w:p>
    <w:p w14:paraId="6143B81E" w14:textId="77777777" w:rsidR="00620061" w:rsidRPr="00216F75" w:rsidRDefault="00620061" w:rsidP="00620061">
      <w:pPr>
        <w:pStyle w:val="NormalWeb"/>
        <w:numPr>
          <w:ilvl w:val="0"/>
          <w:numId w:val="68"/>
        </w:numPr>
        <w:spacing w:before="0" w:beforeAutospacing="0" w:after="200" w:afterAutospacing="0"/>
        <w:textAlignment w:val="baseline"/>
        <w:rPr>
          <w:rFonts w:ascii="Arial" w:hAnsi="Arial" w:cs="Arial"/>
          <w:color w:val="000000"/>
          <w:sz w:val="22"/>
          <w:szCs w:val="22"/>
        </w:rPr>
      </w:pPr>
      <w:r w:rsidRPr="00216F75">
        <w:rPr>
          <w:rFonts w:ascii="Arial" w:hAnsi="Arial" w:cs="Arial"/>
          <w:color w:val="000000"/>
          <w:sz w:val="22"/>
          <w:szCs w:val="22"/>
        </w:rPr>
        <w:t>If a scale fails a check, any data collected since the last successful check must be excluded from the analysis.</w:t>
      </w:r>
    </w:p>
    <w:p w14:paraId="7DFB42DE" w14:textId="77777777" w:rsidR="00620061" w:rsidRPr="00216F75" w:rsidRDefault="00620061" w:rsidP="00620061">
      <w:pPr>
        <w:pStyle w:val="NormalWeb"/>
        <w:spacing w:before="0" w:beforeAutospacing="0" w:after="0" w:afterAutospacing="0"/>
        <w:textAlignment w:val="baseline"/>
        <w:rPr>
          <w:rFonts w:ascii="Arial" w:hAnsi="Arial" w:cs="Arial"/>
          <w:color w:val="000000"/>
          <w:sz w:val="22"/>
          <w:szCs w:val="22"/>
        </w:rPr>
      </w:pPr>
      <w:r w:rsidRPr="00216F75">
        <w:rPr>
          <w:rFonts w:ascii="Arial" w:hAnsi="Arial" w:cs="Arial"/>
          <w:b/>
          <w:bCs/>
          <w:sz w:val="22"/>
          <w:szCs w:val="22"/>
        </w:rPr>
        <w:t>Data quality and outlier handling</w:t>
      </w:r>
    </w:p>
    <w:p w14:paraId="2B413509" w14:textId="77777777" w:rsidR="00620061" w:rsidRPr="00216F75" w:rsidRDefault="00620061" w:rsidP="00620061">
      <w:pPr>
        <w:rPr>
          <w:rFonts w:cs="Arial"/>
          <w:szCs w:val="22"/>
          <w:u w:val="single"/>
        </w:rPr>
      </w:pPr>
      <w:r w:rsidRPr="00216F75">
        <w:rPr>
          <w:rFonts w:cs="Arial"/>
          <w:szCs w:val="22"/>
          <w:u w:val="single"/>
        </w:rPr>
        <w:t>Outliers Identification and Exclusion Criteria</w:t>
      </w:r>
    </w:p>
    <w:p w14:paraId="7F9C73CE" w14:textId="77777777" w:rsidR="00620061" w:rsidRPr="00216F75" w:rsidRDefault="00620061" w:rsidP="00620061">
      <w:pPr>
        <w:pStyle w:val="NormalWeb"/>
        <w:spacing w:before="0" w:beforeAutospacing="0" w:after="200" w:afterAutospacing="0"/>
        <w:rPr>
          <w:rFonts w:ascii="Arial" w:hAnsi="Arial" w:cs="Arial"/>
          <w:sz w:val="22"/>
          <w:szCs w:val="22"/>
        </w:rPr>
      </w:pPr>
      <w:r w:rsidRPr="00216F75">
        <w:rPr>
          <w:rFonts w:ascii="Arial" w:hAnsi="Arial" w:cs="Arial"/>
          <w:color w:val="000000"/>
          <w:sz w:val="22"/>
          <w:szCs w:val="22"/>
        </w:rPr>
        <w:t>Outliers shall be defined as data points that fall beyond 1.5 times the interquartile range (IQR) from its endpoints. Outliers may only be excluded if there is a clear, documented reason for their removal. Any excluded data must be retained along with an explanation. Acceptable reasons for exclusion are:</w:t>
      </w:r>
    </w:p>
    <w:p w14:paraId="3013A85D" w14:textId="77777777" w:rsidR="00620061" w:rsidRPr="00216F75" w:rsidRDefault="00620061" w:rsidP="00620061">
      <w:pPr>
        <w:pStyle w:val="NormalWeb"/>
        <w:numPr>
          <w:ilvl w:val="0"/>
          <w:numId w:val="69"/>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Data entry errors;</w:t>
      </w:r>
    </w:p>
    <w:p w14:paraId="7D2EBB71" w14:textId="77777777" w:rsidR="00620061" w:rsidRPr="00216F75" w:rsidRDefault="00620061" w:rsidP="00620061">
      <w:pPr>
        <w:pStyle w:val="NormalWeb"/>
        <w:numPr>
          <w:ilvl w:val="0"/>
          <w:numId w:val="69"/>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Documented unusual events (test was interrupted, weather impacts, etc.); and</w:t>
      </w:r>
    </w:p>
    <w:p w14:paraId="04D9DF15" w14:textId="77777777" w:rsidR="00620061" w:rsidRPr="00216F75" w:rsidRDefault="00620061" w:rsidP="00620061">
      <w:pPr>
        <w:pStyle w:val="NormalWeb"/>
        <w:numPr>
          <w:ilvl w:val="0"/>
          <w:numId w:val="69"/>
        </w:numPr>
        <w:spacing w:before="0" w:beforeAutospacing="0" w:after="200" w:afterAutospacing="0"/>
        <w:textAlignment w:val="baseline"/>
        <w:rPr>
          <w:rFonts w:ascii="Arial" w:hAnsi="Arial" w:cs="Arial"/>
          <w:color w:val="000000"/>
          <w:sz w:val="22"/>
          <w:szCs w:val="22"/>
        </w:rPr>
      </w:pPr>
      <w:r w:rsidRPr="00216F75">
        <w:rPr>
          <w:rFonts w:ascii="Arial" w:hAnsi="Arial" w:cs="Arial"/>
          <w:color w:val="000000"/>
          <w:sz w:val="22"/>
          <w:szCs w:val="22"/>
        </w:rPr>
        <w:t>A cook reports a problem with the specific test.</w:t>
      </w:r>
    </w:p>
    <w:p w14:paraId="354FD403" w14:textId="77777777" w:rsidR="00620061" w:rsidRPr="00216F75" w:rsidRDefault="00620061" w:rsidP="00620061">
      <w:pPr>
        <w:rPr>
          <w:rFonts w:cs="Arial"/>
          <w:szCs w:val="22"/>
        </w:rPr>
      </w:pPr>
      <w:r w:rsidRPr="00216F75">
        <w:rPr>
          <w:rFonts w:cs="Arial"/>
          <w:szCs w:val="22"/>
        </w:rPr>
        <w:t>Minimum Data Requirements</w:t>
      </w:r>
    </w:p>
    <w:p w14:paraId="52855772" w14:textId="77777777" w:rsidR="00620061" w:rsidRPr="00216F75" w:rsidRDefault="00620061" w:rsidP="00620061">
      <w:pPr>
        <w:pStyle w:val="NormalWeb"/>
        <w:numPr>
          <w:ilvl w:val="0"/>
          <w:numId w:val="70"/>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lastRenderedPageBreak/>
        <w:t>There must be equal numbers of successfully completed CCTs for each cook-technology combination; and</w:t>
      </w:r>
    </w:p>
    <w:p w14:paraId="6078A0E1" w14:textId="77777777" w:rsidR="00620061" w:rsidRPr="00216F75" w:rsidRDefault="00620061" w:rsidP="00620061">
      <w:pPr>
        <w:pStyle w:val="NormalWeb"/>
        <w:numPr>
          <w:ilvl w:val="0"/>
          <w:numId w:val="70"/>
        </w:numPr>
        <w:spacing w:before="0" w:beforeAutospacing="0" w:after="200" w:afterAutospacing="0"/>
        <w:textAlignment w:val="baseline"/>
        <w:rPr>
          <w:rFonts w:ascii="Arial" w:hAnsi="Arial" w:cs="Arial"/>
          <w:color w:val="000000"/>
          <w:sz w:val="22"/>
          <w:szCs w:val="22"/>
        </w:rPr>
      </w:pPr>
      <w:r w:rsidRPr="00216F75">
        <w:rPr>
          <w:rFonts w:ascii="Arial" w:hAnsi="Arial" w:cs="Arial"/>
          <w:color w:val="000000"/>
          <w:sz w:val="22"/>
          <w:szCs w:val="22"/>
        </w:rPr>
        <w:t>A minimum of three cooks and three repeated CCTs per cook-technology combination must be completed. </w:t>
      </w:r>
    </w:p>
    <w:p w14:paraId="0EC0CA3B" w14:textId="77777777" w:rsidR="00620061" w:rsidRPr="00216F75" w:rsidRDefault="00620061" w:rsidP="00620061">
      <w:pPr>
        <w:rPr>
          <w:rFonts w:cs="Arial"/>
          <w:b/>
          <w:bCs/>
          <w:szCs w:val="22"/>
        </w:rPr>
      </w:pPr>
      <w:r w:rsidRPr="00216F75">
        <w:rPr>
          <w:rFonts w:cs="Arial"/>
          <w:b/>
          <w:bCs/>
          <w:szCs w:val="22"/>
        </w:rPr>
        <w:t>Classifying baseline cookstove types</w:t>
      </w:r>
    </w:p>
    <w:p w14:paraId="151B01E4" w14:textId="77777777" w:rsidR="00620061" w:rsidRPr="00216F75" w:rsidRDefault="00620061" w:rsidP="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 xml:space="preserve">Baseline cookstoves can be categorized into distinct types based on their physical structure. This classification helps standardize the selection of representative cookstove models for performance testing and emissions reduction calculations. The types described here are common in many regions, but they are not exhaustive. Different contexts, geographies, and cultural cooking practices will influence the specific baseline cookstoves used </w:t>
      </w:r>
      <w:proofErr w:type="gramStart"/>
      <w:r w:rsidRPr="00216F75">
        <w:rPr>
          <w:rFonts w:ascii="Arial" w:hAnsi="Arial" w:cs="Arial"/>
          <w:color w:val="000000"/>
          <w:sz w:val="22"/>
          <w:szCs w:val="22"/>
        </w:rPr>
        <w:t>in a given</w:t>
      </w:r>
      <w:proofErr w:type="gramEnd"/>
      <w:r w:rsidRPr="00216F75">
        <w:rPr>
          <w:rFonts w:ascii="Arial" w:hAnsi="Arial" w:cs="Arial"/>
          <w:color w:val="000000"/>
          <w:sz w:val="22"/>
          <w:szCs w:val="22"/>
        </w:rPr>
        <w:t xml:space="preserve"> project.</w:t>
      </w:r>
    </w:p>
    <w:p w14:paraId="4824541B" w14:textId="77777777" w:rsidR="00620061" w:rsidRPr="00216F75" w:rsidRDefault="00620061" w:rsidP="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Project proponents must identify and justify the most appropriate types for their specific setting, ensuring that selected models accurately represent the prevailing baseline cooking technologies. These types should be used as the basis for testing fuel consumption, thermal efficiency, and emissions when establishing baseline parameters.</w:t>
      </w:r>
    </w:p>
    <w:p w14:paraId="34BB6634" w14:textId="77777777" w:rsidR="00620061" w:rsidRPr="00216F75" w:rsidRDefault="00620061" w:rsidP="00620061">
      <w:pPr>
        <w:rPr>
          <w:rFonts w:cs="Arial"/>
          <w:b/>
          <w:bCs/>
          <w:szCs w:val="22"/>
        </w:rPr>
      </w:pPr>
      <w:r w:rsidRPr="00216F75">
        <w:rPr>
          <w:rFonts w:cs="Arial"/>
          <w:b/>
          <w:bCs/>
          <w:szCs w:val="22"/>
        </w:rPr>
        <w:t>Examples of common wood cookstove types</w:t>
      </w:r>
    </w:p>
    <w:p w14:paraId="144C9CEE" w14:textId="77777777" w:rsidR="00620061" w:rsidRPr="00216F75" w:rsidRDefault="00620061" w:rsidP="00620061">
      <w:pPr>
        <w:pStyle w:val="NormalWeb"/>
        <w:numPr>
          <w:ilvl w:val="0"/>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Three-Stone Fire</w:t>
      </w:r>
    </w:p>
    <w:p w14:paraId="5A2D073D" w14:textId="77777777" w:rsidR="00620061" w:rsidRPr="00216F75" w:rsidRDefault="00620061" w:rsidP="00620061">
      <w:pPr>
        <w:pStyle w:val="NormalWeb"/>
        <w:numPr>
          <w:ilvl w:val="1"/>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A setup using three stones or bricks arranged in a triangular shape to support a cooking pot, with an open fire in the center.</w:t>
      </w:r>
    </w:p>
    <w:p w14:paraId="0C7B9285" w14:textId="77777777" w:rsidR="00620061" w:rsidRPr="00216F75" w:rsidRDefault="00620061" w:rsidP="00620061">
      <w:pPr>
        <w:pStyle w:val="NormalWeb"/>
        <w:numPr>
          <w:ilvl w:val="1"/>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Materials: Natural stones, bricks, or compacted earth.</w:t>
      </w:r>
    </w:p>
    <w:p w14:paraId="7BB0A63E" w14:textId="77777777" w:rsidR="00620061" w:rsidRPr="00216F75" w:rsidRDefault="00620061" w:rsidP="00620061">
      <w:pPr>
        <w:pStyle w:val="NormalWeb"/>
        <w:numPr>
          <w:ilvl w:val="0"/>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Sunken Pit Cookstove</w:t>
      </w:r>
    </w:p>
    <w:p w14:paraId="42E6A5FD" w14:textId="77777777" w:rsidR="00620061" w:rsidRPr="00216F75" w:rsidRDefault="00620061" w:rsidP="00620061">
      <w:pPr>
        <w:pStyle w:val="NormalWeb"/>
        <w:numPr>
          <w:ilvl w:val="1"/>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A shallow pit dug into the ground where wood is burned.</w:t>
      </w:r>
    </w:p>
    <w:p w14:paraId="257AB25A" w14:textId="77777777" w:rsidR="00620061" w:rsidRPr="00216F75" w:rsidRDefault="00620061" w:rsidP="00620061">
      <w:pPr>
        <w:pStyle w:val="NormalWeb"/>
        <w:numPr>
          <w:ilvl w:val="1"/>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Materials: Bare earth or reinforced with clay.</w:t>
      </w:r>
    </w:p>
    <w:p w14:paraId="6F18FF8F" w14:textId="77777777" w:rsidR="00620061" w:rsidRPr="00216F75" w:rsidRDefault="00620061" w:rsidP="00620061">
      <w:pPr>
        <w:pStyle w:val="NormalWeb"/>
        <w:numPr>
          <w:ilvl w:val="0"/>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U-Shaped Mud Cookstove</w:t>
      </w:r>
    </w:p>
    <w:p w14:paraId="2D10FB20" w14:textId="77777777" w:rsidR="00620061" w:rsidRPr="00216F75" w:rsidRDefault="00620061" w:rsidP="00620061">
      <w:pPr>
        <w:pStyle w:val="NormalWeb"/>
        <w:numPr>
          <w:ilvl w:val="1"/>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 xml:space="preserve">A simple mud or clay structure in </w:t>
      </w:r>
      <w:proofErr w:type="gramStart"/>
      <w:r w:rsidRPr="00216F75">
        <w:rPr>
          <w:rFonts w:ascii="Arial" w:hAnsi="Arial" w:cs="Arial"/>
          <w:color w:val="000000"/>
          <w:sz w:val="22"/>
          <w:szCs w:val="22"/>
        </w:rPr>
        <w:t>a U</w:t>
      </w:r>
      <w:proofErr w:type="gramEnd"/>
      <w:r w:rsidRPr="00216F75">
        <w:rPr>
          <w:rFonts w:ascii="Arial" w:hAnsi="Arial" w:cs="Arial"/>
          <w:color w:val="000000"/>
          <w:sz w:val="22"/>
          <w:szCs w:val="22"/>
        </w:rPr>
        <w:t>-shape, designed to hold a pot over an open fire.</w:t>
      </w:r>
    </w:p>
    <w:p w14:paraId="7F7EBCEF" w14:textId="77777777" w:rsidR="00620061" w:rsidRPr="00216F75" w:rsidRDefault="00620061" w:rsidP="00620061">
      <w:pPr>
        <w:pStyle w:val="NormalWeb"/>
        <w:numPr>
          <w:ilvl w:val="1"/>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Materials: Locally sourced mud or clay, sometimes reinforced with straw.</w:t>
      </w:r>
    </w:p>
    <w:p w14:paraId="3C231383" w14:textId="77777777" w:rsidR="00620061" w:rsidRPr="00216F75" w:rsidRDefault="00620061" w:rsidP="00620061">
      <w:pPr>
        <w:pStyle w:val="NormalWeb"/>
        <w:numPr>
          <w:ilvl w:val="0"/>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Traditional Chulha/</w:t>
      </w:r>
      <w:proofErr w:type="spellStart"/>
      <w:r w:rsidRPr="00216F75">
        <w:rPr>
          <w:rFonts w:ascii="Arial" w:hAnsi="Arial" w:cs="Arial"/>
          <w:color w:val="000000"/>
          <w:sz w:val="22"/>
          <w:szCs w:val="22"/>
        </w:rPr>
        <w:t>Chulho</w:t>
      </w:r>
      <w:proofErr w:type="spellEnd"/>
    </w:p>
    <w:p w14:paraId="28B057A4" w14:textId="77777777" w:rsidR="00620061" w:rsidRPr="00216F75" w:rsidRDefault="00620061" w:rsidP="00620061">
      <w:pPr>
        <w:pStyle w:val="NormalWeb"/>
        <w:numPr>
          <w:ilvl w:val="1"/>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Cookstove A raised, built-in clay or brick cookstove with one or more burner holes for pots.</w:t>
      </w:r>
    </w:p>
    <w:p w14:paraId="101EFA42" w14:textId="77777777" w:rsidR="00620061" w:rsidRPr="00216F75" w:rsidRDefault="00620061" w:rsidP="00620061">
      <w:pPr>
        <w:pStyle w:val="NormalWeb"/>
        <w:numPr>
          <w:ilvl w:val="1"/>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Materials: Clay, bricks, or mud, sometimes with cow dung.</w:t>
      </w:r>
    </w:p>
    <w:p w14:paraId="0F737AFD" w14:textId="77777777" w:rsidR="00620061" w:rsidRPr="00216F75" w:rsidRDefault="00620061" w:rsidP="00620061">
      <w:pPr>
        <w:pStyle w:val="NormalWeb"/>
        <w:numPr>
          <w:ilvl w:val="0"/>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Plancha Cookstove (Traditional)</w:t>
      </w:r>
    </w:p>
    <w:p w14:paraId="5C41FA8C" w14:textId="77777777" w:rsidR="00620061" w:rsidRPr="00216F75" w:rsidRDefault="00620061" w:rsidP="00620061">
      <w:pPr>
        <w:pStyle w:val="NormalWeb"/>
        <w:numPr>
          <w:ilvl w:val="1"/>
          <w:numId w:val="71"/>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 xml:space="preserve">A raised clay or metal cookstove with a flat griddle (plancha) for cooking tortillas or </w:t>
      </w:r>
      <w:proofErr w:type="gramStart"/>
      <w:r w:rsidRPr="00216F75">
        <w:rPr>
          <w:rFonts w:ascii="Arial" w:hAnsi="Arial" w:cs="Arial"/>
          <w:color w:val="000000"/>
          <w:sz w:val="22"/>
          <w:szCs w:val="22"/>
        </w:rPr>
        <w:t>flatbreads</w:t>
      </w:r>
      <w:proofErr w:type="gramEnd"/>
      <w:r w:rsidRPr="00216F75">
        <w:rPr>
          <w:rFonts w:ascii="Arial" w:hAnsi="Arial" w:cs="Arial"/>
          <w:color w:val="000000"/>
          <w:sz w:val="22"/>
          <w:szCs w:val="22"/>
        </w:rPr>
        <w:t>.</w:t>
      </w:r>
    </w:p>
    <w:p w14:paraId="6A35C75D" w14:textId="77777777" w:rsidR="00620061" w:rsidRPr="00216F75" w:rsidRDefault="00620061" w:rsidP="00620061">
      <w:pPr>
        <w:pStyle w:val="NormalWeb"/>
        <w:numPr>
          <w:ilvl w:val="1"/>
          <w:numId w:val="71"/>
        </w:numPr>
        <w:spacing w:before="0" w:beforeAutospacing="0" w:after="240" w:afterAutospacing="0"/>
        <w:textAlignment w:val="baseline"/>
        <w:rPr>
          <w:rFonts w:ascii="Arial" w:hAnsi="Arial" w:cs="Arial"/>
          <w:color w:val="000000"/>
          <w:sz w:val="22"/>
          <w:szCs w:val="22"/>
        </w:rPr>
      </w:pPr>
      <w:r w:rsidRPr="00216F75">
        <w:rPr>
          <w:rFonts w:ascii="Arial" w:hAnsi="Arial" w:cs="Arial"/>
          <w:color w:val="000000"/>
          <w:sz w:val="22"/>
          <w:szCs w:val="22"/>
        </w:rPr>
        <w:t>Materials: Clay, bricks, metal griddle.</w:t>
      </w:r>
    </w:p>
    <w:p w14:paraId="2C2E3A51" w14:textId="77777777" w:rsidR="00620061" w:rsidRPr="00216F75" w:rsidRDefault="00620061" w:rsidP="00620061">
      <w:pPr>
        <w:rPr>
          <w:rFonts w:cs="Arial"/>
          <w:b/>
          <w:bCs/>
          <w:szCs w:val="22"/>
        </w:rPr>
      </w:pPr>
      <w:r w:rsidRPr="00216F75">
        <w:rPr>
          <w:rFonts w:cs="Arial"/>
          <w:b/>
          <w:bCs/>
          <w:szCs w:val="22"/>
        </w:rPr>
        <w:t>Examples of common charcoal cookstove types</w:t>
      </w:r>
    </w:p>
    <w:p w14:paraId="047FEEC0" w14:textId="77777777" w:rsidR="00620061" w:rsidRPr="00216F75" w:rsidRDefault="00620061" w:rsidP="00620061">
      <w:pPr>
        <w:pStyle w:val="NormalWeb"/>
        <w:numPr>
          <w:ilvl w:val="0"/>
          <w:numId w:val="7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Metal Bucket Cookstove</w:t>
      </w:r>
    </w:p>
    <w:p w14:paraId="3AF6ED81" w14:textId="77777777" w:rsidR="00620061" w:rsidRPr="00216F75" w:rsidRDefault="00620061" w:rsidP="00620061">
      <w:pPr>
        <w:pStyle w:val="NormalWeb"/>
        <w:numPr>
          <w:ilvl w:val="1"/>
          <w:numId w:val="7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A metal bucket or shallow metal bowl with ventilation holes at the bottom and a top grate for placing charcoal.</w:t>
      </w:r>
    </w:p>
    <w:p w14:paraId="2E0238B8" w14:textId="77777777" w:rsidR="00620061" w:rsidRPr="00216F75" w:rsidRDefault="00620061" w:rsidP="00620061">
      <w:pPr>
        <w:pStyle w:val="NormalWeb"/>
        <w:numPr>
          <w:ilvl w:val="1"/>
          <w:numId w:val="7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Materials: Sheet metal, iron, steel.</w:t>
      </w:r>
    </w:p>
    <w:p w14:paraId="2646AFEE" w14:textId="77777777" w:rsidR="00620061" w:rsidRPr="00216F75" w:rsidRDefault="00620061" w:rsidP="00620061">
      <w:pPr>
        <w:pStyle w:val="NormalWeb"/>
        <w:numPr>
          <w:ilvl w:val="0"/>
          <w:numId w:val="7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Ceramic-Lined Charcoal Cookstove</w:t>
      </w:r>
    </w:p>
    <w:p w14:paraId="00D80313" w14:textId="77777777" w:rsidR="00620061" w:rsidRPr="00216F75" w:rsidRDefault="00620061" w:rsidP="00620061">
      <w:pPr>
        <w:pStyle w:val="NormalWeb"/>
        <w:numPr>
          <w:ilvl w:val="1"/>
          <w:numId w:val="7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A metal bucket cookstove with a ceramic liner inside for heat retention and insulation.</w:t>
      </w:r>
    </w:p>
    <w:p w14:paraId="79FA998F" w14:textId="77777777" w:rsidR="00620061" w:rsidRPr="00216F75" w:rsidRDefault="00620061" w:rsidP="00620061">
      <w:pPr>
        <w:pStyle w:val="NormalWeb"/>
        <w:numPr>
          <w:ilvl w:val="1"/>
          <w:numId w:val="7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Materials: Sheet metal exterior with a ceramic inner lining.</w:t>
      </w:r>
    </w:p>
    <w:p w14:paraId="1DE202DB" w14:textId="77777777" w:rsidR="00620061" w:rsidRPr="00216F75" w:rsidRDefault="00620061" w:rsidP="00620061">
      <w:pPr>
        <w:pStyle w:val="NormalWeb"/>
        <w:numPr>
          <w:ilvl w:val="0"/>
          <w:numId w:val="7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Clay Pot Cookstove</w:t>
      </w:r>
    </w:p>
    <w:p w14:paraId="02944CFA" w14:textId="77777777" w:rsidR="00620061" w:rsidRPr="00216F75" w:rsidRDefault="00620061" w:rsidP="00620061">
      <w:pPr>
        <w:pStyle w:val="NormalWeb"/>
        <w:numPr>
          <w:ilvl w:val="1"/>
          <w:numId w:val="7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A clay vessel with an opening for airflow and a flat surface for a cooking pot.</w:t>
      </w:r>
    </w:p>
    <w:p w14:paraId="0E59B5E4" w14:textId="77777777" w:rsidR="00620061" w:rsidRPr="00216F75" w:rsidRDefault="00620061" w:rsidP="00620061">
      <w:pPr>
        <w:pStyle w:val="NormalWeb"/>
        <w:numPr>
          <w:ilvl w:val="1"/>
          <w:numId w:val="7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Materials: Fired clay or terracotta.</w:t>
      </w:r>
    </w:p>
    <w:p w14:paraId="22A39F9C" w14:textId="77777777" w:rsidR="00620061" w:rsidRPr="00216F75" w:rsidRDefault="00620061" w:rsidP="00620061">
      <w:pPr>
        <w:pStyle w:val="NormalWeb"/>
        <w:spacing w:before="0" w:beforeAutospacing="0" w:after="0" w:afterAutospacing="0"/>
        <w:textAlignment w:val="baseline"/>
        <w:rPr>
          <w:rFonts w:ascii="Arial" w:hAnsi="Arial" w:cs="Arial"/>
          <w:color w:val="000000"/>
          <w:sz w:val="22"/>
          <w:szCs w:val="22"/>
        </w:rPr>
      </w:pPr>
    </w:p>
    <w:p w14:paraId="7A2EDB7D" w14:textId="77777777" w:rsidR="00620061" w:rsidRPr="00216F75" w:rsidRDefault="00620061" w:rsidP="00620061">
      <w:pPr>
        <w:rPr>
          <w:rFonts w:cs="Arial"/>
          <w:color w:val="000000"/>
          <w:szCs w:val="22"/>
        </w:rPr>
      </w:pPr>
      <w:r w:rsidRPr="00216F75">
        <w:rPr>
          <w:rFonts w:cs="Arial"/>
          <w:color w:val="000000"/>
          <w:szCs w:val="22"/>
        </w:rPr>
        <w:br w:type="page"/>
      </w:r>
    </w:p>
    <w:p w14:paraId="7BB7CA61" w14:textId="7DC5A47E" w:rsidR="00055C06" w:rsidRDefault="00055C06" w:rsidP="00055C06">
      <w:pPr>
        <w:pStyle w:val="SDMAppTitle"/>
      </w:pPr>
      <w:bookmarkStart w:id="108" w:name="A9"/>
      <w:bookmarkStart w:id="109" w:name="_Toc193924652"/>
      <w:r w:rsidRPr="00055C06">
        <w:lastRenderedPageBreak/>
        <w:t>Requiremen</w:t>
      </w:r>
      <w:bookmarkEnd w:id="108"/>
      <w:r w:rsidRPr="00055C06">
        <w:t>ts and Best Practices for Stove Use Monitors (SUMs)</w:t>
      </w:r>
    </w:p>
    <w:bookmarkEnd w:id="109"/>
    <w:p w14:paraId="2CC94B2E" w14:textId="77777777" w:rsidR="00620061" w:rsidRPr="00216F75" w:rsidRDefault="00620061" w:rsidP="00620061">
      <w:pPr>
        <w:pStyle w:val="NormalWeb"/>
        <w:spacing w:before="0" w:beforeAutospacing="0" w:after="0" w:afterAutospacing="0"/>
        <w:ind w:right="660"/>
        <w:rPr>
          <w:rFonts w:ascii="Arial" w:hAnsi="Arial" w:cs="Arial"/>
          <w:sz w:val="22"/>
          <w:szCs w:val="22"/>
        </w:rPr>
      </w:pPr>
      <w:r w:rsidRPr="00216F75">
        <w:rPr>
          <w:rFonts w:ascii="Arial" w:hAnsi="Arial" w:cs="Arial"/>
          <w:color w:val="222222"/>
          <w:sz w:val="22"/>
          <w:szCs w:val="22"/>
        </w:rPr>
        <w:t>In the context of the CLEAR methodology, non-CTEC projects may choose from two approaches to determine energy consumption in the project scenario, differentiated by application (or non-application) of SUMs, which correspond to two different methods for accounting for the Hawthorne Effect.</w:t>
      </w:r>
    </w:p>
    <w:p w14:paraId="4155E9FE" w14:textId="77777777" w:rsidR="00620061" w:rsidRPr="00216F75" w:rsidRDefault="00620061" w:rsidP="00620061">
      <w:pPr>
        <w:pStyle w:val="NormalWeb"/>
        <w:spacing w:before="0" w:beforeAutospacing="0" w:after="0" w:afterAutospacing="0"/>
        <w:ind w:left="800" w:right="660"/>
        <w:rPr>
          <w:rFonts w:ascii="Arial" w:hAnsi="Arial" w:cs="Arial"/>
          <w:sz w:val="22"/>
          <w:szCs w:val="22"/>
        </w:rPr>
      </w:pPr>
      <w:r w:rsidRPr="00216F75">
        <w:rPr>
          <w:rFonts w:ascii="Arial" w:hAnsi="Arial" w:cs="Arial"/>
          <w:color w:val="222222"/>
          <w:sz w:val="22"/>
          <w:szCs w:val="22"/>
        </w:rPr>
        <w:t> </w:t>
      </w:r>
    </w:p>
    <w:p w14:paraId="17FE9DA7" w14:textId="77777777" w:rsidR="00620061" w:rsidRPr="00216F75" w:rsidRDefault="00620061" w:rsidP="00620061">
      <w:pPr>
        <w:pStyle w:val="NormalWeb"/>
        <w:spacing w:before="0" w:beforeAutospacing="0" w:after="0" w:afterAutospacing="0"/>
        <w:ind w:right="660"/>
        <w:rPr>
          <w:rFonts w:ascii="Arial" w:hAnsi="Arial" w:cs="Arial"/>
          <w:sz w:val="22"/>
          <w:szCs w:val="22"/>
        </w:rPr>
      </w:pPr>
      <w:r w:rsidRPr="00216F75">
        <w:rPr>
          <w:rFonts w:ascii="Arial" w:hAnsi="Arial" w:cs="Arial"/>
          <w:color w:val="222222"/>
          <w:sz w:val="22"/>
          <w:szCs w:val="22"/>
        </w:rPr>
        <w:t>When projects complement KPTs and surveys with SUMs measurements, the ratio of project technology usage (cooking events/day) measured during the KPT to project technology usage measured during the month prior to or following the KPT is used as a multiplier in the emission reduction estimate calculation (only when that value is less than 1).</w:t>
      </w:r>
    </w:p>
    <w:p w14:paraId="1DF2C41F" w14:textId="77777777" w:rsidR="00620061" w:rsidRPr="00216F75" w:rsidRDefault="00620061" w:rsidP="00620061">
      <w:pPr>
        <w:pStyle w:val="NormalWeb"/>
        <w:spacing w:before="0" w:beforeAutospacing="0" w:after="0" w:afterAutospacing="0"/>
        <w:ind w:left="800" w:right="660"/>
        <w:rPr>
          <w:rFonts w:ascii="Arial" w:hAnsi="Arial" w:cs="Arial"/>
          <w:sz w:val="22"/>
          <w:szCs w:val="22"/>
        </w:rPr>
      </w:pPr>
      <w:r w:rsidRPr="00216F75">
        <w:rPr>
          <w:rFonts w:ascii="Arial" w:hAnsi="Arial" w:cs="Arial"/>
          <w:color w:val="222222"/>
          <w:sz w:val="22"/>
          <w:szCs w:val="22"/>
        </w:rPr>
        <w:t> </w:t>
      </w:r>
    </w:p>
    <w:p w14:paraId="055A9270" w14:textId="77777777" w:rsidR="00620061" w:rsidRPr="00216F75" w:rsidRDefault="00620061" w:rsidP="00620061">
      <w:pPr>
        <w:pStyle w:val="NormalWeb"/>
        <w:spacing w:before="0" w:beforeAutospacing="0" w:after="0" w:afterAutospacing="0"/>
        <w:ind w:right="660"/>
        <w:rPr>
          <w:rFonts w:ascii="Arial" w:hAnsi="Arial" w:cs="Arial"/>
          <w:sz w:val="22"/>
          <w:szCs w:val="22"/>
        </w:rPr>
      </w:pPr>
      <w:r w:rsidRPr="00216F75">
        <w:rPr>
          <w:rFonts w:ascii="Arial" w:hAnsi="Arial" w:cs="Arial"/>
          <w:color w:val="222222"/>
          <w:sz w:val="22"/>
          <w:szCs w:val="22"/>
        </w:rPr>
        <w:t>When projects measure fuel consumption through KPTs, complemented by usage surveys only without SUMs, maximum emission reductions are capped at 75% of the KPT-based estimate to account for the Hawthorne Effect (the equivalent of a 75% ratio of project technology usage described above).</w:t>
      </w:r>
    </w:p>
    <w:p w14:paraId="7EB07680" w14:textId="77777777" w:rsidR="00620061" w:rsidRPr="00216F75" w:rsidRDefault="00620061" w:rsidP="00620061">
      <w:pPr>
        <w:pStyle w:val="NormalWeb"/>
        <w:spacing w:before="0" w:beforeAutospacing="0" w:after="0" w:afterAutospacing="0"/>
        <w:ind w:left="800" w:right="660"/>
        <w:rPr>
          <w:rFonts w:ascii="Arial" w:hAnsi="Arial" w:cs="Arial"/>
          <w:sz w:val="22"/>
          <w:szCs w:val="22"/>
        </w:rPr>
      </w:pPr>
      <w:r w:rsidRPr="00216F75">
        <w:rPr>
          <w:rFonts w:ascii="Arial" w:hAnsi="Arial" w:cs="Arial"/>
          <w:color w:val="222222"/>
          <w:sz w:val="22"/>
          <w:szCs w:val="22"/>
        </w:rPr>
        <w:t> </w:t>
      </w:r>
    </w:p>
    <w:p w14:paraId="52BF05F5" w14:textId="77777777" w:rsidR="00620061" w:rsidRPr="00216F75" w:rsidRDefault="00620061" w:rsidP="00620061">
      <w:pPr>
        <w:pStyle w:val="NormalWeb"/>
        <w:spacing w:before="0" w:beforeAutospacing="0" w:after="0" w:afterAutospacing="0"/>
        <w:ind w:right="660"/>
        <w:rPr>
          <w:rFonts w:ascii="Arial" w:hAnsi="Arial" w:cs="Arial"/>
          <w:sz w:val="22"/>
          <w:szCs w:val="22"/>
        </w:rPr>
      </w:pPr>
      <w:r w:rsidRPr="00216F75">
        <w:rPr>
          <w:rFonts w:ascii="Arial" w:hAnsi="Arial" w:cs="Arial"/>
          <w:color w:val="222222"/>
          <w:sz w:val="22"/>
          <w:szCs w:val="22"/>
        </w:rPr>
        <w:t>Project proponents opting to use the SUMs method must place SUMs on the project cookstoves for the duration of the KPT, as well as for the contiguous 30 days (before, after, or any combination of before and after) to serve as a reference point. </w:t>
      </w:r>
    </w:p>
    <w:p w14:paraId="055472C8" w14:textId="77777777" w:rsidR="00620061" w:rsidRPr="00216F75" w:rsidRDefault="00620061" w:rsidP="00620061">
      <w:pPr>
        <w:rPr>
          <w:rFonts w:cs="Arial"/>
          <w:color w:val="000000"/>
          <w:szCs w:val="22"/>
        </w:rPr>
      </w:pPr>
      <w:r w:rsidRPr="00216F75">
        <w:rPr>
          <w:rFonts w:cs="Arial"/>
          <w:szCs w:val="22"/>
        </w:rPr>
        <w:br/>
      </w:r>
      <w:r w:rsidRPr="00216F75">
        <w:rPr>
          <w:rFonts w:cs="Arial"/>
          <w:color w:val="222222"/>
          <w:szCs w:val="22"/>
        </w:rPr>
        <w:t xml:space="preserve">SUMs may be used to </w:t>
      </w:r>
      <w:r w:rsidRPr="00216F75">
        <w:rPr>
          <w:rFonts w:cs="Arial"/>
          <w:color w:val="000000"/>
          <w:szCs w:val="22"/>
        </w:rPr>
        <w:t>characterize the primary fuel-stove combination usage for identification of a potential mismatch between the baseline and project scenario profiles or to determine the proportion of cooking done on baseline cookstoves for back-calculating the baseline energy consumption (</w:t>
      </w:r>
      <m:oMath>
        <m:r>
          <w:rPr>
            <w:rFonts w:ascii="Cambria Math" w:hAnsi="Cambria Math" w:cs="Arial"/>
            <w:szCs w:val="22"/>
          </w:rPr>
          <m:t>t</m:t>
        </m:r>
        <m:r>
          <w:rPr>
            <w:rFonts w:ascii="Cambria Math" w:eastAsia="Cambria Math" w:hAnsi="Cambria Math" w:cs="Arial"/>
            <w:szCs w:val="22"/>
          </w:rPr>
          <m:t>PC</m:t>
        </m:r>
      </m:oMath>
      <w:proofErr w:type="gramStart"/>
      <w:r w:rsidRPr="00216F75">
        <w:rPr>
          <w:rFonts w:eastAsia="Cambria Math" w:cs="Arial"/>
          <w:i/>
          <w:iCs/>
          <w:szCs w:val="22"/>
          <w:vertAlign w:val="subscript"/>
        </w:rPr>
        <w:t>b,i</w:t>
      </w:r>
      <w:proofErr w:type="gramEnd"/>
      <w:r w:rsidRPr="00216F75">
        <w:rPr>
          <w:rFonts w:cs="Arial"/>
          <w:color w:val="000000"/>
          <w:szCs w:val="22"/>
        </w:rPr>
        <w:t>).</w:t>
      </w:r>
    </w:p>
    <w:p w14:paraId="13C40FEA" w14:textId="77777777" w:rsidR="00620061" w:rsidRPr="00216F75" w:rsidRDefault="00620061" w:rsidP="00620061">
      <w:pPr>
        <w:rPr>
          <w:rFonts w:cs="Arial"/>
          <w:color w:val="000000" w:themeColor="text1"/>
          <w:szCs w:val="22"/>
        </w:rPr>
      </w:pPr>
    </w:p>
    <w:p w14:paraId="63A352C1" w14:textId="591CF0B2" w:rsidR="00620061" w:rsidRPr="00216F75" w:rsidRDefault="00620061" w:rsidP="00620061">
      <w:pPr>
        <w:rPr>
          <w:rFonts w:cs="Arial"/>
          <w:color w:val="000000" w:themeColor="text1"/>
          <w:szCs w:val="22"/>
        </w:rPr>
      </w:pPr>
      <w:r w:rsidRPr="00216F75">
        <w:rPr>
          <w:rFonts w:cs="Arial"/>
          <w:color w:val="000000" w:themeColor="text1"/>
          <w:szCs w:val="22"/>
        </w:rPr>
        <w:t xml:space="preserve">SUMs may also be used to estimate Ψ, the percent of project households with the project cookstove present, where the project cookstove is used at least once per week. Projects must use the same measurement period (at a minimum) as that used for determining a potential Hawthorne effect, and the same sampling requirements for Ψ as those outlined </w:t>
      </w:r>
      <w:r w:rsidRPr="00671DDB">
        <w:rPr>
          <w:rFonts w:cs="Arial"/>
          <w:color w:val="000000" w:themeColor="text1"/>
          <w:szCs w:val="22"/>
        </w:rPr>
        <w:t xml:space="preserve">in </w:t>
      </w:r>
      <w:hyperlink w:anchor="A10" w:history="1">
        <w:r w:rsidRPr="00671DDB">
          <w:rPr>
            <w:rStyle w:val="Hyperlink"/>
            <w:rFonts w:cs="Arial"/>
            <w:szCs w:val="22"/>
          </w:rPr>
          <w:t>Appendix 10</w:t>
        </w:r>
      </w:hyperlink>
      <w:r w:rsidRPr="00671DDB">
        <w:rPr>
          <w:rFonts w:cs="Arial"/>
          <w:color w:val="000000" w:themeColor="text1"/>
          <w:szCs w:val="22"/>
        </w:rPr>
        <w:t>.</w:t>
      </w:r>
      <w:r w:rsidRPr="00216F75">
        <w:rPr>
          <w:rFonts w:cs="Arial"/>
          <w:color w:val="000000" w:themeColor="text1"/>
          <w:szCs w:val="22"/>
        </w:rPr>
        <w:t xml:space="preserve">  If sampling includes ho</w:t>
      </w:r>
      <w:r w:rsidR="00541DD7">
        <w:rPr>
          <w:rFonts w:cs="Arial"/>
          <w:color w:val="000000" w:themeColor="text1"/>
          <w:szCs w:val="22"/>
        </w:rPr>
        <w:t>useholds</w:t>
      </w:r>
      <w:r w:rsidRPr="00216F75">
        <w:rPr>
          <w:rFonts w:cs="Arial"/>
          <w:color w:val="000000" w:themeColor="text1"/>
          <w:szCs w:val="22"/>
        </w:rPr>
        <w:t xml:space="preserve"> where KPTs are being conducted, the frequency of use estimates must not include data from days when KPTs are occurring.  For households where SUMs installation is not possible because the project cookstove is not present, these households must be included as non-users in the estimate Ψ</w:t>
      </w:r>
      <w:r w:rsidRPr="00216F75">
        <w:rPr>
          <w:rFonts w:cs="Arial"/>
          <w:color w:val="000000" w:themeColor="text1"/>
          <w:szCs w:val="22"/>
          <w:vertAlign w:val="subscript"/>
        </w:rPr>
        <w:t>.</w:t>
      </w:r>
      <w:r w:rsidRPr="00216F75">
        <w:rPr>
          <w:rFonts w:cs="Arial"/>
          <w:color w:val="000000" w:themeColor="text1"/>
          <w:szCs w:val="22"/>
        </w:rPr>
        <w:t xml:space="preserve"> </w:t>
      </w:r>
    </w:p>
    <w:p w14:paraId="0BAAB2A6" w14:textId="77777777" w:rsidR="00620061" w:rsidRPr="00216F75" w:rsidRDefault="00620061" w:rsidP="00620061">
      <w:pPr>
        <w:rPr>
          <w:rFonts w:cs="Arial"/>
          <w:color w:val="000000"/>
          <w:szCs w:val="22"/>
        </w:rPr>
      </w:pPr>
    </w:p>
    <w:p w14:paraId="2E943970" w14:textId="77777777" w:rsidR="00620061" w:rsidRPr="00216F75" w:rsidRDefault="00620061" w:rsidP="00620061">
      <w:pPr>
        <w:pStyle w:val="NormalWeb"/>
        <w:spacing w:before="0" w:beforeAutospacing="0" w:after="0" w:afterAutospacing="0"/>
        <w:ind w:right="660"/>
        <w:rPr>
          <w:rFonts w:ascii="Arial" w:hAnsi="Arial" w:cs="Arial"/>
          <w:sz w:val="22"/>
          <w:szCs w:val="22"/>
        </w:rPr>
      </w:pPr>
      <w:r w:rsidRPr="00216F75">
        <w:rPr>
          <w:rFonts w:ascii="Arial" w:hAnsi="Arial" w:cs="Arial"/>
          <w:color w:val="222222"/>
          <w:sz w:val="22"/>
          <w:szCs w:val="22"/>
        </w:rPr>
        <w:t>This appendix provides requirements and best practice guidance for using SUMs within the CLEAR methodology.</w:t>
      </w:r>
    </w:p>
    <w:p w14:paraId="076C3AD5" w14:textId="77777777" w:rsidR="00620061" w:rsidRPr="00216F75" w:rsidRDefault="00620061" w:rsidP="00620061">
      <w:pPr>
        <w:pStyle w:val="NormalWeb"/>
        <w:spacing w:before="0" w:beforeAutospacing="0" w:after="0" w:afterAutospacing="0"/>
        <w:ind w:left="820"/>
        <w:rPr>
          <w:rFonts w:ascii="Arial" w:hAnsi="Arial" w:cs="Arial"/>
          <w:sz w:val="22"/>
          <w:szCs w:val="22"/>
        </w:rPr>
      </w:pPr>
      <w:r w:rsidRPr="00216F75">
        <w:rPr>
          <w:rFonts w:ascii="Arial" w:hAnsi="Arial" w:cs="Arial"/>
          <w:color w:val="000000"/>
          <w:sz w:val="22"/>
          <w:szCs w:val="22"/>
        </w:rPr>
        <w:t> </w:t>
      </w:r>
    </w:p>
    <w:p w14:paraId="5E19B93F" w14:textId="77777777" w:rsidR="00620061" w:rsidRPr="00216F75" w:rsidRDefault="00620061" w:rsidP="00620061">
      <w:pPr>
        <w:pStyle w:val="NormalWeb"/>
        <w:spacing w:before="0" w:beforeAutospacing="0" w:after="0" w:afterAutospacing="0"/>
        <w:rPr>
          <w:rFonts w:ascii="Arial" w:hAnsi="Arial" w:cs="Arial"/>
          <w:sz w:val="22"/>
          <w:szCs w:val="22"/>
        </w:rPr>
      </w:pPr>
      <w:r w:rsidRPr="00216F75">
        <w:rPr>
          <w:rFonts w:ascii="Arial" w:hAnsi="Arial" w:cs="Arial"/>
          <w:b/>
          <w:bCs/>
          <w:color w:val="000000"/>
          <w:sz w:val="22"/>
          <w:szCs w:val="22"/>
        </w:rPr>
        <w:t>Requirements for the use of SUMs in the CLEAR methodology</w:t>
      </w:r>
    </w:p>
    <w:p w14:paraId="1BE484C0" w14:textId="77777777" w:rsidR="00620061" w:rsidRPr="00216F75" w:rsidRDefault="00620061" w:rsidP="00620061">
      <w:pPr>
        <w:pStyle w:val="NormalWeb"/>
        <w:numPr>
          <w:ilvl w:val="0"/>
          <w:numId w:val="8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themeColor="text1"/>
          <w:sz w:val="22"/>
          <w:szCs w:val="22"/>
        </w:rPr>
        <w:t xml:space="preserve">The algorithm for estimating cookstove usage must be able to reliably distinguish cooking events from other potential factors that could be interpreted as cooking events but that are </w:t>
      </w:r>
      <w:proofErr w:type="gramStart"/>
      <w:r w:rsidRPr="00216F75">
        <w:rPr>
          <w:rFonts w:ascii="Arial" w:hAnsi="Arial" w:cs="Arial"/>
          <w:color w:val="000000" w:themeColor="text1"/>
          <w:sz w:val="22"/>
          <w:szCs w:val="22"/>
        </w:rPr>
        <w:t>actually caused</w:t>
      </w:r>
      <w:proofErr w:type="gramEnd"/>
      <w:r w:rsidRPr="00216F75">
        <w:rPr>
          <w:rFonts w:ascii="Arial" w:hAnsi="Arial" w:cs="Arial"/>
          <w:color w:val="000000" w:themeColor="text1"/>
          <w:sz w:val="22"/>
          <w:szCs w:val="22"/>
        </w:rPr>
        <w:t xml:space="preserve"> by external circumstances (e.g., temperature fluctuations from typical diurnal patterns).</w:t>
      </w:r>
    </w:p>
    <w:p w14:paraId="28C56B94" w14:textId="77777777" w:rsidR="00620061" w:rsidRPr="00216F75" w:rsidRDefault="00620061" w:rsidP="00620061">
      <w:pPr>
        <w:pStyle w:val="NormalWeb"/>
        <w:numPr>
          <w:ilvl w:val="0"/>
          <w:numId w:val="8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themeColor="text1"/>
          <w:sz w:val="22"/>
          <w:szCs w:val="22"/>
        </w:rPr>
        <w:t xml:space="preserve">The algorithm shall be clearly presented publicly with associated equations and/or logic rules (see section below titled: </w:t>
      </w:r>
      <w:r w:rsidRPr="00216F75">
        <w:rPr>
          <w:rFonts w:ascii="Arial" w:hAnsi="Arial" w:cs="Arial"/>
          <w:i/>
          <w:iCs/>
          <w:color w:val="000000" w:themeColor="text1"/>
          <w:sz w:val="22"/>
          <w:szCs w:val="22"/>
        </w:rPr>
        <w:t>Public presentation of stove use algorithms).</w:t>
      </w:r>
    </w:p>
    <w:p w14:paraId="38BCDE97" w14:textId="77777777" w:rsidR="00620061" w:rsidRPr="00216F75" w:rsidRDefault="00620061" w:rsidP="00620061">
      <w:pPr>
        <w:pStyle w:val="NormalWeb"/>
        <w:numPr>
          <w:ilvl w:val="0"/>
          <w:numId w:val="82"/>
        </w:numPr>
        <w:spacing w:before="0" w:beforeAutospacing="0" w:after="0" w:afterAutospacing="0"/>
        <w:textAlignment w:val="baseline"/>
        <w:rPr>
          <w:rFonts w:ascii="Arial" w:hAnsi="Arial" w:cs="Arial"/>
          <w:sz w:val="22"/>
          <w:szCs w:val="22"/>
        </w:rPr>
      </w:pPr>
      <w:r w:rsidRPr="00216F75">
        <w:rPr>
          <w:rFonts w:ascii="Arial" w:hAnsi="Arial" w:cs="Arial"/>
          <w:color w:val="000000" w:themeColor="text1"/>
          <w:sz w:val="22"/>
          <w:szCs w:val="22"/>
        </w:rPr>
        <w:t xml:space="preserve"> The same algorithm and SUM device type shall be used for the duration of the project.  If a different SUM device and/or algorithm is used, then the project must demonstrate that the stove use estimates between the two approaches are unbiased. This can be demonstrated by conducting a side-by-side comparison in a representative subsample of households, where both devices/algorithms are applied simultaneously, and the resulting cooking event estimates are compared. Statistical tests such as paired t-tests, </w:t>
      </w:r>
      <w:r w:rsidRPr="00216F75">
        <w:rPr>
          <w:rFonts w:ascii="Arial" w:hAnsi="Arial" w:cs="Arial"/>
          <w:color w:val="000000" w:themeColor="text1"/>
          <w:sz w:val="22"/>
          <w:szCs w:val="22"/>
        </w:rPr>
        <w:lastRenderedPageBreak/>
        <w:t>regression analyses, or Bland–Altman plots may be used to assess whether systematic bias exists. The results of these tests, along with all supporting data and documentation, must be provided to the VVB.</w:t>
      </w:r>
    </w:p>
    <w:p w14:paraId="40B407D2" w14:textId="43C86455" w:rsidR="00620061" w:rsidRPr="00671DDB" w:rsidRDefault="00620061" w:rsidP="00620061">
      <w:pPr>
        <w:pStyle w:val="NormalWeb"/>
        <w:numPr>
          <w:ilvl w:val="0"/>
          <w:numId w:val="82"/>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 xml:space="preserve">Sampling </w:t>
      </w:r>
      <w:r w:rsidRPr="00671DDB">
        <w:rPr>
          <w:rFonts w:ascii="Arial" w:hAnsi="Arial" w:cs="Arial"/>
          <w:color w:val="000000"/>
          <w:sz w:val="22"/>
          <w:szCs w:val="22"/>
        </w:rPr>
        <w:t xml:space="preserve">must meet the 95/10 precision guidelines, per the sampling guidance included in </w:t>
      </w:r>
      <w:hyperlink w:anchor="A10" w:history="1">
        <w:r w:rsidRPr="00671DDB">
          <w:rPr>
            <w:rStyle w:val="Hyperlink"/>
            <w:rFonts w:ascii="Arial" w:hAnsi="Arial" w:cs="Arial"/>
            <w:sz w:val="22"/>
            <w:szCs w:val="22"/>
          </w:rPr>
          <w:t>Appendix 10.</w:t>
        </w:r>
      </w:hyperlink>
    </w:p>
    <w:p w14:paraId="559CC945" w14:textId="77777777" w:rsidR="00620061" w:rsidRPr="00671DDB" w:rsidRDefault="00620061" w:rsidP="00620061">
      <w:pPr>
        <w:pStyle w:val="NormalWeb"/>
        <w:numPr>
          <w:ilvl w:val="0"/>
          <w:numId w:val="82"/>
        </w:numPr>
        <w:spacing w:before="0" w:beforeAutospacing="0" w:after="0" w:afterAutospacing="0"/>
        <w:textAlignment w:val="baseline"/>
        <w:rPr>
          <w:rFonts w:ascii="Arial" w:hAnsi="Arial" w:cs="Arial"/>
          <w:color w:val="000000"/>
          <w:sz w:val="22"/>
          <w:szCs w:val="22"/>
        </w:rPr>
      </w:pPr>
      <w:r w:rsidRPr="00671DDB">
        <w:rPr>
          <w:rFonts w:ascii="Arial" w:hAnsi="Arial" w:cs="Arial"/>
          <w:color w:val="000000"/>
          <w:sz w:val="22"/>
          <w:szCs w:val="22"/>
        </w:rPr>
        <w:t>SUMs sampling protocols (installation, placement, downloading) and the algorithm used to convert raw data into cooking events must not change between sampling during the KPTs and sampling prior to or following the KPTs.</w:t>
      </w:r>
    </w:p>
    <w:p w14:paraId="7AE24EEE" w14:textId="77777777" w:rsidR="00620061" w:rsidRPr="00671DDB" w:rsidRDefault="00620061" w:rsidP="00620061">
      <w:pPr>
        <w:pStyle w:val="NormalWeb"/>
        <w:numPr>
          <w:ilvl w:val="0"/>
          <w:numId w:val="82"/>
        </w:numPr>
        <w:spacing w:before="0" w:beforeAutospacing="0" w:after="0" w:afterAutospacing="0"/>
        <w:textAlignment w:val="baseline"/>
        <w:rPr>
          <w:rFonts w:ascii="Arial" w:hAnsi="Arial" w:cs="Arial"/>
          <w:color w:val="000000"/>
          <w:sz w:val="22"/>
          <w:szCs w:val="22"/>
        </w:rPr>
      </w:pPr>
      <w:r w:rsidRPr="00671DDB">
        <w:rPr>
          <w:rFonts w:ascii="Arial" w:hAnsi="Arial" w:cs="Arial"/>
          <w:color w:val="000000"/>
          <w:sz w:val="22"/>
          <w:szCs w:val="22"/>
        </w:rPr>
        <w:t>Project participants in the SUMs sample shall not receive any support different or additional to those not included in the sample.</w:t>
      </w:r>
    </w:p>
    <w:p w14:paraId="56FAEBC2" w14:textId="77777777" w:rsidR="00620061" w:rsidRPr="00671DDB" w:rsidRDefault="00620061" w:rsidP="00620061">
      <w:pPr>
        <w:pStyle w:val="NormalWeb"/>
        <w:numPr>
          <w:ilvl w:val="0"/>
          <w:numId w:val="82"/>
        </w:numPr>
        <w:spacing w:before="0" w:beforeAutospacing="0" w:after="0" w:afterAutospacing="0"/>
        <w:textAlignment w:val="baseline"/>
        <w:rPr>
          <w:rFonts w:ascii="Arial" w:hAnsi="Arial" w:cs="Arial"/>
          <w:color w:val="000000"/>
          <w:sz w:val="22"/>
          <w:szCs w:val="22"/>
        </w:rPr>
      </w:pPr>
      <w:r w:rsidRPr="00671DDB">
        <w:rPr>
          <w:rFonts w:ascii="Arial" w:hAnsi="Arial" w:cs="Arial"/>
          <w:color w:val="000000"/>
          <w:sz w:val="22"/>
          <w:szCs w:val="22"/>
        </w:rPr>
        <w:t>Project proponents shall ensure that photographs of the SUMs placement in each sampled household are taken and retained as part of the monitoring record. </w:t>
      </w:r>
    </w:p>
    <w:p w14:paraId="73334F82" w14:textId="77777777" w:rsidR="00620061" w:rsidRPr="00671DDB" w:rsidRDefault="00620061" w:rsidP="00620061">
      <w:pPr>
        <w:pStyle w:val="NormalWeb"/>
        <w:numPr>
          <w:ilvl w:val="0"/>
          <w:numId w:val="82"/>
        </w:numPr>
        <w:spacing w:before="0" w:beforeAutospacing="0" w:after="0" w:afterAutospacing="0"/>
        <w:textAlignment w:val="baseline"/>
        <w:rPr>
          <w:rFonts w:ascii="Arial" w:hAnsi="Arial" w:cs="Arial"/>
          <w:color w:val="000000"/>
          <w:sz w:val="22"/>
          <w:szCs w:val="22"/>
        </w:rPr>
      </w:pPr>
      <w:r w:rsidRPr="00671DDB">
        <w:rPr>
          <w:rFonts w:ascii="Arial" w:hAnsi="Arial" w:cs="Arial"/>
          <w:color w:val="000000"/>
          <w:sz w:val="22"/>
          <w:szCs w:val="22"/>
        </w:rPr>
        <w:t>The average of the cooking events per day during the full 30 days of cookstove use monitoring must be used to adjust for potential Hawthorne Effects. If SUMs data is incomplete or missing, it must be omitted from the analysis.</w:t>
      </w:r>
    </w:p>
    <w:p w14:paraId="127E2CDC" w14:textId="77777777" w:rsidR="00620061" w:rsidRPr="00671DDB" w:rsidRDefault="00620061" w:rsidP="00620061">
      <w:pPr>
        <w:rPr>
          <w:rFonts w:cs="Arial"/>
          <w:szCs w:val="22"/>
        </w:rPr>
      </w:pPr>
    </w:p>
    <w:p w14:paraId="0D8BA680" w14:textId="77777777" w:rsidR="00620061" w:rsidRPr="00671DDB" w:rsidRDefault="00620061" w:rsidP="00620061">
      <w:pPr>
        <w:pStyle w:val="NormalWeb"/>
        <w:spacing w:before="0" w:beforeAutospacing="0" w:after="0" w:afterAutospacing="0"/>
        <w:rPr>
          <w:rFonts w:ascii="Arial" w:hAnsi="Arial" w:cs="Arial"/>
          <w:sz w:val="22"/>
          <w:szCs w:val="22"/>
        </w:rPr>
      </w:pPr>
      <w:r w:rsidRPr="00671DDB">
        <w:rPr>
          <w:rFonts w:ascii="Arial" w:hAnsi="Arial" w:cs="Arial"/>
          <w:b/>
          <w:bCs/>
          <w:color w:val="000000"/>
          <w:sz w:val="22"/>
          <w:szCs w:val="22"/>
        </w:rPr>
        <w:t>Additional requirements for the use of SUMs to characterize fuel-stove use proportions</w:t>
      </w:r>
    </w:p>
    <w:p w14:paraId="417F4747" w14:textId="77777777" w:rsidR="00620061" w:rsidRPr="00671DDB" w:rsidRDefault="00620061" w:rsidP="00620061">
      <w:pPr>
        <w:pStyle w:val="NormalWeb"/>
        <w:numPr>
          <w:ilvl w:val="0"/>
          <w:numId w:val="83"/>
        </w:numPr>
        <w:spacing w:before="0" w:beforeAutospacing="0" w:after="0" w:afterAutospacing="0"/>
        <w:textAlignment w:val="baseline"/>
        <w:rPr>
          <w:rFonts w:ascii="Arial" w:hAnsi="Arial" w:cs="Arial"/>
          <w:color w:val="000000"/>
          <w:sz w:val="22"/>
          <w:szCs w:val="22"/>
        </w:rPr>
      </w:pPr>
      <w:r w:rsidRPr="00671DDB">
        <w:rPr>
          <w:rFonts w:ascii="Arial" w:hAnsi="Arial" w:cs="Arial"/>
          <w:color w:val="000000"/>
          <w:sz w:val="22"/>
          <w:szCs w:val="22"/>
        </w:rPr>
        <w:t>If SUMs sampling is being used to characterize the primary fuel-stove combination usage for identification of a potential mismatch between the baseline and project scenario profiles (</w:t>
      </w:r>
      <m:oMath>
        <m:r>
          <w:rPr>
            <w:rFonts w:ascii="Cambria Math" w:eastAsia="Cambria Math" w:hAnsi="Cambria Math" w:cs="Arial"/>
            <w:sz w:val="22"/>
            <w:szCs w:val="22"/>
          </w:rPr>
          <m:t>PC</m:t>
        </m:r>
      </m:oMath>
      <w:r w:rsidRPr="00671DDB">
        <w:rPr>
          <w:rFonts w:ascii="Arial" w:eastAsia="Cambria Math" w:hAnsi="Arial" w:cs="Arial"/>
          <w:i/>
          <w:iCs/>
          <w:sz w:val="22"/>
          <w:szCs w:val="22"/>
          <w:vertAlign w:val="subscript"/>
        </w:rPr>
        <w:t>b,i</w:t>
      </w:r>
      <w:r w:rsidRPr="00671DDB">
        <w:rPr>
          <w:rFonts w:ascii="Arial" w:hAnsi="Arial" w:cs="Arial"/>
          <w:color w:val="000000"/>
          <w:sz w:val="22"/>
          <w:szCs w:val="22"/>
        </w:rPr>
        <w:t xml:space="preserve"> ) and (</w:t>
      </w:r>
      <m:oMath>
        <m:r>
          <w:rPr>
            <w:rFonts w:ascii="Cambria Math" w:eastAsia="Cambria Math" w:hAnsi="Cambria Math" w:cs="Arial"/>
            <w:sz w:val="22"/>
            <w:szCs w:val="22"/>
          </w:rPr>
          <m:t>PC</m:t>
        </m:r>
      </m:oMath>
      <w:r w:rsidRPr="00671DDB">
        <w:rPr>
          <w:rFonts w:ascii="Arial" w:eastAsia="Cambria Math" w:hAnsi="Arial" w:cs="Arial"/>
          <w:i/>
          <w:iCs/>
          <w:sz w:val="22"/>
          <w:szCs w:val="22"/>
          <w:vertAlign w:val="subscript"/>
        </w:rPr>
        <w:t>p,j</w:t>
      </w:r>
      <w:r w:rsidRPr="00671DDB">
        <w:rPr>
          <w:rFonts w:ascii="Arial" w:hAnsi="Arial" w:cs="Arial"/>
          <w:color w:val="000000"/>
          <w:sz w:val="22"/>
          <w:szCs w:val="22"/>
        </w:rPr>
        <w:t>), or for determination of proportion of cooking done on baseline cookstoves for back-calculating the baseline energy consumption (</w:t>
      </w:r>
      <m:oMath>
        <m:r>
          <w:rPr>
            <w:rFonts w:ascii="Cambria Math" w:hAnsi="Cambria Math" w:cs="Arial"/>
            <w:sz w:val="22"/>
            <w:szCs w:val="22"/>
          </w:rPr>
          <m:t>t</m:t>
        </m:r>
        <m:r>
          <w:rPr>
            <w:rFonts w:ascii="Cambria Math" w:eastAsia="Cambria Math" w:hAnsi="Cambria Math" w:cs="Arial"/>
            <w:sz w:val="22"/>
            <w:szCs w:val="22"/>
          </w:rPr>
          <m:t>PC</m:t>
        </m:r>
      </m:oMath>
      <w:r w:rsidRPr="00671DDB">
        <w:rPr>
          <w:rFonts w:ascii="Arial" w:eastAsia="Cambria Math" w:hAnsi="Arial" w:cs="Arial"/>
          <w:i/>
          <w:iCs/>
          <w:sz w:val="22"/>
          <w:szCs w:val="22"/>
          <w:vertAlign w:val="subscript"/>
        </w:rPr>
        <w:t>b,i</w:t>
      </w:r>
      <w:r w:rsidRPr="00671DDB">
        <w:rPr>
          <w:rFonts w:ascii="Arial" w:hAnsi="Arial" w:cs="Arial"/>
          <w:color w:val="000000"/>
          <w:sz w:val="22"/>
          <w:szCs w:val="22"/>
        </w:rPr>
        <w:t>), the following guidelines must be followed:</w:t>
      </w:r>
    </w:p>
    <w:p w14:paraId="4ADE5345" w14:textId="63AF95DE" w:rsidR="00620061" w:rsidRPr="00671DDB" w:rsidRDefault="00620061" w:rsidP="00620061">
      <w:pPr>
        <w:pStyle w:val="NormalWeb"/>
        <w:numPr>
          <w:ilvl w:val="1"/>
          <w:numId w:val="83"/>
        </w:numPr>
        <w:spacing w:before="0" w:beforeAutospacing="0" w:after="0" w:afterAutospacing="0"/>
        <w:textAlignment w:val="baseline"/>
        <w:rPr>
          <w:rFonts w:ascii="Arial" w:hAnsi="Arial" w:cs="Arial"/>
          <w:color w:val="000000"/>
          <w:sz w:val="22"/>
          <w:szCs w:val="22"/>
        </w:rPr>
      </w:pPr>
      <w:r w:rsidRPr="00671DDB">
        <w:rPr>
          <w:rFonts w:ascii="Arial" w:hAnsi="Arial" w:cs="Arial"/>
          <w:color w:val="000000"/>
          <w:sz w:val="22"/>
          <w:szCs w:val="22"/>
        </w:rPr>
        <w:t xml:space="preserve">The guidance in the above bullet points must be followed, including the sample size guidance in </w:t>
      </w:r>
      <w:hyperlink w:anchor="A10" w:history="1">
        <w:r w:rsidRPr="00671DDB">
          <w:rPr>
            <w:rStyle w:val="Hyperlink"/>
            <w:rFonts w:ascii="Arial" w:hAnsi="Arial" w:cs="Arial"/>
            <w:sz w:val="22"/>
            <w:szCs w:val="22"/>
          </w:rPr>
          <w:t>Appendix 10</w:t>
        </w:r>
      </w:hyperlink>
    </w:p>
    <w:p w14:paraId="4E2D6E29" w14:textId="77777777" w:rsidR="00620061" w:rsidRPr="00216F75" w:rsidRDefault="00620061" w:rsidP="00620061">
      <w:pPr>
        <w:pStyle w:val="NormalWeb"/>
        <w:numPr>
          <w:ilvl w:val="1"/>
          <w:numId w:val="83"/>
        </w:numPr>
        <w:spacing w:before="0" w:beforeAutospacing="0" w:after="0" w:afterAutospacing="0"/>
        <w:textAlignment w:val="baseline"/>
        <w:rPr>
          <w:rFonts w:ascii="Arial" w:hAnsi="Arial" w:cs="Arial"/>
          <w:color w:val="000000"/>
          <w:sz w:val="22"/>
          <w:szCs w:val="22"/>
        </w:rPr>
      </w:pPr>
      <w:r w:rsidRPr="00216F75">
        <w:rPr>
          <w:rFonts w:ascii="Arial" w:hAnsi="Arial" w:cs="Arial"/>
          <w:color w:val="000000"/>
          <w:sz w:val="22"/>
          <w:szCs w:val="22"/>
        </w:rPr>
        <w:t xml:space="preserve">SUMs must be placed on all cookstove-fuel combinations (in each household) that are to be included in the baseline. </w:t>
      </w:r>
    </w:p>
    <w:p w14:paraId="3FE7EA8B" w14:textId="77777777" w:rsidR="00620061" w:rsidRPr="00216F75" w:rsidRDefault="00620061" w:rsidP="00620061">
      <w:pPr>
        <w:pStyle w:val="NormalWeb"/>
        <w:spacing w:before="0" w:beforeAutospacing="0" w:after="0" w:afterAutospacing="0"/>
        <w:textAlignment w:val="baseline"/>
        <w:rPr>
          <w:rFonts w:ascii="Arial" w:hAnsi="Arial" w:cs="Arial"/>
          <w:color w:val="000000"/>
          <w:sz w:val="22"/>
          <w:szCs w:val="22"/>
        </w:rPr>
      </w:pPr>
    </w:p>
    <w:p w14:paraId="3F1DB38F" w14:textId="77777777" w:rsidR="00620061" w:rsidRPr="00216F75" w:rsidRDefault="00620061" w:rsidP="00620061">
      <w:pPr>
        <w:pStyle w:val="NormalWeb"/>
        <w:spacing w:before="0" w:beforeAutospacing="0" w:after="0" w:afterAutospacing="0"/>
        <w:rPr>
          <w:rFonts w:ascii="Arial" w:hAnsi="Arial" w:cs="Arial"/>
          <w:sz w:val="22"/>
          <w:szCs w:val="22"/>
        </w:rPr>
      </w:pPr>
      <w:r w:rsidRPr="00216F75">
        <w:rPr>
          <w:rFonts w:ascii="Arial" w:hAnsi="Arial" w:cs="Arial"/>
          <w:b/>
          <w:bCs/>
          <w:color w:val="000000"/>
          <w:sz w:val="22"/>
          <w:szCs w:val="22"/>
        </w:rPr>
        <w:t>Best practice guidance for using SUMs</w:t>
      </w:r>
    </w:p>
    <w:p w14:paraId="717E3F5A" w14:textId="77777777" w:rsidR="00620061" w:rsidRPr="00216F75" w:rsidRDefault="00620061" w:rsidP="00620061">
      <w:pPr>
        <w:pStyle w:val="NormalWeb"/>
        <w:spacing w:before="0" w:beforeAutospacing="0" w:after="40" w:afterAutospacing="0"/>
        <w:ind w:right="780"/>
        <w:rPr>
          <w:rFonts w:ascii="Arial" w:hAnsi="Arial" w:cs="Arial"/>
          <w:color w:val="000000"/>
          <w:sz w:val="22"/>
          <w:szCs w:val="22"/>
          <w:u w:val="single"/>
        </w:rPr>
      </w:pPr>
      <w:r w:rsidRPr="00216F75">
        <w:rPr>
          <w:rFonts w:ascii="Arial" w:hAnsi="Arial" w:cs="Arial"/>
          <w:color w:val="000000"/>
          <w:sz w:val="22"/>
          <w:szCs w:val="22"/>
          <w:u w:val="single"/>
        </w:rPr>
        <w:t>Installation</w:t>
      </w:r>
    </w:p>
    <w:p w14:paraId="135147B3" w14:textId="77777777" w:rsidR="00620061" w:rsidRPr="00216F75" w:rsidRDefault="00620061" w:rsidP="00620061">
      <w:pPr>
        <w:pStyle w:val="NormalWeb"/>
        <w:spacing w:before="0" w:beforeAutospacing="0" w:after="40" w:afterAutospacing="0"/>
        <w:ind w:right="780"/>
        <w:rPr>
          <w:rFonts w:ascii="Arial" w:hAnsi="Arial" w:cs="Arial"/>
          <w:sz w:val="22"/>
          <w:szCs w:val="22"/>
        </w:rPr>
      </w:pPr>
      <w:r w:rsidRPr="00216F75">
        <w:rPr>
          <w:rFonts w:ascii="Arial" w:hAnsi="Arial" w:cs="Arial"/>
          <w:color w:val="000000"/>
          <w:sz w:val="22"/>
          <w:szCs w:val="22"/>
        </w:rPr>
        <w:t>Project proponents should follow manufacturer installation requirements (if provided) for the SUMs instrumentation being used. Unless specifically indicated otherwise, placement of the device should generally follow these key guidelines.</w:t>
      </w:r>
    </w:p>
    <w:p w14:paraId="30385600" w14:textId="77777777" w:rsidR="00620061" w:rsidRPr="00216F75" w:rsidRDefault="00620061" w:rsidP="00620061">
      <w:pPr>
        <w:pStyle w:val="NormalWeb"/>
        <w:numPr>
          <w:ilvl w:val="0"/>
          <w:numId w:val="84"/>
        </w:numPr>
        <w:spacing w:before="0" w:beforeAutospacing="0" w:after="0" w:afterAutospacing="0"/>
        <w:ind w:right="780"/>
        <w:textAlignment w:val="baseline"/>
        <w:rPr>
          <w:rFonts w:ascii="Arial" w:hAnsi="Arial" w:cs="Arial"/>
          <w:color w:val="000000"/>
          <w:sz w:val="22"/>
          <w:szCs w:val="22"/>
        </w:rPr>
      </w:pPr>
      <w:r w:rsidRPr="00216F75">
        <w:rPr>
          <w:rFonts w:ascii="Arial" w:hAnsi="Arial" w:cs="Arial"/>
          <w:color w:val="000000"/>
          <w:sz w:val="22"/>
          <w:szCs w:val="22"/>
        </w:rPr>
        <w:t>The project cookstoves’ temperature profiles during cooking events should be analyzed before the field campaign to determine optimal placement.</w:t>
      </w:r>
    </w:p>
    <w:p w14:paraId="7C480BC6" w14:textId="77777777" w:rsidR="00620061" w:rsidRPr="00216F75" w:rsidRDefault="00620061" w:rsidP="00620061">
      <w:pPr>
        <w:pStyle w:val="NormalWeb"/>
        <w:numPr>
          <w:ilvl w:val="0"/>
          <w:numId w:val="84"/>
        </w:numPr>
        <w:spacing w:before="0" w:beforeAutospacing="0" w:after="0" w:afterAutospacing="0"/>
        <w:ind w:right="780"/>
        <w:textAlignment w:val="baseline"/>
        <w:rPr>
          <w:rFonts w:ascii="Arial" w:hAnsi="Arial" w:cs="Arial"/>
          <w:color w:val="000000"/>
          <w:sz w:val="22"/>
          <w:szCs w:val="22"/>
        </w:rPr>
      </w:pPr>
      <w:r w:rsidRPr="00216F75">
        <w:rPr>
          <w:rFonts w:ascii="Arial" w:hAnsi="Arial" w:cs="Arial"/>
          <w:color w:val="000000"/>
          <w:sz w:val="22"/>
          <w:szCs w:val="22"/>
        </w:rPr>
        <w:t>Temperature sensors and loggers should not be placed in a location where temperatures exceed their maximum operating/sensing temperature specifications.</w:t>
      </w:r>
    </w:p>
    <w:p w14:paraId="72F89999" w14:textId="77777777" w:rsidR="00620061" w:rsidRPr="00216F75" w:rsidRDefault="00620061" w:rsidP="00620061">
      <w:pPr>
        <w:pStyle w:val="NormalWeb"/>
        <w:numPr>
          <w:ilvl w:val="0"/>
          <w:numId w:val="84"/>
        </w:numPr>
        <w:spacing w:before="0" w:beforeAutospacing="0" w:after="0" w:afterAutospacing="0"/>
        <w:ind w:right="780"/>
        <w:textAlignment w:val="baseline"/>
        <w:rPr>
          <w:rFonts w:ascii="Arial" w:hAnsi="Arial" w:cs="Arial"/>
          <w:color w:val="000000"/>
          <w:sz w:val="22"/>
          <w:szCs w:val="22"/>
        </w:rPr>
      </w:pPr>
      <w:r w:rsidRPr="00216F75">
        <w:rPr>
          <w:rFonts w:ascii="Arial" w:hAnsi="Arial" w:cs="Arial"/>
          <w:color w:val="000000"/>
          <w:sz w:val="22"/>
          <w:szCs w:val="22"/>
        </w:rPr>
        <w:t>Sensor placements should provide a maximum temperature differential between ambient and cookstove temperature (without exceeding maximum operating temperature for the sensor).</w:t>
      </w:r>
    </w:p>
    <w:p w14:paraId="4629675C" w14:textId="77777777" w:rsidR="00620061" w:rsidRPr="00216F75" w:rsidRDefault="00620061" w:rsidP="00620061">
      <w:pPr>
        <w:pStyle w:val="NormalWeb"/>
        <w:numPr>
          <w:ilvl w:val="0"/>
          <w:numId w:val="84"/>
        </w:numPr>
        <w:spacing w:before="0" w:beforeAutospacing="0" w:after="0" w:afterAutospacing="0"/>
        <w:ind w:right="780"/>
        <w:textAlignment w:val="baseline"/>
        <w:rPr>
          <w:rFonts w:ascii="Arial" w:hAnsi="Arial" w:cs="Arial"/>
          <w:color w:val="000000"/>
          <w:sz w:val="22"/>
          <w:szCs w:val="22"/>
        </w:rPr>
      </w:pPr>
      <w:r w:rsidRPr="00216F75">
        <w:rPr>
          <w:rFonts w:ascii="Arial" w:hAnsi="Arial" w:cs="Arial"/>
          <w:color w:val="000000"/>
          <w:sz w:val="22"/>
          <w:szCs w:val="22"/>
        </w:rPr>
        <w:t xml:space="preserve">When possible, cookstoves and sensing units (e.g., thermocouple leads) should be kept out of direct sunlight to reduce sensors </w:t>
      </w:r>
      <w:proofErr w:type="gramStart"/>
      <w:r w:rsidRPr="00216F75">
        <w:rPr>
          <w:rFonts w:ascii="Arial" w:hAnsi="Arial" w:cs="Arial"/>
          <w:color w:val="000000"/>
          <w:sz w:val="22"/>
          <w:szCs w:val="22"/>
        </w:rPr>
        <w:t>logging</w:t>
      </w:r>
      <w:proofErr w:type="gramEnd"/>
      <w:r w:rsidRPr="00216F75">
        <w:rPr>
          <w:rFonts w:ascii="Arial" w:hAnsi="Arial" w:cs="Arial"/>
          <w:color w:val="000000"/>
          <w:sz w:val="22"/>
          <w:szCs w:val="22"/>
        </w:rPr>
        <w:t xml:space="preserve"> the radiant heat of the sun, which can be confounded with cooking.</w:t>
      </w:r>
    </w:p>
    <w:p w14:paraId="3D6F1A1A" w14:textId="77777777" w:rsidR="00620061" w:rsidRPr="00216F75" w:rsidRDefault="00620061" w:rsidP="00620061">
      <w:pPr>
        <w:pStyle w:val="NormalWeb"/>
        <w:numPr>
          <w:ilvl w:val="0"/>
          <w:numId w:val="84"/>
        </w:numPr>
        <w:spacing w:before="0" w:beforeAutospacing="0" w:after="0" w:afterAutospacing="0"/>
        <w:ind w:right="780"/>
        <w:textAlignment w:val="baseline"/>
        <w:rPr>
          <w:rFonts w:ascii="Arial" w:hAnsi="Arial" w:cs="Arial"/>
          <w:color w:val="000000"/>
          <w:sz w:val="22"/>
          <w:szCs w:val="22"/>
        </w:rPr>
      </w:pPr>
      <w:r w:rsidRPr="00216F75">
        <w:rPr>
          <w:rFonts w:ascii="Arial" w:hAnsi="Arial" w:cs="Arial"/>
          <w:color w:val="000000"/>
          <w:sz w:val="22"/>
          <w:szCs w:val="22"/>
        </w:rPr>
        <w:t>Sensor placement must be standardized as much as possible across the sample. </w:t>
      </w:r>
    </w:p>
    <w:p w14:paraId="6A491D93" w14:textId="77777777" w:rsidR="00620061" w:rsidRPr="00216F75" w:rsidRDefault="00620061" w:rsidP="00620061">
      <w:pPr>
        <w:pStyle w:val="NormalWeb"/>
        <w:numPr>
          <w:ilvl w:val="0"/>
          <w:numId w:val="84"/>
        </w:numPr>
        <w:spacing w:before="0" w:beforeAutospacing="0" w:after="0" w:afterAutospacing="0"/>
        <w:ind w:right="780"/>
        <w:textAlignment w:val="baseline"/>
        <w:rPr>
          <w:rFonts w:ascii="Arial" w:hAnsi="Arial" w:cs="Arial"/>
          <w:color w:val="000000"/>
          <w:sz w:val="22"/>
          <w:szCs w:val="22"/>
        </w:rPr>
      </w:pPr>
      <w:r w:rsidRPr="00216F75">
        <w:rPr>
          <w:rFonts w:ascii="Arial" w:hAnsi="Arial" w:cs="Arial"/>
          <w:color w:val="000000"/>
          <w:sz w:val="22"/>
          <w:szCs w:val="22"/>
        </w:rPr>
        <w:t>Sensor placement should not get in the way of the pot, or obstruct or interrupt the cooking, or be located where liquids are likely to collect or boil over.</w:t>
      </w:r>
    </w:p>
    <w:p w14:paraId="12009135" w14:textId="77777777" w:rsidR="00620061" w:rsidRPr="00216F75" w:rsidRDefault="00620061" w:rsidP="00620061">
      <w:pPr>
        <w:pStyle w:val="NormalWeb"/>
        <w:numPr>
          <w:ilvl w:val="0"/>
          <w:numId w:val="84"/>
        </w:numPr>
        <w:spacing w:before="0" w:beforeAutospacing="0" w:after="40" w:afterAutospacing="0"/>
        <w:ind w:right="780"/>
        <w:textAlignment w:val="baseline"/>
        <w:rPr>
          <w:rFonts w:ascii="Arial" w:hAnsi="Arial" w:cs="Arial"/>
          <w:color w:val="000000"/>
          <w:sz w:val="22"/>
          <w:szCs w:val="22"/>
        </w:rPr>
      </w:pPr>
      <w:r w:rsidRPr="00216F75">
        <w:rPr>
          <w:rFonts w:ascii="Arial" w:hAnsi="Arial" w:cs="Arial"/>
          <w:color w:val="000000"/>
          <w:sz w:val="22"/>
          <w:szCs w:val="22"/>
        </w:rPr>
        <w:t xml:space="preserve">Sensor placement should not interfere with participants’ normal activities. Placement should also minimize </w:t>
      </w:r>
      <w:proofErr w:type="gramStart"/>
      <w:r w:rsidRPr="00216F75">
        <w:rPr>
          <w:rFonts w:ascii="Arial" w:hAnsi="Arial" w:cs="Arial"/>
          <w:color w:val="000000"/>
          <w:sz w:val="22"/>
          <w:szCs w:val="22"/>
        </w:rPr>
        <w:t>risk</w:t>
      </w:r>
      <w:proofErr w:type="gramEnd"/>
      <w:r w:rsidRPr="00216F75">
        <w:rPr>
          <w:rFonts w:ascii="Arial" w:hAnsi="Arial" w:cs="Arial"/>
          <w:color w:val="000000"/>
          <w:sz w:val="22"/>
          <w:szCs w:val="22"/>
        </w:rPr>
        <w:t xml:space="preserve"> of the sensor being accessed, moved, and/or damaged by participants, other people, or common household features, such as water, insects, or animals. </w:t>
      </w:r>
    </w:p>
    <w:p w14:paraId="3ACF5AF2" w14:textId="77777777" w:rsidR="00620061" w:rsidRPr="00216F75" w:rsidRDefault="00620061" w:rsidP="00620061">
      <w:pPr>
        <w:pStyle w:val="NormalWeb"/>
        <w:numPr>
          <w:ilvl w:val="0"/>
          <w:numId w:val="84"/>
        </w:numPr>
        <w:spacing w:before="0" w:beforeAutospacing="0" w:after="40" w:afterAutospacing="0"/>
        <w:ind w:right="780"/>
        <w:textAlignment w:val="baseline"/>
        <w:rPr>
          <w:rFonts w:ascii="Arial" w:hAnsi="Arial" w:cs="Arial"/>
          <w:color w:val="000000"/>
          <w:sz w:val="22"/>
          <w:szCs w:val="22"/>
        </w:rPr>
      </w:pPr>
      <w:r w:rsidRPr="00216F75">
        <w:rPr>
          <w:rFonts w:ascii="Arial" w:hAnsi="Arial" w:cs="Arial"/>
          <w:color w:val="000000"/>
          <w:sz w:val="22"/>
          <w:szCs w:val="22"/>
        </w:rPr>
        <w:t>Project proponents should explain to household members that the SUMs are for measuring temperature and should not be tampered with. Household members should not press buttons, move parts, or disconnect or connect the sensors to computers or power.</w:t>
      </w:r>
    </w:p>
    <w:p w14:paraId="3FE0D4B3" w14:textId="77777777" w:rsidR="00620061" w:rsidRPr="00216F75" w:rsidRDefault="00620061" w:rsidP="00620061">
      <w:pPr>
        <w:pStyle w:val="NormalWeb"/>
        <w:spacing w:before="0" w:beforeAutospacing="0" w:after="40" w:afterAutospacing="0"/>
        <w:ind w:right="780"/>
        <w:textAlignment w:val="baseline"/>
        <w:rPr>
          <w:rFonts w:ascii="Arial" w:hAnsi="Arial" w:cs="Arial"/>
          <w:color w:val="000000"/>
          <w:sz w:val="22"/>
          <w:szCs w:val="22"/>
        </w:rPr>
      </w:pPr>
    </w:p>
    <w:p w14:paraId="2F4CA840" w14:textId="77777777" w:rsidR="00620061" w:rsidRPr="00216F75" w:rsidRDefault="00620061" w:rsidP="00620061">
      <w:pPr>
        <w:pStyle w:val="NormalWeb"/>
        <w:spacing w:before="0" w:beforeAutospacing="0" w:after="40" w:afterAutospacing="0"/>
        <w:ind w:right="780"/>
        <w:rPr>
          <w:rFonts w:ascii="Arial" w:hAnsi="Arial" w:cs="Arial"/>
          <w:color w:val="000000"/>
          <w:sz w:val="22"/>
          <w:szCs w:val="22"/>
          <w:u w:val="single"/>
        </w:rPr>
      </w:pPr>
      <w:r w:rsidRPr="00216F75">
        <w:rPr>
          <w:rFonts w:ascii="Arial" w:hAnsi="Arial" w:cs="Arial"/>
          <w:color w:val="000000"/>
          <w:sz w:val="22"/>
          <w:szCs w:val="22"/>
          <w:u w:val="single"/>
        </w:rPr>
        <w:t>Cookstove temperature analysis</w:t>
      </w:r>
    </w:p>
    <w:p w14:paraId="2ADF7532" w14:textId="77777777" w:rsidR="00620061" w:rsidRPr="00216F75" w:rsidRDefault="00620061" w:rsidP="00620061">
      <w:pPr>
        <w:pStyle w:val="NormalWeb"/>
        <w:spacing w:before="0" w:beforeAutospacing="0" w:after="40" w:afterAutospacing="0"/>
        <w:ind w:right="780"/>
        <w:rPr>
          <w:rFonts w:ascii="Arial" w:hAnsi="Arial" w:cs="Arial"/>
          <w:sz w:val="22"/>
          <w:szCs w:val="22"/>
        </w:rPr>
      </w:pPr>
      <w:r w:rsidRPr="00216F75">
        <w:rPr>
          <w:rFonts w:ascii="Arial" w:hAnsi="Arial" w:cs="Arial"/>
          <w:color w:val="000000"/>
          <w:sz w:val="22"/>
          <w:szCs w:val="22"/>
        </w:rPr>
        <w:t>Project proponents should follow manufacturer guidelines for data analysis</w:t>
      </w:r>
      <w:r w:rsidRPr="00216F75">
        <w:rPr>
          <w:rStyle w:val="FootnoteReference"/>
          <w:rFonts w:ascii="Arial" w:hAnsi="Arial" w:cs="Arial"/>
          <w:color w:val="000000"/>
          <w:sz w:val="22"/>
          <w:szCs w:val="22"/>
        </w:rPr>
        <w:footnoteReference w:id="19"/>
      </w:r>
      <w:r w:rsidRPr="00216F75">
        <w:rPr>
          <w:rFonts w:ascii="Arial" w:hAnsi="Arial" w:cs="Arial"/>
          <w:color w:val="000000"/>
          <w:sz w:val="22"/>
          <w:szCs w:val="22"/>
        </w:rPr>
        <w:t xml:space="preserve"> where available. Unless specifically indicated otherwise, analysis should generally follow these key guidelines.</w:t>
      </w:r>
    </w:p>
    <w:p w14:paraId="599FBFC0" w14:textId="77777777" w:rsidR="00620061" w:rsidRPr="00216F75" w:rsidRDefault="00620061" w:rsidP="00620061">
      <w:pPr>
        <w:pStyle w:val="NormalWeb"/>
        <w:numPr>
          <w:ilvl w:val="0"/>
          <w:numId w:val="85"/>
        </w:numPr>
        <w:spacing w:before="0" w:beforeAutospacing="0" w:after="0" w:afterAutospacing="0"/>
        <w:ind w:right="780"/>
        <w:textAlignment w:val="baseline"/>
        <w:rPr>
          <w:rFonts w:ascii="Arial" w:hAnsi="Arial" w:cs="Arial"/>
          <w:color w:val="000000"/>
          <w:sz w:val="22"/>
          <w:szCs w:val="22"/>
        </w:rPr>
      </w:pPr>
      <w:r w:rsidRPr="00216F75">
        <w:rPr>
          <w:rFonts w:ascii="Arial" w:hAnsi="Arial" w:cs="Arial"/>
          <w:color w:val="000000"/>
          <w:sz w:val="22"/>
          <w:szCs w:val="22"/>
        </w:rPr>
        <w:t> Subtracting ambient temperature generally improves the ability to resolve a temperature response during cookstove events from normal diurnal and seasonal temperature variation.  </w:t>
      </w:r>
    </w:p>
    <w:p w14:paraId="608C189E" w14:textId="77777777" w:rsidR="00620061" w:rsidRPr="00216F75" w:rsidRDefault="00620061" w:rsidP="00620061">
      <w:pPr>
        <w:pStyle w:val="NormalWeb"/>
        <w:numPr>
          <w:ilvl w:val="0"/>
          <w:numId w:val="85"/>
        </w:numPr>
        <w:spacing w:before="0" w:beforeAutospacing="0" w:after="0" w:afterAutospacing="0"/>
        <w:ind w:right="780"/>
        <w:textAlignment w:val="baseline"/>
        <w:rPr>
          <w:rFonts w:ascii="Arial" w:hAnsi="Arial" w:cs="Arial"/>
          <w:color w:val="000000"/>
          <w:sz w:val="22"/>
          <w:szCs w:val="22"/>
        </w:rPr>
      </w:pPr>
      <w:r w:rsidRPr="00216F75">
        <w:rPr>
          <w:rFonts w:ascii="Arial" w:hAnsi="Arial" w:cs="Arial"/>
          <w:color w:val="000000"/>
          <w:sz w:val="22"/>
          <w:szCs w:val="22"/>
        </w:rPr>
        <w:t>Perform validation or sense checks on the algorithms used to determine cookstove use. These can include:</w:t>
      </w:r>
    </w:p>
    <w:p w14:paraId="79994681" w14:textId="77777777" w:rsidR="00620061" w:rsidRPr="00216F75" w:rsidRDefault="00620061" w:rsidP="00620061">
      <w:pPr>
        <w:pStyle w:val="NormalWeb"/>
        <w:numPr>
          <w:ilvl w:val="1"/>
          <w:numId w:val="85"/>
        </w:numPr>
        <w:spacing w:before="0" w:beforeAutospacing="0" w:after="0" w:afterAutospacing="0"/>
        <w:ind w:right="780"/>
        <w:textAlignment w:val="baseline"/>
        <w:rPr>
          <w:rFonts w:ascii="Arial" w:hAnsi="Arial" w:cs="Arial"/>
          <w:color w:val="000000"/>
          <w:sz w:val="22"/>
          <w:szCs w:val="22"/>
        </w:rPr>
      </w:pPr>
      <w:r w:rsidRPr="00216F75">
        <w:rPr>
          <w:rFonts w:ascii="Arial" w:hAnsi="Arial" w:cs="Arial"/>
          <w:color w:val="000000"/>
          <w:sz w:val="22"/>
          <w:szCs w:val="22"/>
        </w:rPr>
        <w:t>Having a person with expertise manually inspect at least a subset of analyzed files to check that the algorithm is determining apparent cooking events as intended.</w:t>
      </w:r>
    </w:p>
    <w:p w14:paraId="0832AC4B" w14:textId="77777777" w:rsidR="00620061" w:rsidRPr="00216F75" w:rsidRDefault="00620061" w:rsidP="00620061">
      <w:pPr>
        <w:pStyle w:val="NormalWeb"/>
        <w:numPr>
          <w:ilvl w:val="1"/>
          <w:numId w:val="85"/>
        </w:numPr>
        <w:spacing w:before="0" w:beforeAutospacing="0" w:after="40" w:afterAutospacing="0"/>
        <w:ind w:right="780"/>
        <w:textAlignment w:val="baseline"/>
        <w:rPr>
          <w:rFonts w:ascii="Arial" w:hAnsi="Arial" w:cs="Arial"/>
          <w:color w:val="000000"/>
          <w:sz w:val="22"/>
          <w:szCs w:val="22"/>
        </w:rPr>
      </w:pPr>
      <w:r w:rsidRPr="00216F75">
        <w:rPr>
          <w:rFonts w:ascii="Arial" w:hAnsi="Arial" w:cs="Arial"/>
          <w:color w:val="000000"/>
          <w:sz w:val="22"/>
          <w:szCs w:val="22"/>
        </w:rPr>
        <w:t>Cross-referencing observational data on cooking events with the analyzed data.</w:t>
      </w:r>
    </w:p>
    <w:p w14:paraId="1B085C3D" w14:textId="77777777" w:rsidR="00620061" w:rsidRPr="00216F75" w:rsidRDefault="00620061" w:rsidP="00620061">
      <w:pPr>
        <w:pStyle w:val="NormalWeb"/>
        <w:numPr>
          <w:ilvl w:val="1"/>
          <w:numId w:val="85"/>
        </w:numPr>
        <w:spacing w:before="0" w:beforeAutospacing="0" w:after="40" w:afterAutospacing="0"/>
        <w:ind w:right="780"/>
        <w:textAlignment w:val="baseline"/>
        <w:rPr>
          <w:rFonts w:ascii="Arial" w:hAnsi="Arial" w:cs="Arial"/>
          <w:color w:val="000000"/>
          <w:sz w:val="22"/>
          <w:szCs w:val="22"/>
        </w:rPr>
      </w:pPr>
      <w:r w:rsidRPr="00216F75">
        <w:rPr>
          <w:rFonts w:ascii="Arial" w:hAnsi="Arial" w:cs="Arial"/>
          <w:color w:val="000000" w:themeColor="text1"/>
          <w:sz w:val="22"/>
          <w:szCs w:val="22"/>
        </w:rPr>
        <w:t>Using common sense checks with what is generally known about cooking behaviors in the region. For example, if only one cooking event per week is being estimated when it’s known that people are using several kg of fuel every day, the placement or algorithm are not working properly.</w:t>
      </w:r>
    </w:p>
    <w:p w14:paraId="2AC76355" w14:textId="77777777" w:rsidR="00620061" w:rsidRPr="00216F75" w:rsidRDefault="00620061" w:rsidP="00620061">
      <w:pPr>
        <w:pStyle w:val="Heading3"/>
        <w:spacing w:before="281" w:after="281"/>
        <w:ind w:left="0" w:firstLine="0"/>
        <w:textAlignment w:val="baseline"/>
        <w:rPr>
          <w:rFonts w:ascii="Arial" w:hAnsi="Arial" w:cs="Arial"/>
          <w:b w:val="0"/>
          <w:bCs w:val="0"/>
          <w:color w:val="000000" w:themeColor="text1"/>
          <w:sz w:val="22"/>
          <w:szCs w:val="22"/>
        </w:rPr>
      </w:pPr>
      <w:r w:rsidRPr="00216F75">
        <w:rPr>
          <w:rFonts w:ascii="Arial" w:eastAsia="Times New Roman" w:hAnsi="Arial" w:cs="Arial"/>
          <w:color w:val="000000" w:themeColor="text1"/>
          <w:sz w:val="22"/>
          <w:szCs w:val="22"/>
        </w:rPr>
        <w:t>Public presentation of stove use algorithms</w:t>
      </w:r>
    </w:p>
    <w:p w14:paraId="3E3A7F2F" w14:textId="77777777" w:rsidR="00620061" w:rsidRPr="00216F75" w:rsidRDefault="00620061" w:rsidP="00620061">
      <w:pPr>
        <w:spacing w:before="240" w:after="240"/>
        <w:textAlignment w:val="baseline"/>
        <w:rPr>
          <w:rFonts w:eastAsia="Montserrat" w:cs="Arial"/>
          <w:szCs w:val="22"/>
        </w:rPr>
      </w:pPr>
      <w:r w:rsidRPr="00216F75">
        <w:rPr>
          <w:rFonts w:eastAsia="Montserrat" w:cs="Arial"/>
          <w:szCs w:val="22"/>
        </w:rPr>
        <w:t>To support transparency and reproducibility in stove use monitoring, all algorithms used to convert raw SUM data into cooking events must be publicly available, following the requirements below.</w:t>
      </w:r>
    </w:p>
    <w:p w14:paraId="652DF69A" w14:textId="77777777" w:rsidR="00620061" w:rsidRPr="00216F75" w:rsidRDefault="00620061" w:rsidP="00620061">
      <w:pPr>
        <w:spacing w:before="240" w:after="240"/>
        <w:textAlignment w:val="baseline"/>
        <w:rPr>
          <w:rFonts w:eastAsia="Montserrat" w:cs="Arial"/>
          <w:szCs w:val="22"/>
        </w:rPr>
      </w:pPr>
      <w:r w:rsidRPr="00216F75">
        <w:rPr>
          <w:rFonts w:eastAsia="Montserrat" w:cs="Arial"/>
          <w:b/>
          <w:bCs/>
          <w:szCs w:val="22"/>
        </w:rPr>
        <w:t>1. Algorithm logic description.</w:t>
      </w:r>
      <w:r w:rsidRPr="00216F75">
        <w:rPr>
          <w:rFonts w:eastAsia="Montserrat" w:cs="Arial"/>
          <w:szCs w:val="22"/>
        </w:rPr>
        <w:t xml:space="preserve"> Provide a clear explanation of how the algorithm detects cooking events, including:</w:t>
      </w:r>
    </w:p>
    <w:p w14:paraId="2F5A6B8E" w14:textId="77777777" w:rsidR="00620061" w:rsidRPr="00216F75" w:rsidRDefault="00620061" w:rsidP="00620061">
      <w:pPr>
        <w:pStyle w:val="ListParagraph"/>
        <w:numPr>
          <w:ilvl w:val="0"/>
          <w:numId w:val="54"/>
        </w:numPr>
        <w:spacing w:before="240" w:after="240"/>
        <w:jc w:val="left"/>
        <w:textAlignment w:val="baseline"/>
        <w:rPr>
          <w:rFonts w:eastAsia="Montserrat" w:cs="Arial"/>
          <w:szCs w:val="22"/>
        </w:rPr>
      </w:pPr>
      <w:r w:rsidRPr="00216F75">
        <w:rPr>
          <w:rFonts w:eastAsia="Montserrat" w:cs="Arial"/>
          <w:szCs w:val="22"/>
        </w:rPr>
        <w:t>Physical parameter(s) monitored (e.g., temperature, power)</w:t>
      </w:r>
    </w:p>
    <w:p w14:paraId="3ADCF8DC" w14:textId="77777777" w:rsidR="00620061" w:rsidRPr="00216F75" w:rsidRDefault="00620061" w:rsidP="00620061">
      <w:pPr>
        <w:pStyle w:val="ListParagraph"/>
        <w:numPr>
          <w:ilvl w:val="0"/>
          <w:numId w:val="54"/>
        </w:numPr>
        <w:spacing w:before="240" w:after="240"/>
        <w:jc w:val="left"/>
        <w:textAlignment w:val="baseline"/>
        <w:rPr>
          <w:rFonts w:eastAsia="Montserrat" w:cs="Arial"/>
          <w:szCs w:val="22"/>
        </w:rPr>
      </w:pPr>
      <w:r w:rsidRPr="00216F75">
        <w:rPr>
          <w:rFonts w:eastAsia="Montserrat" w:cs="Arial"/>
          <w:szCs w:val="22"/>
        </w:rPr>
        <w:t>Logic for identifying events (e.g., threshold crossings, sustained changes)</w:t>
      </w:r>
    </w:p>
    <w:p w14:paraId="4A43D455" w14:textId="1E89A04D" w:rsidR="00620061" w:rsidRPr="00216F75" w:rsidRDefault="00620061" w:rsidP="00620061">
      <w:pPr>
        <w:pStyle w:val="ListParagraph"/>
        <w:numPr>
          <w:ilvl w:val="0"/>
          <w:numId w:val="54"/>
        </w:numPr>
        <w:spacing w:before="240" w:after="240"/>
        <w:jc w:val="left"/>
        <w:textAlignment w:val="baseline"/>
        <w:rPr>
          <w:rFonts w:eastAsia="Montserrat" w:cs="Arial"/>
          <w:szCs w:val="22"/>
        </w:rPr>
      </w:pPr>
      <w:r w:rsidRPr="00216F75">
        <w:rPr>
          <w:rFonts w:eastAsia="Montserrat" w:cs="Arial"/>
          <w:szCs w:val="22"/>
        </w:rPr>
        <w:t>Pre</w:t>
      </w:r>
      <w:r w:rsidR="00491755">
        <w:rPr>
          <w:rFonts w:eastAsia="Montserrat" w:cs="Arial"/>
          <w:szCs w:val="22"/>
        </w:rPr>
        <w:t>-</w:t>
      </w:r>
      <w:r w:rsidRPr="00216F75">
        <w:rPr>
          <w:rFonts w:eastAsia="Montserrat" w:cs="Arial"/>
          <w:szCs w:val="22"/>
        </w:rPr>
        <w:t>processing steps (e.g., filtering, smoothing)</w:t>
      </w:r>
    </w:p>
    <w:p w14:paraId="27359480" w14:textId="77777777" w:rsidR="00620061" w:rsidRPr="00216F75" w:rsidRDefault="00620061" w:rsidP="00620061">
      <w:pPr>
        <w:pStyle w:val="ListParagraph"/>
        <w:numPr>
          <w:ilvl w:val="0"/>
          <w:numId w:val="54"/>
        </w:numPr>
        <w:spacing w:before="240" w:after="240"/>
        <w:jc w:val="left"/>
        <w:textAlignment w:val="baseline"/>
        <w:rPr>
          <w:rFonts w:eastAsia="Montserrat" w:cs="Arial"/>
          <w:szCs w:val="22"/>
        </w:rPr>
      </w:pPr>
      <w:r w:rsidRPr="00216F75">
        <w:rPr>
          <w:rFonts w:eastAsia="Montserrat" w:cs="Arial"/>
          <w:szCs w:val="22"/>
        </w:rPr>
        <w:t>Contextual adjustments (e.g., ambient corrections, diurnal patterns)</w:t>
      </w:r>
    </w:p>
    <w:p w14:paraId="4D8EC140" w14:textId="77777777" w:rsidR="00620061" w:rsidRPr="00216F75" w:rsidRDefault="00620061" w:rsidP="00620061">
      <w:pPr>
        <w:spacing w:before="240" w:after="240"/>
        <w:textAlignment w:val="baseline"/>
        <w:rPr>
          <w:rFonts w:eastAsia="Montserrat" w:cs="Arial"/>
          <w:szCs w:val="22"/>
        </w:rPr>
      </w:pPr>
      <w:r w:rsidRPr="00216F75">
        <w:rPr>
          <w:rFonts w:eastAsia="Montserrat" w:cs="Arial"/>
          <w:b/>
          <w:bCs/>
          <w:szCs w:val="22"/>
        </w:rPr>
        <w:t>2. Formal equation or code.</w:t>
      </w:r>
      <w:r w:rsidRPr="00216F75">
        <w:rPr>
          <w:rFonts w:eastAsia="Montserrat" w:cs="Arial"/>
          <w:szCs w:val="22"/>
        </w:rPr>
        <w:t xml:space="preserve"> Present the algorithm as:</w:t>
      </w:r>
    </w:p>
    <w:p w14:paraId="78988A6A" w14:textId="77777777" w:rsidR="00620061" w:rsidRPr="00216F75" w:rsidRDefault="00620061" w:rsidP="00620061">
      <w:pPr>
        <w:pStyle w:val="ListParagraph"/>
        <w:numPr>
          <w:ilvl w:val="0"/>
          <w:numId w:val="53"/>
        </w:numPr>
        <w:spacing w:before="240" w:after="240"/>
        <w:jc w:val="left"/>
        <w:textAlignment w:val="baseline"/>
        <w:rPr>
          <w:rFonts w:eastAsia="Montserrat" w:cs="Arial"/>
          <w:szCs w:val="22"/>
        </w:rPr>
      </w:pPr>
      <w:r w:rsidRPr="00216F75">
        <w:rPr>
          <w:rFonts w:eastAsia="Montserrat" w:cs="Arial"/>
          <w:szCs w:val="22"/>
        </w:rPr>
        <w:t>Equations and logic rules, or</w:t>
      </w:r>
    </w:p>
    <w:p w14:paraId="0F03005E" w14:textId="77777777" w:rsidR="00620061" w:rsidRPr="00216F75" w:rsidRDefault="00620061" w:rsidP="00620061">
      <w:pPr>
        <w:pStyle w:val="ListParagraph"/>
        <w:numPr>
          <w:ilvl w:val="0"/>
          <w:numId w:val="53"/>
        </w:numPr>
        <w:spacing w:before="240" w:after="240"/>
        <w:jc w:val="left"/>
        <w:textAlignment w:val="baseline"/>
        <w:rPr>
          <w:rFonts w:eastAsia="Montserrat" w:cs="Arial"/>
          <w:szCs w:val="22"/>
        </w:rPr>
      </w:pPr>
      <w:r w:rsidRPr="00216F75">
        <w:rPr>
          <w:rFonts w:eastAsia="Montserrat" w:cs="Arial"/>
          <w:szCs w:val="22"/>
        </w:rPr>
        <w:t>Annotated code outlining the decision steps.</w:t>
      </w:r>
    </w:p>
    <w:p w14:paraId="0131D35E" w14:textId="77777777" w:rsidR="00620061" w:rsidRPr="00216F75" w:rsidRDefault="00620061" w:rsidP="00620061">
      <w:pPr>
        <w:spacing w:before="240" w:after="240"/>
        <w:textAlignment w:val="baseline"/>
        <w:rPr>
          <w:rFonts w:eastAsia="Montserrat" w:cs="Arial"/>
          <w:szCs w:val="22"/>
        </w:rPr>
      </w:pPr>
      <w:r w:rsidRPr="00216F75">
        <w:rPr>
          <w:rFonts w:eastAsia="Montserrat" w:cs="Arial"/>
          <w:b/>
          <w:bCs/>
          <w:szCs w:val="22"/>
        </w:rPr>
        <w:t>3. Parameter definitions and units.</w:t>
      </w:r>
      <w:r w:rsidRPr="00216F75">
        <w:rPr>
          <w:rFonts w:eastAsia="Montserrat" w:cs="Arial"/>
          <w:szCs w:val="22"/>
        </w:rPr>
        <w:t xml:space="preserve"> All thresholds and time-related values must:</w:t>
      </w:r>
    </w:p>
    <w:p w14:paraId="6F867FFB" w14:textId="77777777" w:rsidR="00620061" w:rsidRPr="00216F75" w:rsidRDefault="00620061" w:rsidP="00620061">
      <w:pPr>
        <w:pStyle w:val="ListParagraph"/>
        <w:numPr>
          <w:ilvl w:val="0"/>
          <w:numId w:val="52"/>
        </w:numPr>
        <w:spacing w:before="240" w:after="240"/>
        <w:jc w:val="left"/>
        <w:textAlignment w:val="baseline"/>
        <w:rPr>
          <w:rFonts w:eastAsia="Montserrat" w:cs="Arial"/>
          <w:szCs w:val="22"/>
        </w:rPr>
      </w:pPr>
      <w:r w:rsidRPr="00216F75">
        <w:rPr>
          <w:rFonts w:eastAsia="Montserrat" w:cs="Arial"/>
          <w:szCs w:val="22"/>
        </w:rPr>
        <w:t>Be listed with units (e.g., °C, seconds).</w:t>
      </w:r>
    </w:p>
    <w:p w14:paraId="15E8C14A" w14:textId="77777777" w:rsidR="00620061" w:rsidRPr="00216F75" w:rsidRDefault="00620061" w:rsidP="00620061">
      <w:pPr>
        <w:pStyle w:val="ListParagraph"/>
        <w:numPr>
          <w:ilvl w:val="0"/>
          <w:numId w:val="52"/>
        </w:numPr>
        <w:spacing w:before="240" w:after="240"/>
        <w:jc w:val="left"/>
        <w:textAlignment w:val="baseline"/>
        <w:rPr>
          <w:rFonts w:eastAsia="Montserrat" w:cs="Arial"/>
          <w:szCs w:val="22"/>
        </w:rPr>
      </w:pPr>
      <w:r w:rsidRPr="00216F75">
        <w:rPr>
          <w:rFonts w:eastAsia="Montserrat" w:cs="Arial"/>
          <w:szCs w:val="22"/>
        </w:rPr>
        <w:t>Be applied consistently across devices and time.</w:t>
      </w:r>
    </w:p>
    <w:p w14:paraId="1D4BF1B3" w14:textId="77777777" w:rsidR="00620061" w:rsidRPr="00216F75" w:rsidRDefault="00620061" w:rsidP="00620061">
      <w:pPr>
        <w:spacing w:before="240" w:after="240"/>
        <w:textAlignment w:val="baseline"/>
        <w:rPr>
          <w:rFonts w:eastAsia="Montserrat" w:cs="Arial"/>
          <w:szCs w:val="22"/>
        </w:rPr>
      </w:pPr>
      <w:r w:rsidRPr="00216F75">
        <w:rPr>
          <w:rFonts w:eastAsia="Montserrat" w:cs="Arial"/>
          <w:b/>
          <w:bCs/>
          <w:szCs w:val="22"/>
        </w:rPr>
        <w:t>4. SUM device specifications.</w:t>
      </w:r>
      <w:r w:rsidRPr="00216F75">
        <w:rPr>
          <w:rFonts w:eastAsia="Montserrat" w:cs="Arial"/>
          <w:szCs w:val="22"/>
        </w:rPr>
        <w:t xml:space="preserve"> These include:</w:t>
      </w:r>
    </w:p>
    <w:p w14:paraId="05843440" w14:textId="77777777" w:rsidR="00620061" w:rsidRPr="00216F75" w:rsidRDefault="00620061" w:rsidP="00620061">
      <w:pPr>
        <w:pStyle w:val="ListParagraph"/>
        <w:numPr>
          <w:ilvl w:val="0"/>
          <w:numId w:val="51"/>
        </w:numPr>
        <w:spacing w:before="240" w:after="240"/>
        <w:jc w:val="left"/>
        <w:textAlignment w:val="baseline"/>
        <w:rPr>
          <w:rFonts w:eastAsia="Montserrat" w:cs="Arial"/>
          <w:szCs w:val="22"/>
        </w:rPr>
      </w:pPr>
      <w:r w:rsidRPr="00216F75">
        <w:rPr>
          <w:rFonts w:eastAsia="Montserrat" w:cs="Arial"/>
          <w:szCs w:val="22"/>
        </w:rPr>
        <w:t>Manufacturer, model, and firmware version</w:t>
      </w:r>
    </w:p>
    <w:p w14:paraId="3BD53505" w14:textId="77777777" w:rsidR="00620061" w:rsidRPr="00216F75" w:rsidRDefault="00620061" w:rsidP="00620061">
      <w:pPr>
        <w:pStyle w:val="ListParagraph"/>
        <w:numPr>
          <w:ilvl w:val="0"/>
          <w:numId w:val="51"/>
        </w:numPr>
        <w:spacing w:before="240" w:after="240"/>
        <w:jc w:val="left"/>
        <w:textAlignment w:val="baseline"/>
        <w:rPr>
          <w:rFonts w:eastAsia="Montserrat" w:cs="Arial"/>
          <w:szCs w:val="22"/>
        </w:rPr>
      </w:pPr>
      <w:r w:rsidRPr="00216F75">
        <w:rPr>
          <w:rFonts w:eastAsia="Montserrat" w:cs="Arial"/>
          <w:szCs w:val="22"/>
        </w:rPr>
        <w:t>Sampling rate and sensor types</w:t>
      </w:r>
    </w:p>
    <w:p w14:paraId="7D5FDC60" w14:textId="77777777" w:rsidR="00620061" w:rsidRPr="00216F75" w:rsidRDefault="00620061" w:rsidP="00620061">
      <w:pPr>
        <w:pStyle w:val="ListParagraph"/>
        <w:numPr>
          <w:ilvl w:val="0"/>
          <w:numId w:val="51"/>
        </w:numPr>
        <w:spacing w:before="240" w:after="240"/>
        <w:jc w:val="left"/>
        <w:textAlignment w:val="baseline"/>
        <w:rPr>
          <w:rFonts w:eastAsia="Montserrat" w:cs="Arial"/>
          <w:szCs w:val="22"/>
        </w:rPr>
      </w:pPr>
      <w:r w:rsidRPr="00216F75">
        <w:rPr>
          <w:rFonts w:eastAsia="Montserrat" w:cs="Arial"/>
          <w:szCs w:val="22"/>
        </w:rPr>
        <w:t>Any known limitations affecting performance</w:t>
      </w:r>
    </w:p>
    <w:p w14:paraId="61964DBA" w14:textId="77777777" w:rsidR="00620061" w:rsidRPr="00216F75" w:rsidRDefault="00620061" w:rsidP="00620061">
      <w:pPr>
        <w:spacing w:before="240" w:after="240"/>
        <w:textAlignment w:val="baseline"/>
        <w:rPr>
          <w:rFonts w:eastAsia="Montserrat" w:cs="Arial"/>
          <w:szCs w:val="22"/>
        </w:rPr>
      </w:pPr>
      <w:r w:rsidRPr="00216F75">
        <w:rPr>
          <w:rFonts w:eastAsia="Montserrat" w:cs="Arial"/>
          <w:b/>
          <w:bCs/>
          <w:szCs w:val="22"/>
        </w:rPr>
        <w:lastRenderedPageBreak/>
        <w:t xml:space="preserve">5. Data sample publication. </w:t>
      </w:r>
      <w:r w:rsidRPr="00216F75">
        <w:rPr>
          <w:rFonts w:eastAsia="Montserrat" w:cs="Arial"/>
          <w:szCs w:val="22"/>
        </w:rPr>
        <w:t>Share at least three anonymized raw data files (2 weeks or more of data) for three different project cookstoves with their processed output to demonstrate algorithm performance. Data must:</w:t>
      </w:r>
    </w:p>
    <w:p w14:paraId="5E30C657" w14:textId="77777777" w:rsidR="00620061" w:rsidRPr="00216F75" w:rsidRDefault="00620061" w:rsidP="00620061">
      <w:pPr>
        <w:pStyle w:val="ListParagraph"/>
        <w:numPr>
          <w:ilvl w:val="0"/>
          <w:numId w:val="50"/>
        </w:numPr>
        <w:spacing w:before="240" w:after="240"/>
        <w:jc w:val="left"/>
        <w:textAlignment w:val="baseline"/>
        <w:rPr>
          <w:rFonts w:eastAsia="Montserrat" w:cs="Arial"/>
          <w:szCs w:val="22"/>
        </w:rPr>
      </w:pPr>
      <w:r w:rsidRPr="00216F75">
        <w:rPr>
          <w:rFonts w:eastAsia="Montserrat" w:cs="Arial"/>
          <w:szCs w:val="22"/>
        </w:rPr>
        <w:t>Be in a usable format (e.g., CSV, JSON)</w:t>
      </w:r>
    </w:p>
    <w:p w14:paraId="1035D56B" w14:textId="77777777" w:rsidR="00620061" w:rsidRPr="00216F75" w:rsidRDefault="00620061" w:rsidP="00620061">
      <w:pPr>
        <w:pStyle w:val="ListParagraph"/>
        <w:numPr>
          <w:ilvl w:val="0"/>
          <w:numId w:val="50"/>
        </w:numPr>
        <w:spacing w:before="240" w:after="240"/>
        <w:jc w:val="left"/>
        <w:textAlignment w:val="baseline"/>
        <w:rPr>
          <w:rFonts w:eastAsia="Montserrat" w:cs="Arial"/>
          <w:szCs w:val="22"/>
        </w:rPr>
      </w:pPr>
      <w:r w:rsidRPr="00216F75">
        <w:rPr>
          <w:rFonts w:eastAsia="Montserrat" w:cs="Arial"/>
          <w:szCs w:val="22"/>
        </w:rPr>
        <w:t>Include clear headers, units, and time zone information</w:t>
      </w:r>
    </w:p>
    <w:p w14:paraId="7C492D3A" w14:textId="08A2D976" w:rsidR="00620061" w:rsidRPr="00216F75" w:rsidRDefault="00620061" w:rsidP="00620061">
      <w:pPr>
        <w:spacing w:before="240" w:after="240"/>
        <w:textAlignment w:val="baseline"/>
        <w:rPr>
          <w:rFonts w:eastAsia="Montserrat" w:cs="Arial"/>
          <w:szCs w:val="22"/>
        </w:rPr>
      </w:pPr>
      <w:r w:rsidRPr="00216F75">
        <w:rPr>
          <w:rFonts w:eastAsia="Montserrat" w:cs="Arial"/>
          <w:b/>
          <w:bCs/>
          <w:szCs w:val="22"/>
        </w:rPr>
        <w:t>6. Hosting and access</w:t>
      </w:r>
      <w:r w:rsidRPr="00216F75">
        <w:rPr>
          <w:rFonts w:eastAsia="Montserrat" w:cs="Arial"/>
          <w:szCs w:val="22"/>
        </w:rPr>
        <w:t xml:space="preserve">. Publish the algorithm and sample dataset on a stable public platform (e.g., project website, registry, GitHub). Include the link in the </w:t>
      </w:r>
      <w:hyperlink w:anchor="A1" w:history="1">
        <w:r w:rsidRPr="00073CB1">
          <w:rPr>
            <w:rStyle w:val="Hyperlink"/>
            <w:rFonts w:eastAsia="Montserrat" w:cs="Arial"/>
            <w:szCs w:val="22"/>
          </w:rPr>
          <w:t>Project Information Cover Sheet</w:t>
        </w:r>
      </w:hyperlink>
      <w:r w:rsidRPr="00216F75">
        <w:rPr>
          <w:rFonts w:eastAsia="Montserrat" w:cs="Arial"/>
          <w:szCs w:val="22"/>
        </w:rPr>
        <w:t>.</w:t>
      </w:r>
    </w:p>
    <w:p w14:paraId="1E591597" w14:textId="77777777" w:rsidR="00620061" w:rsidRPr="00216F75" w:rsidRDefault="00620061" w:rsidP="00620061">
      <w:pPr>
        <w:pStyle w:val="NormalWeb"/>
        <w:spacing w:before="0" w:beforeAutospacing="0" w:after="40" w:afterAutospacing="0"/>
        <w:ind w:right="780"/>
        <w:textAlignment w:val="baseline"/>
        <w:rPr>
          <w:rFonts w:ascii="Arial" w:hAnsi="Arial" w:cs="Arial"/>
          <w:color w:val="000000"/>
          <w:sz w:val="22"/>
          <w:szCs w:val="22"/>
        </w:rPr>
      </w:pPr>
      <w:r w:rsidRPr="00216F75">
        <w:rPr>
          <w:rFonts w:ascii="Arial" w:hAnsi="Arial" w:cs="Arial"/>
          <w:noProof/>
          <w:color w:val="000000"/>
          <w:sz w:val="22"/>
          <w:szCs w:val="22"/>
        </w:rPr>
        <w:drawing>
          <wp:inline distT="0" distB="0" distL="0" distR="0" wp14:anchorId="627E8E7F" wp14:editId="2C2D8CF5">
            <wp:extent cx="5850890" cy="3623945"/>
            <wp:effectExtent l="0" t="0" r="3810" b="0"/>
            <wp:docPr id="1453740793" name="Picture 1" descr="A close up of a barr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740793" name="Picture 1" descr="A close up of a barrel&#10;&#10;Description automatically generated"/>
                    <pic:cNvPicPr/>
                  </pic:nvPicPr>
                  <pic:blipFill>
                    <a:blip r:embed="rId88"/>
                    <a:stretch>
                      <a:fillRect/>
                    </a:stretch>
                  </pic:blipFill>
                  <pic:spPr>
                    <a:xfrm>
                      <a:off x="0" y="0"/>
                      <a:ext cx="5850890" cy="3623945"/>
                    </a:xfrm>
                    <a:prstGeom prst="rect">
                      <a:avLst/>
                    </a:prstGeom>
                  </pic:spPr>
                </pic:pic>
              </a:graphicData>
            </a:graphic>
          </wp:inline>
        </w:drawing>
      </w:r>
    </w:p>
    <w:p w14:paraId="5A9DFDB9" w14:textId="77777777" w:rsidR="00620061" w:rsidRPr="00216F75" w:rsidRDefault="00620061" w:rsidP="00620061">
      <w:pPr>
        <w:pStyle w:val="NormalWeb"/>
        <w:spacing w:before="0" w:beforeAutospacing="0" w:after="0" w:afterAutospacing="0"/>
        <w:ind w:left="100"/>
        <w:jc w:val="center"/>
        <w:rPr>
          <w:rFonts w:ascii="Arial" w:hAnsi="Arial" w:cs="Arial"/>
          <w:sz w:val="22"/>
          <w:szCs w:val="22"/>
        </w:rPr>
      </w:pPr>
      <w:r w:rsidRPr="00216F75">
        <w:rPr>
          <w:rFonts w:ascii="Arial" w:hAnsi="Arial" w:cs="Arial"/>
          <w:color w:val="000000"/>
          <w:sz w:val="22"/>
          <w:szCs w:val="22"/>
        </w:rPr>
        <w:t>Example photos of SUMs placement.</w:t>
      </w:r>
    </w:p>
    <w:p w14:paraId="7A1B8110" w14:textId="77777777" w:rsidR="00620061" w:rsidRPr="00216F75" w:rsidRDefault="00620061" w:rsidP="00620061">
      <w:pPr>
        <w:rPr>
          <w:rFonts w:cs="Arial"/>
          <w:szCs w:val="22"/>
        </w:rPr>
      </w:pPr>
    </w:p>
    <w:p w14:paraId="0C33415F" w14:textId="77777777" w:rsidR="00620061" w:rsidRPr="00216F75" w:rsidRDefault="00620061" w:rsidP="00620061">
      <w:pPr>
        <w:pStyle w:val="NormalWeb"/>
        <w:spacing w:before="0" w:beforeAutospacing="0" w:after="40" w:afterAutospacing="0"/>
        <w:ind w:right="780"/>
        <w:textAlignment w:val="baseline"/>
        <w:rPr>
          <w:rFonts w:ascii="Arial" w:hAnsi="Arial" w:cs="Arial"/>
          <w:color w:val="000000"/>
          <w:sz w:val="22"/>
          <w:szCs w:val="22"/>
        </w:rPr>
      </w:pPr>
    </w:p>
    <w:p w14:paraId="255F850C" w14:textId="77777777" w:rsidR="00620061" w:rsidRPr="00216F75" w:rsidRDefault="00620061" w:rsidP="00620061">
      <w:pPr>
        <w:pStyle w:val="NormalWeb"/>
        <w:spacing w:before="0" w:beforeAutospacing="0" w:after="40" w:afterAutospacing="0"/>
        <w:ind w:right="780"/>
        <w:textAlignment w:val="baseline"/>
        <w:rPr>
          <w:rFonts w:ascii="Arial" w:hAnsi="Arial" w:cs="Arial"/>
          <w:color w:val="000000"/>
          <w:sz w:val="22"/>
          <w:szCs w:val="22"/>
        </w:rPr>
      </w:pPr>
    </w:p>
    <w:p w14:paraId="5C7FE54A" w14:textId="77777777" w:rsidR="00620061" w:rsidRPr="00216F75" w:rsidRDefault="00620061" w:rsidP="00620061">
      <w:pPr>
        <w:pStyle w:val="NormalWeb"/>
        <w:spacing w:before="0" w:beforeAutospacing="0" w:after="0" w:afterAutospacing="0"/>
        <w:textAlignment w:val="baseline"/>
        <w:rPr>
          <w:rFonts w:ascii="Arial" w:hAnsi="Arial" w:cs="Arial"/>
          <w:color w:val="000000"/>
          <w:sz w:val="22"/>
          <w:szCs w:val="22"/>
        </w:rPr>
      </w:pPr>
    </w:p>
    <w:p w14:paraId="318C301C" w14:textId="77777777" w:rsidR="00620061" w:rsidRPr="00216F75" w:rsidRDefault="00620061" w:rsidP="00620061">
      <w:pPr>
        <w:rPr>
          <w:rFonts w:eastAsia="Montserrat" w:cs="Arial"/>
          <w:b/>
          <w:color w:val="365F91" w:themeColor="accent1" w:themeShade="BF"/>
          <w:szCs w:val="22"/>
        </w:rPr>
      </w:pPr>
      <w:r w:rsidRPr="00216F75">
        <w:rPr>
          <w:rFonts w:cs="Arial"/>
          <w:szCs w:val="22"/>
        </w:rPr>
        <w:br w:type="page"/>
      </w:r>
    </w:p>
    <w:p w14:paraId="6A3F4298" w14:textId="0094D14A" w:rsidR="00055C06" w:rsidRDefault="00055C06" w:rsidP="00055C06">
      <w:pPr>
        <w:pStyle w:val="SDMAppTitle"/>
      </w:pPr>
      <w:bookmarkStart w:id="110" w:name="A10"/>
      <w:bookmarkStart w:id="111" w:name="_Toc193924653"/>
      <w:r w:rsidRPr="00055C06">
        <w:lastRenderedPageBreak/>
        <w:t>Sampling</w:t>
      </w:r>
      <w:bookmarkEnd w:id="110"/>
      <w:r w:rsidRPr="00055C06">
        <w:t xml:space="preserve"> Requirements and Best Practices for Surveys, Kitchen Performance Tests (KPTs), Controlled Cooking Tests (CCTs), and Stove Use Monitors (SUMs)</w:t>
      </w:r>
    </w:p>
    <w:bookmarkEnd w:id="111"/>
    <w:p w14:paraId="2C970723" w14:textId="77777777" w:rsidR="00620061" w:rsidRPr="00216F75" w:rsidRDefault="00620061" w:rsidP="00620061">
      <w:pPr>
        <w:spacing w:before="240" w:after="240"/>
        <w:rPr>
          <w:rFonts w:cs="Arial"/>
          <w:color w:val="000000"/>
          <w:szCs w:val="22"/>
        </w:rPr>
      </w:pPr>
      <w:r w:rsidRPr="00216F75">
        <w:rPr>
          <w:rFonts w:cs="Arial"/>
          <w:b/>
          <w:bCs/>
          <w:color w:val="000000"/>
          <w:szCs w:val="22"/>
        </w:rPr>
        <w:t>Note</w:t>
      </w:r>
      <w:r w:rsidRPr="00216F75">
        <w:rPr>
          <w:rFonts w:cs="Arial"/>
          <w:color w:val="000000"/>
          <w:szCs w:val="22"/>
        </w:rPr>
        <w:t>: Sampling requirements and guidance from this appendix may be revised in accordance with forthcoming Article 6.4 standard and guidance on sampling.</w:t>
      </w:r>
    </w:p>
    <w:p w14:paraId="38F99325" w14:textId="77777777" w:rsidR="00620061" w:rsidRPr="00216F75" w:rsidRDefault="00620061" w:rsidP="00620061">
      <w:pPr>
        <w:spacing w:before="240" w:after="240"/>
        <w:rPr>
          <w:rFonts w:cs="Arial"/>
          <w:szCs w:val="22"/>
        </w:rPr>
      </w:pPr>
      <w:r w:rsidRPr="00216F75">
        <w:rPr>
          <w:rFonts w:cs="Arial"/>
          <w:color w:val="000000" w:themeColor="text1"/>
          <w:szCs w:val="22"/>
        </w:rPr>
        <w:t>This appendix supports project proponents in planning sample sizes for data collection and ensuring that monitored parameters meet required precision standards. Specifically, it addresses the 95/10 precision guideline, which stipulates that sample sizes must be sufficient to achieve a 95% confidence interval with less than 10% margin of error. If a monitored parameter estimate does not meet the precision guideline, then additional sampling must be conducted, or the confidence bound that results in a lower emission reduction estimate must be applied.</w:t>
      </w:r>
    </w:p>
    <w:p w14:paraId="598ECC94" w14:textId="77777777" w:rsidR="00620061" w:rsidRPr="00216F75" w:rsidRDefault="00620061" w:rsidP="00620061">
      <w:pPr>
        <w:spacing w:before="240" w:after="240"/>
        <w:rPr>
          <w:rFonts w:eastAsia="Montserrat" w:cs="Arial"/>
          <w:szCs w:val="22"/>
        </w:rPr>
      </w:pPr>
      <w:r w:rsidRPr="00216F75">
        <w:rPr>
          <w:rFonts w:eastAsia="Montserrat" w:cs="Arial"/>
          <w:szCs w:val="22"/>
        </w:rPr>
        <w:t>For projects of 25,000 or more project households, the minimum required sample sizes for all monitored parameters, except those based on specific consumption from CCTs, shall scale by 0.05% in proportion to the total number of project households above 25,000.</w:t>
      </w:r>
    </w:p>
    <w:p w14:paraId="564B374F" w14:textId="77777777" w:rsidR="00620061" w:rsidRPr="00216F75" w:rsidRDefault="00620061" w:rsidP="00620061">
      <w:pPr>
        <w:spacing w:before="240" w:after="240"/>
        <w:rPr>
          <w:rFonts w:eastAsia="Montserrat" w:cs="Arial"/>
          <w:szCs w:val="22"/>
        </w:rPr>
      </w:pPr>
      <w:r w:rsidRPr="00216F75">
        <w:rPr>
          <w:rFonts w:eastAsia="Montserrat" w:cs="Arial"/>
          <w:szCs w:val="22"/>
        </w:rPr>
        <w:t>Examples:</w:t>
      </w:r>
    </w:p>
    <w:p w14:paraId="1E95C0F8" w14:textId="77777777" w:rsidR="00620061" w:rsidRPr="00216F75" w:rsidRDefault="00620061" w:rsidP="00620061">
      <w:pPr>
        <w:pStyle w:val="ListParagraph"/>
        <w:numPr>
          <w:ilvl w:val="0"/>
          <w:numId w:val="86"/>
        </w:numPr>
        <w:spacing w:before="240" w:after="240"/>
        <w:jc w:val="left"/>
        <w:rPr>
          <w:rFonts w:eastAsia="Montserrat" w:cs="Arial"/>
          <w:szCs w:val="22"/>
        </w:rPr>
      </w:pPr>
      <w:r w:rsidRPr="00216F75">
        <w:rPr>
          <w:rFonts w:eastAsia="Montserrat" w:cs="Arial"/>
          <w:szCs w:val="22"/>
        </w:rPr>
        <w:t>A project with 25,000 households requires 100 KPTs and 200 surveys (minimums).</w:t>
      </w:r>
    </w:p>
    <w:p w14:paraId="7218B9D1" w14:textId="77777777" w:rsidR="00620061" w:rsidRPr="00216F75" w:rsidRDefault="00620061" w:rsidP="00620061">
      <w:pPr>
        <w:pStyle w:val="ListParagraph"/>
        <w:numPr>
          <w:ilvl w:val="0"/>
          <w:numId w:val="86"/>
        </w:numPr>
        <w:spacing w:before="240" w:after="240"/>
        <w:jc w:val="left"/>
        <w:rPr>
          <w:rFonts w:eastAsia="Montserrat" w:cs="Arial"/>
          <w:szCs w:val="22"/>
        </w:rPr>
      </w:pPr>
      <w:r w:rsidRPr="00216F75">
        <w:rPr>
          <w:rFonts w:eastAsia="Montserrat" w:cs="Arial"/>
          <w:szCs w:val="22"/>
        </w:rPr>
        <w:t>A project with 250,000 households requires:</w:t>
      </w:r>
    </w:p>
    <w:p w14:paraId="399D6AF5" w14:textId="77777777" w:rsidR="00620061" w:rsidRPr="00216F75" w:rsidRDefault="00620061" w:rsidP="00620061">
      <w:pPr>
        <w:pStyle w:val="ListParagraph"/>
        <w:numPr>
          <w:ilvl w:val="1"/>
          <w:numId w:val="86"/>
        </w:numPr>
        <w:spacing w:before="240" w:after="240"/>
        <w:jc w:val="left"/>
        <w:rPr>
          <w:rFonts w:eastAsia="Montserrat" w:cs="Arial"/>
          <w:szCs w:val="22"/>
        </w:rPr>
      </w:pPr>
      <w:r w:rsidRPr="00216F75">
        <w:rPr>
          <w:rFonts w:eastAsia="Montserrat" w:cs="Arial"/>
          <w:szCs w:val="22"/>
        </w:rPr>
        <w:t>KPTs: 100 + (0.0005 × [250,000 − 25,000]) = 213</w:t>
      </w:r>
    </w:p>
    <w:p w14:paraId="671CFF5C" w14:textId="77777777" w:rsidR="00620061" w:rsidRPr="00216F75" w:rsidRDefault="00620061" w:rsidP="00620061">
      <w:pPr>
        <w:pStyle w:val="ListParagraph"/>
        <w:numPr>
          <w:ilvl w:val="1"/>
          <w:numId w:val="86"/>
        </w:numPr>
        <w:spacing w:before="240" w:after="240"/>
        <w:jc w:val="left"/>
        <w:rPr>
          <w:rFonts w:eastAsia="Montserrat" w:cs="Arial"/>
          <w:szCs w:val="22"/>
        </w:rPr>
      </w:pPr>
      <w:r w:rsidRPr="00216F75">
        <w:rPr>
          <w:rFonts w:eastAsia="Montserrat" w:cs="Arial"/>
          <w:szCs w:val="22"/>
        </w:rPr>
        <w:t>Surveys: 200 + (0.0005 × [250,000 − 25,000]) = 313</w:t>
      </w:r>
    </w:p>
    <w:p w14:paraId="5E7D5BC4" w14:textId="77777777" w:rsidR="00620061" w:rsidRPr="00216F75" w:rsidRDefault="00620061" w:rsidP="00620061">
      <w:pPr>
        <w:spacing w:before="240" w:after="240"/>
        <w:rPr>
          <w:rFonts w:cs="Arial"/>
          <w:szCs w:val="22"/>
        </w:rPr>
      </w:pPr>
      <w:r w:rsidRPr="00216F75">
        <w:rPr>
          <w:rFonts w:eastAsia="Montserrat" w:cs="Arial"/>
          <w:szCs w:val="22"/>
        </w:rPr>
        <w:t>Projects must still demonstrate that the final sample achieves the 95/10 precision threshold. Projects using cluster sampling must account for design effects in both planning and analysis stages. If the achieved sample does not meet precision requirements, additional sampling or the application of a conservative confidence bound must be undertaken.</w:t>
      </w:r>
      <w:r w:rsidRPr="00216F75">
        <w:rPr>
          <w:rFonts w:cs="Arial"/>
          <w:color w:val="000000" w:themeColor="text1"/>
          <w:szCs w:val="22"/>
        </w:rPr>
        <w:t xml:space="preserve"> </w:t>
      </w:r>
    </w:p>
    <w:p w14:paraId="0A3644E6" w14:textId="77777777" w:rsidR="00620061" w:rsidRPr="00216F75" w:rsidRDefault="00620061" w:rsidP="00620061">
      <w:pPr>
        <w:spacing w:before="240" w:after="240"/>
        <w:rPr>
          <w:rFonts w:cs="Arial"/>
          <w:color w:val="000000" w:themeColor="text1"/>
          <w:szCs w:val="22"/>
        </w:rPr>
      </w:pPr>
      <w:r w:rsidRPr="00216F75">
        <w:rPr>
          <w:rFonts w:cs="Arial"/>
          <w:color w:val="000000" w:themeColor="text1"/>
          <w:szCs w:val="22"/>
        </w:rPr>
        <w:t>The appendix is structured into four components. First, it presents sampling method approaches. Next, a table outlining the monitored parameters that require sample size determination, including their descriptions, data sources, and applicable rules. This table provides direction on which sampling guidance section to follow for each parameter. The third section focuses on proportional parameters, such as the proportion of cooking conducted using a primary fuel, detailing methods for determining sample sizes. The last section provides guidance for continuous variables, such as baseline energy consumption, incorporating statistical approaches for variables with skewed normal distributions.</w:t>
      </w:r>
    </w:p>
    <w:p w14:paraId="5EFDE519" w14:textId="77777777" w:rsidR="00620061" w:rsidRPr="00216F75" w:rsidRDefault="00620061" w:rsidP="00620061">
      <w:pPr>
        <w:outlineLvl w:val="2"/>
        <w:rPr>
          <w:rFonts w:cs="Arial"/>
          <w:b/>
          <w:szCs w:val="22"/>
        </w:rPr>
      </w:pPr>
      <w:r w:rsidRPr="00216F75">
        <w:rPr>
          <w:rFonts w:cs="Arial"/>
          <w:b/>
          <w:color w:val="000000"/>
          <w:szCs w:val="22"/>
        </w:rPr>
        <w:t>Sampling methods</w:t>
      </w:r>
    </w:p>
    <w:p w14:paraId="4D4ADD1A" w14:textId="77777777" w:rsidR="00620061" w:rsidRPr="00216F75" w:rsidRDefault="00620061" w:rsidP="00620061">
      <w:pPr>
        <w:rPr>
          <w:rFonts w:cs="Arial"/>
          <w:color w:val="000000"/>
          <w:szCs w:val="22"/>
        </w:rPr>
      </w:pPr>
      <w:r w:rsidRPr="00216F75">
        <w:rPr>
          <w:rFonts w:cs="Arial"/>
          <w:color w:val="000000" w:themeColor="text1"/>
          <w:szCs w:val="22"/>
        </w:rPr>
        <w:t>Two sampling approaches are used in the CLEAR methodology: Simple Random Sampling and Cluster Random Sampling. The choice between these methods depends on the characteristics of the target population and logistical considerations. For both approaches, when sampling parameters for the</w:t>
      </w:r>
      <w:r w:rsidRPr="00216F75">
        <w:rPr>
          <w:rFonts w:eastAsia="Montserrat" w:cs="Arial"/>
          <w:color w:val="000000" w:themeColor="text1"/>
          <w:szCs w:val="22"/>
        </w:rPr>
        <w:t xml:space="preserve"> project scenario, sampling shall be stratified proportionally across installed cookstove age groups (&lt;1 year, 1–2 years, 2-3, 3-4, and 4&gt; years) to ensure that performance and usage estimates reflect the distribution of cookstove ages in the project. Projects using cluster sampling must ensure that age stratification is preserved within and/or across clusters, as appropriate.</w:t>
      </w:r>
    </w:p>
    <w:p w14:paraId="4C11134C" w14:textId="77777777" w:rsidR="00620061" w:rsidRPr="00216F75" w:rsidRDefault="00620061" w:rsidP="00620061">
      <w:pPr>
        <w:rPr>
          <w:rFonts w:eastAsia="Montserrat" w:cs="Arial"/>
          <w:color w:val="000000" w:themeColor="text1"/>
          <w:szCs w:val="22"/>
        </w:rPr>
      </w:pPr>
    </w:p>
    <w:p w14:paraId="461E372E" w14:textId="77777777" w:rsidR="00620061" w:rsidRPr="00216F75" w:rsidRDefault="00620061" w:rsidP="00620061">
      <w:pPr>
        <w:rPr>
          <w:rFonts w:eastAsia="Montserrat" w:cs="Arial"/>
          <w:szCs w:val="22"/>
        </w:rPr>
      </w:pPr>
      <w:r w:rsidRPr="00216F75">
        <w:rPr>
          <w:rFonts w:eastAsia="Montserrat" w:cs="Arial"/>
          <w:szCs w:val="22"/>
        </w:rPr>
        <w:t xml:space="preserve">Regardless of the sampling approach used, the project proponent must document and provide verifiable materials to demonstrate how randomization was conducted and how it can be </w:t>
      </w:r>
      <w:r w:rsidRPr="00216F75">
        <w:rPr>
          <w:rFonts w:eastAsia="Montserrat" w:cs="Arial"/>
          <w:szCs w:val="22"/>
        </w:rPr>
        <w:lastRenderedPageBreak/>
        <w:t>independently verified. Acceptable documentation may include a record of the random number generator or software used, screenshots of the randomization process, or signed attestations from third parties who witnessed the selection. These materials shall be maintained as part of the project record and made available to the validation and verification body upon request.</w:t>
      </w:r>
    </w:p>
    <w:p w14:paraId="1037C11F" w14:textId="77777777" w:rsidR="00620061" w:rsidRPr="00216F75" w:rsidRDefault="00620061" w:rsidP="00620061">
      <w:pPr>
        <w:rPr>
          <w:rFonts w:cs="Arial"/>
          <w:szCs w:val="22"/>
        </w:rPr>
      </w:pPr>
    </w:p>
    <w:p w14:paraId="45F87AD5" w14:textId="77777777" w:rsidR="00620061" w:rsidRPr="00216F75" w:rsidRDefault="00620061" w:rsidP="00620061">
      <w:pPr>
        <w:outlineLvl w:val="3"/>
        <w:rPr>
          <w:rFonts w:cs="Arial"/>
          <w:b/>
          <w:szCs w:val="22"/>
        </w:rPr>
      </w:pPr>
      <w:r w:rsidRPr="00216F75">
        <w:rPr>
          <w:rFonts w:cs="Arial"/>
          <w:b/>
          <w:color w:val="000000"/>
          <w:szCs w:val="22"/>
        </w:rPr>
        <w:t>Simple random sampling</w:t>
      </w:r>
    </w:p>
    <w:p w14:paraId="688D1C89" w14:textId="77777777" w:rsidR="00620061" w:rsidRPr="00216F75" w:rsidRDefault="00620061" w:rsidP="00620061">
      <w:pPr>
        <w:pStyle w:val="ListParagraph"/>
        <w:numPr>
          <w:ilvl w:val="0"/>
          <w:numId w:val="73"/>
        </w:numPr>
        <w:jc w:val="left"/>
        <w:textAlignment w:val="baseline"/>
        <w:rPr>
          <w:rFonts w:cs="Arial"/>
          <w:color w:val="000000"/>
          <w:szCs w:val="22"/>
        </w:rPr>
      </w:pPr>
      <w:r w:rsidRPr="00216F75">
        <w:rPr>
          <w:rFonts w:cs="Arial"/>
          <w:color w:val="000000"/>
          <w:szCs w:val="22"/>
        </w:rPr>
        <w:t>Each household in the population has an equal probability of being selected.</w:t>
      </w:r>
    </w:p>
    <w:p w14:paraId="088CA7D6" w14:textId="77777777" w:rsidR="00620061" w:rsidRPr="00216F75" w:rsidRDefault="00620061" w:rsidP="00620061">
      <w:pPr>
        <w:numPr>
          <w:ilvl w:val="0"/>
          <w:numId w:val="80"/>
        </w:numPr>
        <w:jc w:val="left"/>
        <w:textAlignment w:val="baseline"/>
        <w:rPr>
          <w:rFonts w:cs="Arial"/>
          <w:color w:val="000000"/>
          <w:szCs w:val="22"/>
        </w:rPr>
      </w:pPr>
      <w:r w:rsidRPr="00216F75">
        <w:rPr>
          <w:rFonts w:cs="Arial"/>
          <w:color w:val="000000"/>
          <w:szCs w:val="22"/>
        </w:rPr>
        <w:t>Suitable when the population is relatively homogeneous, such as within the same climate zone or socio-economic setting.</w:t>
      </w:r>
    </w:p>
    <w:p w14:paraId="170F7E15" w14:textId="77777777" w:rsidR="00620061" w:rsidRPr="00216F75" w:rsidRDefault="00620061" w:rsidP="00620061">
      <w:pPr>
        <w:numPr>
          <w:ilvl w:val="0"/>
          <w:numId w:val="80"/>
        </w:numPr>
        <w:jc w:val="left"/>
        <w:textAlignment w:val="baseline"/>
        <w:rPr>
          <w:rFonts w:cs="Arial"/>
          <w:color w:val="000000"/>
          <w:szCs w:val="22"/>
        </w:rPr>
      </w:pPr>
      <w:r w:rsidRPr="00216F75">
        <w:rPr>
          <w:rFonts w:cs="Arial"/>
          <w:color w:val="000000"/>
          <w:szCs w:val="22"/>
        </w:rPr>
        <w:t>Provides unbiased estimates.</w:t>
      </w:r>
    </w:p>
    <w:p w14:paraId="4864AE17" w14:textId="77777777" w:rsidR="00620061" w:rsidRPr="00216F75" w:rsidRDefault="00620061" w:rsidP="00620061">
      <w:pPr>
        <w:numPr>
          <w:ilvl w:val="0"/>
          <w:numId w:val="80"/>
        </w:numPr>
        <w:spacing w:after="240"/>
        <w:jc w:val="left"/>
        <w:textAlignment w:val="baseline"/>
        <w:rPr>
          <w:rFonts w:cs="Arial"/>
          <w:color w:val="000000"/>
          <w:szCs w:val="22"/>
        </w:rPr>
      </w:pPr>
      <w:r w:rsidRPr="00216F75">
        <w:rPr>
          <w:rFonts w:cs="Arial"/>
          <w:color w:val="000000"/>
          <w:szCs w:val="22"/>
        </w:rPr>
        <w:t>Can be costly and time-consuming, particularly if the population is spread over a large geographical area.</w:t>
      </w:r>
    </w:p>
    <w:p w14:paraId="5977869D" w14:textId="77777777" w:rsidR="00620061" w:rsidRPr="00216F75" w:rsidRDefault="00620061" w:rsidP="00620061">
      <w:pPr>
        <w:spacing w:after="40"/>
        <w:outlineLvl w:val="3"/>
        <w:rPr>
          <w:rFonts w:cs="Arial"/>
          <w:b/>
          <w:szCs w:val="22"/>
        </w:rPr>
      </w:pPr>
      <w:r w:rsidRPr="00216F75">
        <w:rPr>
          <w:rFonts w:cs="Arial"/>
          <w:b/>
          <w:color w:val="000000"/>
          <w:szCs w:val="22"/>
        </w:rPr>
        <w:t>Cluster random sampling</w:t>
      </w:r>
    </w:p>
    <w:p w14:paraId="59742234" w14:textId="77777777" w:rsidR="00620061" w:rsidRPr="00216F75" w:rsidRDefault="00620061" w:rsidP="00620061">
      <w:pPr>
        <w:numPr>
          <w:ilvl w:val="0"/>
          <w:numId w:val="81"/>
        </w:numPr>
        <w:jc w:val="left"/>
        <w:textAlignment w:val="baseline"/>
        <w:rPr>
          <w:rFonts w:cs="Arial"/>
          <w:color w:val="000000"/>
          <w:szCs w:val="22"/>
        </w:rPr>
      </w:pPr>
      <w:r w:rsidRPr="00216F75">
        <w:rPr>
          <w:rFonts w:cs="Arial"/>
          <w:color w:val="000000"/>
          <w:szCs w:val="22"/>
        </w:rPr>
        <w:t>The population is divided into clusters, such as villages or communities, and a random selection of clusters is made. All or a subset of households within selected clusters are then sampled.</w:t>
      </w:r>
    </w:p>
    <w:p w14:paraId="575117AE" w14:textId="77777777" w:rsidR="00620061" w:rsidRPr="00216F75" w:rsidRDefault="00620061" w:rsidP="00620061">
      <w:pPr>
        <w:numPr>
          <w:ilvl w:val="0"/>
          <w:numId w:val="81"/>
        </w:numPr>
        <w:jc w:val="left"/>
        <w:textAlignment w:val="baseline"/>
        <w:rPr>
          <w:rFonts w:cs="Arial"/>
          <w:color w:val="000000"/>
          <w:szCs w:val="22"/>
        </w:rPr>
      </w:pPr>
      <w:r w:rsidRPr="00216F75">
        <w:rPr>
          <w:rFonts w:cs="Arial"/>
          <w:color w:val="000000"/>
          <w:szCs w:val="22"/>
        </w:rPr>
        <w:t>Useful when the population is widely dispersed, reducing costs and logistical challenges.</w:t>
      </w:r>
    </w:p>
    <w:p w14:paraId="5D06528A" w14:textId="77777777" w:rsidR="00620061" w:rsidRPr="00216F75" w:rsidRDefault="00620061" w:rsidP="00620061">
      <w:pPr>
        <w:numPr>
          <w:ilvl w:val="0"/>
          <w:numId w:val="81"/>
        </w:numPr>
        <w:jc w:val="left"/>
        <w:textAlignment w:val="baseline"/>
        <w:rPr>
          <w:rFonts w:cs="Arial"/>
          <w:color w:val="000000"/>
          <w:szCs w:val="22"/>
        </w:rPr>
      </w:pPr>
      <w:r w:rsidRPr="00216F75">
        <w:rPr>
          <w:rFonts w:cs="Arial"/>
          <w:color w:val="000000"/>
          <w:szCs w:val="22"/>
        </w:rPr>
        <w:t>More efficient for large-scale studies but requires adjusting for the intraclass correlation coefficient (ICC), which measures the degree of similarity between households within the same cluster. A high ICC indicates that households within a cluster are more alike, meaning that the effective sample size is smaller than the actual number of observations, often requiring an increase in the number of clusters to achieve the desired precision.</w:t>
      </w:r>
    </w:p>
    <w:p w14:paraId="56995A4A" w14:textId="77777777" w:rsidR="00620061" w:rsidRPr="00216F75" w:rsidRDefault="00620061" w:rsidP="00620061">
      <w:pPr>
        <w:numPr>
          <w:ilvl w:val="0"/>
          <w:numId w:val="81"/>
        </w:numPr>
        <w:jc w:val="left"/>
        <w:textAlignment w:val="baseline"/>
        <w:rPr>
          <w:rFonts w:cs="Arial"/>
          <w:color w:val="000000"/>
          <w:szCs w:val="22"/>
        </w:rPr>
      </w:pPr>
      <w:r w:rsidRPr="00216F75">
        <w:rPr>
          <w:rFonts w:cs="Arial"/>
          <w:color w:val="000000"/>
          <w:szCs w:val="22"/>
        </w:rPr>
        <w:t>Assumes that each cluster represents the overall population, which may introduce bias if clusters are highly variable.</w:t>
      </w:r>
    </w:p>
    <w:p w14:paraId="5429A0C6" w14:textId="77777777" w:rsidR="00620061" w:rsidRPr="00216F75" w:rsidRDefault="00620061" w:rsidP="00620061">
      <w:pPr>
        <w:numPr>
          <w:ilvl w:val="0"/>
          <w:numId w:val="81"/>
        </w:numPr>
        <w:jc w:val="left"/>
        <w:rPr>
          <w:rFonts w:cs="Arial"/>
          <w:color w:val="000000" w:themeColor="text1"/>
          <w:szCs w:val="22"/>
        </w:rPr>
      </w:pPr>
      <w:r w:rsidRPr="00216F75">
        <w:rPr>
          <w:rFonts w:cs="Arial"/>
          <w:color w:val="000000" w:themeColor="text1"/>
          <w:szCs w:val="22"/>
        </w:rPr>
        <w:t>The design and calculations for this approach are more complex. Projects applying cluster sampling must involve someone with sufficient statistical expertise to ensure appropriate design, analysis, and interpretation.</w:t>
      </w:r>
    </w:p>
    <w:p w14:paraId="5C09A83D" w14:textId="77777777" w:rsidR="00620061" w:rsidRPr="00216F75" w:rsidRDefault="00620061" w:rsidP="00620061">
      <w:pPr>
        <w:ind w:left="720"/>
        <w:textAlignment w:val="baseline"/>
        <w:rPr>
          <w:rFonts w:cs="Arial"/>
          <w:color w:val="000000"/>
          <w:szCs w:val="22"/>
        </w:rPr>
      </w:pPr>
    </w:p>
    <w:tbl>
      <w:tblPr>
        <w:tblW w:w="9346" w:type="dxa"/>
        <w:tblCellMar>
          <w:top w:w="15" w:type="dxa"/>
          <w:left w:w="15" w:type="dxa"/>
          <w:bottom w:w="15" w:type="dxa"/>
          <w:right w:w="15" w:type="dxa"/>
        </w:tblCellMar>
        <w:tblLook w:val="04A0" w:firstRow="1" w:lastRow="0" w:firstColumn="1" w:lastColumn="0" w:noHBand="0" w:noVBand="1"/>
      </w:tblPr>
      <w:tblGrid>
        <w:gridCol w:w="1356"/>
        <w:gridCol w:w="1679"/>
        <w:gridCol w:w="1663"/>
        <w:gridCol w:w="1761"/>
        <w:gridCol w:w="1461"/>
        <w:gridCol w:w="1426"/>
      </w:tblGrid>
      <w:tr w:rsidR="00620061" w:rsidRPr="00216F75" w14:paraId="7C3C44DB"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798823F8" w14:textId="77777777" w:rsidR="00620061" w:rsidRPr="00216F75" w:rsidRDefault="00620061">
            <w:pPr>
              <w:pStyle w:val="NormalWeb"/>
              <w:spacing w:before="240" w:beforeAutospacing="0" w:after="240" w:afterAutospacing="0"/>
              <w:jc w:val="center"/>
              <w:rPr>
                <w:rFonts w:ascii="Arial" w:hAnsi="Arial" w:cs="Arial"/>
                <w:sz w:val="22"/>
                <w:szCs w:val="22"/>
              </w:rPr>
            </w:pPr>
            <w:r w:rsidRPr="00216F75">
              <w:rPr>
                <w:rFonts w:ascii="Arial" w:hAnsi="Arial" w:cs="Arial"/>
                <w:b/>
                <w:bCs/>
                <w:color w:val="000000"/>
                <w:sz w:val="22"/>
                <w:szCs w:val="22"/>
              </w:rPr>
              <w:t>Parameter</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76D8CBF0" w14:textId="77777777" w:rsidR="00620061" w:rsidRPr="00216F75" w:rsidRDefault="00620061">
            <w:pPr>
              <w:pStyle w:val="NormalWeb"/>
              <w:spacing w:before="240" w:beforeAutospacing="0" w:after="240" w:afterAutospacing="0"/>
              <w:jc w:val="center"/>
              <w:rPr>
                <w:rFonts w:ascii="Arial" w:hAnsi="Arial" w:cs="Arial"/>
                <w:sz w:val="22"/>
                <w:szCs w:val="22"/>
              </w:rPr>
            </w:pPr>
            <w:r w:rsidRPr="00216F75">
              <w:rPr>
                <w:rFonts w:ascii="Arial" w:hAnsi="Arial" w:cs="Arial"/>
                <w:b/>
                <w:bCs/>
                <w:color w:val="000000"/>
                <w:sz w:val="22"/>
                <w:szCs w:val="22"/>
              </w:rPr>
              <w:t>Description</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7614B749" w14:textId="77777777" w:rsidR="00620061" w:rsidRPr="00216F75" w:rsidRDefault="00620061">
            <w:pPr>
              <w:pStyle w:val="NormalWeb"/>
              <w:spacing w:before="240" w:beforeAutospacing="0" w:after="240" w:afterAutospacing="0"/>
              <w:jc w:val="center"/>
              <w:rPr>
                <w:rFonts w:ascii="Arial" w:hAnsi="Arial" w:cs="Arial"/>
                <w:sz w:val="22"/>
                <w:szCs w:val="22"/>
              </w:rPr>
            </w:pPr>
            <w:r w:rsidRPr="00216F75">
              <w:rPr>
                <w:rFonts w:ascii="Arial" w:hAnsi="Arial" w:cs="Arial"/>
                <w:b/>
                <w:bCs/>
                <w:color w:val="000000"/>
                <w:sz w:val="22"/>
                <w:szCs w:val="22"/>
              </w:rPr>
              <w:t>Unit</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13C86A87" w14:textId="77777777" w:rsidR="00620061" w:rsidRPr="00216F75" w:rsidRDefault="00620061">
            <w:pPr>
              <w:pStyle w:val="NormalWeb"/>
              <w:spacing w:before="240" w:beforeAutospacing="0" w:after="240" w:afterAutospacing="0"/>
              <w:jc w:val="center"/>
              <w:rPr>
                <w:rFonts w:ascii="Arial" w:hAnsi="Arial" w:cs="Arial"/>
                <w:sz w:val="22"/>
                <w:szCs w:val="22"/>
              </w:rPr>
            </w:pPr>
            <w:r w:rsidRPr="00216F75">
              <w:rPr>
                <w:rFonts w:ascii="Arial" w:hAnsi="Arial" w:cs="Arial"/>
                <w:b/>
                <w:bCs/>
                <w:color w:val="000000"/>
                <w:sz w:val="22"/>
                <w:szCs w:val="22"/>
              </w:rPr>
              <w:t>Data source</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AAB6C07" w14:textId="77777777" w:rsidR="00620061" w:rsidRPr="00216F75" w:rsidRDefault="00620061">
            <w:pPr>
              <w:pStyle w:val="NormalWeb"/>
              <w:spacing w:before="240" w:beforeAutospacing="0" w:after="240" w:afterAutospacing="0"/>
              <w:jc w:val="center"/>
              <w:rPr>
                <w:rFonts w:ascii="Arial" w:hAnsi="Arial" w:cs="Arial"/>
                <w:sz w:val="22"/>
                <w:szCs w:val="22"/>
              </w:rPr>
            </w:pPr>
            <w:r w:rsidRPr="00216F75">
              <w:rPr>
                <w:rFonts w:ascii="Arial" w:hAnsi="Arial" w:cs="Arial"/>
                <w:b/>
                <w:bCs/>
                <w:color w:val="000000"/>
                <w:sz w:val="22"/>
                <w:szCs w:val="22"/>
              </w:rPr>
              <w:t>Rule and guidance</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D5BF7BF" w14:textId="77777777" w:rsidR="00620061" w:rsidRPr="00216F75" w:rsidRDefault="00620061">
            <w:pPr>
              <w:pStyle w:val="NormalWeb"/>
              <w:spacing w:before="240" w:beforeAutospacing="0" w:after="240" w:afterAutospacing="0"/>
              <w:jc w:val="center"/>
              <w:rPr>
                <w:rFonts w:ascii="Arial" w:hAnsi="Arial" w:cs="Arial"/>
                <w:sz w:val="22"/>
                <w:szCs w:val="22"/>
              </w:rPr>
            </w:pPr>
            <w:r w:rsidRPr="00216F75">
              <w:rPr>
                <w:rFonts w:ascii="Arial" w:hAnsi="Arial" w:cs="Arial"/>
                <w:b/>
                <w:bCs/>
                <w:color w:val="000000"/>
                <w:sz w:val="22"/>
                <w:szCs w:val="22"/>
              </w:rPr>
              <w:t>Reference section for guidance</w:t>
            </w:r>
          </w:p>
        </w:tc>
      </w:tr>
      <w:tr w:rsidR="00620061" w:rsidRPr="00216F75" w14:paraId="70D64118"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2F2A8A1C" w14:textId="77777777" w:rsidR="00620061" w:rsidRPr="00216F75" w:rsidRDefault="00620061">
            <w:pPr>
              <w:pStyle w:val="NormalWeb"/>
              <w:spacing w:before="240" w:beforeAutospacing="0" w:after="240" w:afterAutospacing="0"/>
              <w:jc w:val="center"/>
              <w:rPr>
                <w:rFonts w:ascii="Arial" w:hAnsi="Arial" w:cs="Arial"/>
                <w:sz w:val="22"/>
                <w:szCs w:val="22"/>
              </w:rPr>
            </w:pPr>
            <m:oMath>
              <m:r>
                <w:rPr>
                  <w:rFonts w:ascii="Cambria Math" w:hAnsi="Cambria Math" w:cs="Arial"/>
                  <w:sz w:val="22"/>
                  <w:szCs w:val="22"/>
                </w:rPr>
                <m:t>t</m:t>
              </m:r>
              <m:r>
                <w:rPr>
                  <w:rFonts w:ascii="Cambria Math" w:eastAsia="Cambria Math" w:hAnsi="Cambria Math" w:cs="Arial"/>
                  <w:sz w:val="22"/>
                  <w:szCs w:val="22"/>
                </w:rPr>
                <m:t>PC</m:t>
              </m:r>
            </m:oMath>
            <w:r w:rsidRPr="00216F75">
              <w:rPr>
                <w:rFonts w:ascii="Arial" w:eastAsia="Cambria Math" w:hAnsi="Arial" w:cs="Arial"/>
                <w:i/>
                <w:iCs/>
                <w:sz w:val="22"/>
                <w:szCs w:val="22"/>
                <w:vertAlign w:val="subscript"/>
              </w:rPr>
              <w:t>b,i</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E011417"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For CTEC back-calculated baseline projects: Proportion of cooking events conducted using baseline fuel-stove combinations</w:t>
            </w:r>
            <w:r w:rsidRPr="00216F75">
              <w:rPr>
                <w:rFonts w:ascii="Arial" w:hAnsi="Arial" w:cs="Arial"/>
                <w:i/>
                <w:iCs/>
                <w:color w:val="000000"/>
                <w:sz w:val="22"/>
                <w:szCs w:val="22"/>
              </w:rPr>
              <w:t xml:space="preserve"> </w:t>
            </w:r>
            <w:proofErr w:type="spellStart"/>
            <w:r w:rsidRPr="00216F75">
              <w:rPr>
                <w:rFonts w:ascii="Arial" w:hAnsi="Arial" w:cs="Arial"/>
                <w:i/>
                <w:iCs/>
                <w:color w:val="000000"/>
                <w:sz w:val="22"/>
                <w:szCs w:val="22"/>
              </w:rPr>
              <w:t>i</w:t>
            </w:r>
            <w:proofErr w:type="spellEnd"/>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5A6C6782"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Percentage</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BCBC610"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Baseline scenario surveys or SUMs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237A1381"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95/10 for the primary cookstove-fuel combination </w:t>
            </w:r>
          </w:p>
          <w:p w14:paraId="1D4AFE7A"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 xml:space="preserve">Minimum 200 households + 0.05% of households </w:t>
            </w:r>
            <w:proofErr w:type="gramStart"/>
            <w:r w:rsidRPr="00216F75">
              <w:rPr>
                <w:rFonts w:ascii="Arial" w:hAnsi="Arial" w:cs="Arial"/>
                <w:color w:val="000000" w:themeColor="text1"/>
                <w:sz w:val="22"/>
                <w:szCs w:val="22"/>
              </w:rPr>
              <w:t>additional</w:t>
            </w:r>
            <w:proofErr w:type="gramEnd"/>
            <w:r w:rsidRPr="00216F75">
              <w:rPr>
                <w:rFonts w:ascii="Arial" w:hAnsi="Arial" w:cs="Arial"/>
                <w:color w:val="000000" w:themeColor="text1"/>
                <w:sz w:val="22"/>
                <w:szCs w:val="22"/>
              </w:rPr>
              <w:t xml:space="preserve">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1115427"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Proportional distribution</w:t>
            </w:r>
          </w:p>
        </w:tc>
      </w:tr>
      <w:tr w:rsidR="00620061" w:rsidRPr="00216F75" w14:paraId="32E4C612"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68C2942" w14:textId="77777777" w:rsidR="00620061" w:rsidRPr="00216F75" w:rsidRDefault="00620061">
            <w:pPr>
              <w:pStyle w:val="NormalWeb"/>
              <w:spacing w:before="240" w:beforeAutospacing="0" w:after="240" w:afterAutospacing="0"/>
              <w:jc w:val="center"/>
              <w:rPr>
                <w:rFonts w:ascii="Arial" w:hAnsi="Arial" w:cs="Arial"/>
                <w:sz w:val="22"/>
                <w:szCs w:val="22"/>
              </w:rPr>
            </w:pPr>
            <m:oMath>
              <m:r>
                <w:rPr>
                  <w:rFonts w:ascii="Cambria Math" w:eastAsia="Cambria Math" w:hAnsi="Cambria Math" w:cs="Arial"/>
                  <w:sz w:val="22"/>
                  <w:szCs w:val="22"/>
                </w:rPr>
                <w:lastRenderedPageBreak/>
                <m:t>PC</m:t>
              </m:r>
            </m:oMath>
            <w:r w:rsidRPr="00216F75">
              <w:rPr>
                <w:rFonts w:ascii="Arial" w:eastAsia="Cambria Math" w:hAnsi="Arial" w:cs="Arial"/>
                <w:i/>
                <w:iCs/>
                <w:sz w:val="22"/>
                <w:szCs w:val="22"/>
                <w:vertAlign w:val="subscript"/>
              </w:rPr>
              <w:t>b,i</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2A17A66A"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 xml:space="preserve">For non-CTEC and CTEC with KPT projects: Proportion of cooking events conducted using baseline fuel </w:t>
            </w:r>
            <w:proofErr w:type="spellStart"/>
            <w:r w:rsidRPr="00216F75">
              <w:rPr>
                <w:rFonts w:ascii="Arial" w:hAnsi="Arial" w:cs="Arial"/>
                <w:i/>
                <w:iCs/>
                <w:color w:val="000000"/>
                <w:sz w:val="22"/>
                <w:szCs w:val="22"/>
              </w:rPr>
              <w:t>i</w:t>
            </w:r>
            <w:proofErr w:type="spellEnd"/>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857F763"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Percentage</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11BA8ABA"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Baseline scenario surveys or SUMs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3C68BB6A"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95/10 for the primary fuel type</w:t>
            </w:r>
          </w:p>
          <w:p w14:paraId="18EAB40B"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 xml:space="preserve">Minimum 200 households + 0.05% of households </w:t>
            </w:r>
            <w:proofErr w:type="gramStart"/>
            <w:r w:rsidRPr="00216F75">
              <w:rPr>
                <w:rFonts w:ascii="Arial" w:hAnsi="Arial" w:cs="Arial"/>
                <w:color w:val="000000" w:themeColor="text1"/>
                <w:sz w:val="22"/>
                <w:szCs w:val="22"/>
              </w:rPr>
              <w:t>additional</w:t>
            </w:r>
            <w:proofErr w:type="gramEnd"/>
            <w:r w:rsidRPr="00216F75">
              <w:rPr>
                <w:rFonts w:ascii="Arial" w:hAnsi="Arial" w:cs="Arial"/>
                <w:color w:val="000000" w:themeColor="text1"/>
                <w:sz w:val="22"/>
                <w:szCs w:val="22"/>
              </w:rPr>
              <w:t xml:space="preserve">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7F09B800"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Proportional distribution</w:t>
            </w:r>
          </w:p>
        </w:tc>
      </w:tr>
      <w:tr w:rsidR="00620061" w:rsidRPr="00216F75" w14:paraId="2DFB78DE"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D8F73F0" w14:textId="77777777" w:rsidR="00620061" w:rsidRPr="00216F75" w:rsidRDefault="00620061">
            <w:pPr>
              <w:pStyle w:val="NormalWeb"/>
              <w:spacing w:before="240" w:beforeAutospacing="0" w:after="240" w:afterAutospacing="0"/>
              <w:jc w:val="center"/>
              <w:rPr>
                <w:rFonts w:ascii="Arial" w:hAnsi="Arial" w:cs="Arial"/>
                <w:sz w:val="22"/>
                <w:szCs w:val="22"/>
              </w:rPr>
            </w:pPr>
            <m:oMath>
              <m:r>
                <w:rPr>
                  <w:rFonts w:ascii="Cambria Math" w:eastAsia="Cambria Math" w:hAnsi="Cambria Math" w:cs="Arial"/>
                  <w:sz w:val="22"/>
                  <w:szCs w:val="22"/>
                </w:rPr>
                <m:t>PC</m:t>
              </m:r>
            </m:oMath>
            <w:r w:rsidRPr="00216F75">
              <w:rPr>
                <w:rFonts w:ascii="Arial" w:eastAsia="Cambria Math" w:hAnsi="Arial" w:cs="Arial"/>
                <w:i/>
                <w:iCs/>
                <w:sz w:val="22"/>
                <w:szCs w:val="22"/>
                <w:vertAlign w:val="subscript"/>
              </w:rPr>
              <w:t>p,j</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535F7808"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 xml:space="preserve">For non-CTEC and CTEC with KPT projects: Proportion of cooking events conducted using project fuel </w:t>
            </w:r>
            <w:r w:rsidRPr="00216F75">
              <w:rPr>
                <w:rFonts w:ascii="Arial" w:hAnsi="Arial" w:cs="Arial"/>
                <w:i/>
                <w:iCs/>
                <w:color w:val="000000"/>
                <w:sz w:val="22"/>
                <w:szCs w:val="22"/>
              </w:rPr>
              <w:t>j</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108CAD71"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Percentage</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7FE6760E"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Project usage surveys or SUMs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474BE528"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95/10 for the primary fuel type</w:t>
            </w:r>
          </w:p>
          <w:p w14:paraId="45A302ED"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 xml:space="preserve">Minimum 200 households + 0.05% of households </w:t>
            </w:r>
            <w:proofErr w:type="gramStart"/>
            <w:r w:rsidRPr="00216F75">
              <w:rPr>
                <w:rFonts w:ascii="Arial" w:hAnsi="Arial" w:cs="Arial"/>
                <w:color w:val="000000" w:themeColor="text1"/>
                <w:sz w:val="22"/>
                <w:szCs w:val="22"/>
              </w:rPr>
              <w:t>additional</w:t>
            </w:r>
            <w:proofErr w:type="gramEnd"/>
            <w:r w:rsidRPr="00216F75">
              <w:rPr>
                <w:rFonts w:ascii="Arial" w:hAnsi="Arial" w:cs="Arial"/>
                <w:color w:val="000000" w:themeColor="text1"/>
                <w:sz w:val="22"/>
                <w:szCs w:val="22"/>
              </w:rPr>
              <w:t xml:space="preserve">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19B41E4F"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Proportional distribution</w:t>
            </w:r>
          </w:p>
        </w:tc>
      </w:tr>
      <w:tr w:rsidR="00620061" w:rsidRPr="00216F75" w14:paraId="24C679CC"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2358B105" w14:textId="77777777" w:rsidR="00620061" w:rsidRPr="00216F75" w:rsidRDefault="00000000">
            <w:pPr>
              <w:pStyle w:val="NormalWeb"/>
              <w:spacing w:before="240" w:beforeAutospacing="0" w:after="240" w:afterAutospacing="0"/>
              <w:rPr>
                <w:rFonts w:ascii="Arial" w:hAnsi="Arial" w:cs="Arial"/>
                <w:sz w:val="22"/>
                <w:szCs w:val="22"/>
              </w:rPr>
            </w:pPr>
            <m:oMathPara>
              <m:oMath>
                <m:sSub>
                  <m:sSubPr>
                    <m:ctrlPr>
                      <w:rPr>
                        <w:rFonts w:ascii="Cambria Math" w:eastAsia="Cambria Math" w:hAnsi="Cambria Math" w:cs="Arial"/>
                        <w:sz w:val="22"/>
                        <w:szCs w:val="22"/>
                      </w:rPr>
                    </m:ctrlPr>
                  </m:sSubPr>
                  <m:e>
                    <m:r>
                      <w:rPr>
                        <w:rFonts w:ascii="Cambria Math" w:eastAsia="Cambria Math" w:hAnsi="Cambria Math" w:cs="Arial"/>
                        <w:sz w:val="22"/>
                        <w:szCs w:val="22"/>
                      </w:rPr>
                      <m:t>H</m:t>
                    </m:r>
                  </m:e>
                  <m:sub>
                    <m:r>
                      <w:rPr>
                        <w:rFonts w:ascii="Cambria Math" w:eastAsia="Cambria Math" w:hAnsi="Cambria Math" w:cs="Arial"/>
                        <w:sz w:val="22"/>
                        <w:szCs w:val="22"/>
                      </w:rPr>
                      <m:t>s</m:t>
                    </m:r>
                  </m:sub>
                </m:sSub>
              </m:oMath>
            </m:oMathPara>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1C8BD486"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Average household size</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3B64EC00" w14:textId="77777777" w:rsidR="00620061" w:rsidRPr="00216F75" w:rsidRDefault="00620061">
            <w:pPr>
              <w:pStyle w:val="NormalWeb"/>
              <w:spacing w:before="240" w:beforeAutospacing="0" w:after="240" w:afterAutospacing="0"/>
              <w:rPr>
                <w:rFonts w:ascii="Arial" w:hAnsi="Arial" w:cs="Arial"/>
                <w:sz w:val="22"/>
                <w:szCs w:val="22"/>
              </w:rPr>
            </w:pPr>
            <w:proofErr w:type="gramStart"/>
            <w:r w:rsidRPr="00216F75">
              <w:rPr>
                <w:rFonts w:ascii="Arial" w:hAnsi="Arial" w:cs="Arial"/>
                <w:color w:val="000000"/>
                <w:sz w:val="22"/>
                <w:szCs w:val="22"/>
              </w:rPr>
              <w:t>Persons</w:t>
            </w:r>
            <w:proofErr w:type="gramEnd"/>
            <w:r w:rsidRPr="00216F75">
              <w:rPr>
                <w:rFonts w:ascii="Arial" w:hAnsi="Arial" w:cs="Arial"/>
                <w:color w:val="000000"/>
                <w:sz w:val="22"/>
                <w:szCs w:val="22"/>
              </w:rPr>
              <w:t xml:space="preserve"> per household (Number)</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29BE953E"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Baseline and project usage surveys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0F702BD1" w14:textId="77777777" w:rsidR="00620061" w:rsidRPr="00216F75" w:rsidRDefault="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95/10</w:t>
            </w:r>
          </w:p>
          <w:p w14:paraId="5D4D9E8E" w14:textId="77777777" w:rsidR="00620061" w:rsidRPr="00216F75" w:rsidRDefault="00620061">
            <w:pPr>
              <w:rPr>
                <w:rFonts w:cs="Arial"/>
                <w:szCs w:val="22"/>
              </w:rPr>
            </w:pPr>
          </w:p>
          <w:p w14:paraId="05C89F2E" w14:textId="77777777" w:rsidR="00620061" w:rsidRPr="00216F75" w:rsidRDefault="00620061">
            <w:pPr>
              <w:pStyle w:val="NormalWeb"/>
              <w:spacing w:before="0" w:beforeAutospacing="0" w:after="0" w:afterAutospacing="0"/>
              <w:rPr>
                <w:rFonts w:ascii="Arial" w:hAnsi="Arial" w:cs="Arial"/>
                <w:sz w:val="22"/>
                <w:szCs w:val="22"/>
              </w:rPr>
            </w:pPr>
            <w:r w:rsidRPr="00216F75">
              <w:rPr>
                <w:rFonts w:ascii="Arial" w:hAnsi="Arial" w:cs="Arial"/>
                <w:color w:val="000000" w:themeColor="text1"/>
                <w:sz w:val="22"/>
                <w:szCs w:val="22"/>
              </w:rPr>
              <w:t xml:space="preserve">Minimum 200 households + 0.05% of households </w:t>
            </w:r>
            <w:proofErr w:type="gramStart"/>
            <w:r w:rsidRPr="00216F75">
              <w:rPr>
                <w:rFonts w:ascii="Arial" w:hAnsi="Arial" w:cs="Arial"/>
                <w:color w:val="000000" w:themeColor="text1"/>
                <w:sz w:val="22"/>
                <w:szCs w:val="22"/>
              </w:rPr>
              <w:t>additional</w:t>
            </w:r>
            <w:proofErr w:type="gramEnd"/>
            <w:r w:rsidRPr="00216F75">
              <w:rPr>
                <w:rFonts w:ascii="Arial" w:hAnsi="Arial" w:cs="Arial"/>
                <w:color w:val="000000" w:themeColor="text1"/>
                <w:sz w:val="22"/>
                <w:szCs w:val="22"/>
              </w:rPr>
              <w:t xml:space="preserve">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7C8F6945"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Continuous distribution</w:t>
            </w:r>
          </w:p>
        </w:tc>
      </w:tr>
      <w:tr w:rsidR="00620061" w:rsidRPr="00216F75" w14:paraId="19A86427"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D3B5927" w14:textId="77777777" w:rsidR="00620061" w:rsidRPr="00216F75" w:rsidRDefault="00000000">
            <w:pPr>
              <w:pStyle w:val="NormalWeb"/>
              <w:spacing w:before="240" w:beforeAutospacing="0" w:after="240" w:afterAutospacing="0"/>
              <w:rPr>
                <w:rFonts w:ascii="Arial" w:hAnsi="Arial" w:cs="Arial"/>
                <w:color w:val="000000"/>
                <w:sz w:val="22"/>
                <w:szCs w:val="22"/>
                <w:vertAlign w:val="subscript"/>
              </w:rPr>
            </w:pPr>
            <m:oMathPara>
              <m:oMath>
                <m:sSub>
                  <m:sSubPr>
                    <m:ctrlPr>
                      <w:rPr>
                        <w:rFonts w:ascii="Cambria Math" w:eastAsia="Cambria Math" w:hAnsi="Cambria Math" w:cs="Arial"/>
                        <w:sz w:val="22"/>
                        <w:szCs w:val="22"/>
                      </w:rPr>
                    </m:ctrlPr>
                  </m:sSubPr>
                  <m:e>
                    <m:r>
                      <w:rPr>
                        <w:rFonts w:ascii="Cambria Math" w:eastAsia="Cambria Math" w:hAnsi="Cambria Math" w:cs="Arial"/>
                        <w:sz w:val="22"/>
                        <w:szCs w:val="22"/>
                      </w:rPr>
                      <m:t>∑EC</m:t>
                    </m:r>
                  </m:e>
                  <m:sub>
                    <m:r>
                      <w:rPr>
                        <w:rFonts w:ascii="Cambria Math" w:eastAsia="Cambria Math" w:hAnsi="Cambria Math" w:cs="Arial"/>
                        <w:sz w:val="22"/>
                        <w:szCs w:val="22"/>
                      </w:rPr>
                      <m:t>base,i</m:t>
                    </m:r>
                  </m:sub>
                </m:sSub>
              </m:oMath>
            </m:oMathPara>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18D82967"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Total energy consumption of baseline fuels (</w:t>
            </w:r>
            <w:proofErr w:type="spellStart"/>
            <w:r w:rsidRPr="00216F75">
              <w:rPr>
                <w:rFonts w:ascii="Arial" w:hAnsi="Arial" w:cs="Arial"/>
                <w:i/>
                <w:iCs/>
                <w:color w:val="000000"/>
                <w:sz w:val="22"/>
                <w:szCs w:val="22"/>
              </w:rPr>
              <w:t>i</w:t>
            </w:r>
            <w:proofErr w:type="spellEnd"/>
            <w:r w:rsidRPr="00216F75">
              <w:rPr>
                <w:rFonts w:ascii="Arial" w:hAnsi="Arial" w:cs="Arial"/>
                <w:color w:val="000000"/>
                <w:sz w:val="22"/>
                <w:szCs w:val="22"/>
              </w:rPr>
              <w:t>) non-CTEC projects (summed over all fuels used in households)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37B90E30"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TJ/(person*year)</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51622300"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KPT</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3CE58F7E"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95/10</w:t>
            </w:r>
          </w:p>
          <w:p w14:paraId="4DBE9C1B"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Minimum 100 households + 0.05% of households additional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24778EA7"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Continuous distribution</w:t>
            </w:r>
          </w:p>
        </w:tc>
      </w:tr>
      <w:tr w:rsidR="00620061" w:rsidRPr="00216F75" w14:paraId="55450FCA"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C16EA95" w14:textId="77777777" w:rsidR="00620061" w:rsidRPr="00216F75" w:rsidRDefault="00000000">
            <w:pPr>
              <w:pStyle w:val="NormalWeb"/>
              <w:spacing w:before="240" w:beforeAutospacing="0" w:after="240" w:afterAutospacing="0"/>
              <w:rPr>
                <w:rFonts w:ascii="Arial" w:hAnsi="Arial" w:cs="Arial"/>
                <w:sz w:val="22"/>
                <w:szCs w:val="22"/>
              </w:rPr>
            </w:pPr>
            <m:oMathPara>
              <m:oMath>
                <m:sSub>
                  <m:sSubPr>
                    <m:ctrlPr>
                      <w:rPr>
                        <w:rFonts w:ascii="Cambria Math" w:eastAsia="Cambria Math" w:hAnsi="Cambria Math" w:cs="Arial"/>
                        <w:sz w:val="22"/>
                        <w:szCs w:val="22"/>
                      </w:rPr>
                    </m:ctrlPr>
                  </m:sSubPr>
                  <m:e>
                    <m:r>
                      <w:rPr>
                        <w:rFonts w:ascii="Cambria Math" w:eastAsia="Cambria Math" w:hAnsi="Cambria Math" w:cs="Arial"/>
                        <w:sz w:val="22"/>
                        <w:szCs w:val="22"/>
                      </w:rPr>
                      <m:t>∑EC</m:t>
                    </m:r>
                  </m:e>
                  <m:sub>
                    <m:r>
                      <w:rPr>
                        <w:rFonts w:ascii="Cambria Math" w:eastAsia="Cambria Math" w:hAnsi="Cambria Math" w:cs="Arial"/>
                        <w:sz w:val="22"/>
                        <w:szCs w:val="22"/>
                      </w:rPr>
                      <m:t>proj,j</m:t>
                    </m:r>
                  </m:sub>
                </m:sSub>
              </m:oMath>
            </m:oMathPara>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46323BBB"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Total energy consumption of project fuels (</w:t>
            </w:r>
            <w:r w:rsidRPr="00216F75">
              <w:rPr>
                <w:rFonts w:ascii="Arial" w:hAnsi="Arial" w:cs="Arial"/>
                <w:i/>
                <w:iCs/>
                <w:color w:val="000000"/>
                <w:sz w:val="22"/>
                <w:szCs w:val="22"/>
              </w:rPr>
              <w:t>j</w:t>
            </w:r>
            <w:r w:rsidRPr="00216F75">
              <w:rPr>
                <w:rFonts w:ascii="Arial" w:hAnsi="Arial" w:cs="Arial"/>
                <w:color w:val="000000"/>
                <w:sz w:val="22"/>
                <w:szCs w:val="22"/>
              </w:rPr>
              <w:t xml:space="preserve">) non-CTEC projects </w:t>
            </w:r>
            <w:r w:rsidRPr="00216F75">
              <w:rPr>
                <w:rFonts w:ascii="Arial" w:hAnsi="Arial" w:cs="Arial"/>
                <w:color w:val="000000"/>
                <w:sz w:val="22"/>
                <w:szCs w:val="22"/>
              </w:rPr>
              <w:lastRenderedPageBreak/>
              <w:t>(summed over all fuels used in households)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102A5A77"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lastRenderedPageBreak/>
              <w:t>TJ/(person*year)</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43DD3F6D"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KPT</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19D71B48"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95/10</w:t>
            </w:r>
          </w:p>
          <w:p w14:paraId="6C3E5519"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 xml:space="preserve">Minimum 100 households </w:t>
            </w:r>
            <w:r w:rsidRPr="00216F75">
              <w:rPr>
                <w:rFonts w:ascii="Arial" w:hAnsi="Arial" w:cs="Arial"/>
                <w:color w:val="000000" w:themeColor="text1"/>
                <w:sz w:val="22"/>
                <w:szCs w:val="22"/>
              </w:rPr>
              <w:lastRenderedPageBreak/>
              <w:t>+ 0.05% of households additional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2E5385E9"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lastRenderedPageBreak/>
              <w:t>Continuous distribution</w:t>
            </w:r>
          </w:p>
        </w:tc>
      </w:tr>
      <w:tr w:rsidR="00620061" w:rsidRPr="00216F75" w14:paraId="661784BB"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557B918C" w14:textId="77777777" w:rsidR="00620061" w:rsidRPr="00216F75" w:rsidRDefault="00000000">
            <w:pPr>
              <w:pStyle w:val="NormalWeb"/>
              <w:spacing w:before="240" w:beforeAutospacing="0" w:after="240" w:afterAutospacing="0"/>
              <w:rPr>
                <w:rFonts w:ascii="Arial" w:hAnsi="Arial" w:cs="Arial"/>
                <w:sz w:val="22"/>
                <w:szCs w:val="22"/>
              </w:rPr>
            </w:pPr>
            <m:oMathPara>
              <m:oMath>
                <m:sSub>
                  <m:sSubPr>
                    <m:ctrlPr>
                      <w:rPr>
                        <w:rFonts w:ascii="Cambria Math" w:eastAsia="Cambria Math" w:hAnsi="Cambria Math" w:cs="Arial"/>
                        <w:sz w:val="22"/>
                        <w:szCs w:val="22"/>
                      </w:rPr>
                    </m:ctrlPr>
                  </m:sSubPr>
                  <m:e>
                    <m:r>
                      <w:rPr>
                        <w:rFonts w:ascii="Cambria Math" w:eastAsia="Cambria Math" w:hAnsi="Cambria Math" w:cs="Arial"/>
                        <w:sz w:val="22"/>
                        <w:szCs w:val="22"/>
                      </w:rPr>
                      <m:t>SC</m:t>
                    </m:r>
                  </m:e>
                  <m:sub>
                    <m:r>
                      <w:rPr>
                        <w:rFonts w:ascii="Cambria Math" w:eastAsia="Cambria Math" w:hAnsi="Cambria Math" w:cs="Arial"/>
                        <w:sz w:val="22"/>
                        <w:szCs w:val="22"/>
                      </w:rPr>
                      <m:t>b,i</m:t>
                    </m:r>
                  </m:sub>
                </m:sSub>
              </m:oMath>
            </m:oMathPara>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08B878C"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 xml:space="preserve">Specific energy consumption of a baseline fuel-stove combination </w:t>
            </w:r>
            <w:proofErr w:type="spellStart"/>
            <w:r w:rsidRPr="00216F75">
              <w:rPr>
                <w:rFonts w:ascii="Arial" w:hAnsi="Arial" w:cs="Arial"/>
                <w:i/>
                <w:iCs/>
                <w:color w:val="000000"/>
                <w:sz w:val="22"/>
                <w:szCs w:val="22"/>
              </w:rPr>
              <w:t>i</w:t>
            </w:r>
            <w:proofErr w:type="spellEnd"/>
            <w:r w:rsidRPr="00216F75">
              <w:rPr>
                <w:rFonts w:ascii="Arial" w:hAnsi="Arial" w:cs="Arial"/>
                <w:i/>
                <w:iCs/>
                <w:color w:val="000000"/>
                <w:sz w:val="22"/>
                <w:szCs w:val="22"/>
              </w:rPr>
              <w:t xml:space="preserve"> </w:t>
            </w:r>
            <w:r w:rsidRPr="00216F75">
              <w:rPr>
                <w:rFonts w:ascii="Arial" w:hAnsi="Arial" w:cs="Arial"/>
                <w:color w:val="000000"/>
                <w:sz w:val="22"/>
                <w:szCs w:val="22"/>
              </w:rPr>
              <w:t>to cook a given amount of food</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3DBB79E"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MJ/kg food</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1F1FCCE4"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CCT</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22041769" w14:textId="77777777" w:rsidR="00620061" w:rsidRPr="00216F75" w:rsidRDefault="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95/10</w:t>
            </w:r>
          </w:p>
          <w:p w14:paraId="1202E3C3" w14:textId="77777777" w:rsidR="00620061" w:rsidRPr="00216F75" w:rsidRDefault="00620061">
            <w:pPr>
              <w:rPr>
                <w:rFonts w:cs="Arial"/>
                <w:szCs w:val="22"/>
              </w:rPr>
            </w:pPr>
          </w:p>
          <w:p w14:paraId="13E86C0C" w14:textId="77777777" w:rsidR="00620061" w:rsidRPr="00216F75" w:rsidRDefault="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Minimum 9 CCTs per cookstove type</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5685CD08"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Continuous distribution</w:t>
            </w:r>
          </w:p>
        </w:tc>
      </w:tr>
      <w:tr w:rsidR="00620061" w:rsidRPr="00216F75" w14:paraId="6DA814D0"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2F4BF3C5" w14:textId="77777777" w:rsidR="00620061" w:rsidRPr="00216F75" w:rsidRDefault="00000000">
            <w:pPr>
              <w:pStyle w:val="NormalWeb"/>
              <w:spacing w:before="240" w:beforeAutospacing="0" w:after="240" w:afterAutospacing="0"/>
              <w:rPr>
                <w:rFonts w:ascii="Arial" w:hAnsi="Arial" w:cs="Arial"/>
                <w:sz w:val="22"/>
                <w:szCs w:val="22"/>
              </w:rPr>
            </w:pPr>
            <m:oMathPara>
              <m:oMath>
                <m:sSub>
                  <m:sSubPr>
                    <m:ctrlPr>
                      <w:rPr>
                        <w:rFonts w:ascii="Cambria Math" w:eastAsia="Cambria Math" w:hAnsi="Cambria Math" w:cs="Arial"/>
                        <w:sz w:val="22"/>
                        <w:szCs w:val="22"/>
                      </w:rPr>
                    </m:ctrlPr>
                  </m:sSubPr>
                  <m:e>
                    <m:r>
                      <w:rPr>
                        <w:rFonts w:ascii="Cambria Math" w:eastAsia="Cambria Math" w:hAnsi="Cambria Math" w:cs="Arial"/>
                        <w:sz w:val="22"/>
                        <w:szCs w:val="22"/>
                      </w:rPr>
                      <m:t>SC</m:t>
                    </m:r>
                  </m:e>
                  <m:sub>
                    <m:r>
                      <w:rPr>
                        <w:rFonts w:ascii="Cambria Math" w:eastAsia="Cambria Math" w:hAnsi="Cambria Math" w:cs="Arial"/>
                        <w:sz w:val="22"/>
                        <w:szCs w:val="22"/>
                      </w:rPr>
                      <m:t>p,j</m:t>
                    </m:r>
                  </m:sub>
                </m:sSub>
              </m:oMath>
            </m:oMathPara>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FD38D62"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 xml:space="preserve">Specific energy consumption of a project fuel-stove combination </w:t>
            </w:r>
            <w:r w:rsidRPr="00216F75">
              <w:rPr>
                <w:rFonts w:ascii="Arial" w:hAnsi="Arial" w:cs="Arial"/>
                <w:i/>
                <w:iCs/>
                <w:color w:val="000000"/>
                <w:sz w:val="22"/>
                <w:szCs w:val="22"/>
              </w:rPr>
              <w:t xml:space="preserve">j </w:t>
            </w:r>
            <w:r w:rsidRPr="00216F75">
              <w:rPr>
                <w:rFonts w:ascii="Arial" w:hAnsi="Arial" w:cs="Arial"/>
                <w:color w:val="000000"/>
                <w:sz w:val="22"/>
                <w:szCs w:val="22"/>
              </w:rPr>
              <w:t>to cook a given amount of food</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41E3A0A6"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MJ/kg food</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5496D50C"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CCT</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397817E8"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95/10</w:t>
            </w:r>
          </w:p>
          <w:p w14:paraId="4F3A045C" w14:textId="77777777" w:rsidR="00620061" w:rsidRPr="00216F75" w:rsidRDefault="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Minimum 9 CCTs per cookstove type</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7FC61888"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Continuous distribution</w:t>
            </w:r>
          </w:p>
        </w:tc>
      </w:tr>
      <w:tr w:rsidR="00620061" w:rsidRPr="00216F75" w14:paraId="7F94EA24"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4334FB2" w14:textId="77777777" w:rsidR="00620061" w:rsidRPr="00216F75" w:rsidRDefault="00000000">
            <w:pPr>
              <w:pStyle w:val="NormalWeb"/>
              <w:spacing w:before="240" w:beforeAutospacing="0" w:after="240" w:afterAutospacing="0"/>
              <w:rPr>
                <w:rFonts w:ascii="Arial" w:hAnsi="Arial" w:cs="Arial"/>
                <w:color w:val="000000"/>
                <w:sz w:val="22"/>
                <w:szCs w:val="22"/>
                <w:vertAlign w:val="subscript"/>
              </w:rPr>
            </w:pPr>
            <m:oMathPara>
              <m:oMath>
                <m:sSub>
                  <m:sSubPr>
                    <m:ctrlPr>
                      <w:rPr>
                        <w:rFonts w:ascii="Cambria Math" w:eastAsia="Cambria Math" w:hAnsi="Cambria Math" w:cs="Arial"/>
                        <w:sz w:val="22"/>
                        <w:szCs w:val="22"/>
                      </w:rPr>
                    </m:ctrlPr>
                  </m:sSubPr>
                  <m:e>
                    <m:r>
                      <w:rPr>
                        <w:rFonts w:ascii="Cambria Math" w:eastAsia="Cambria Math" w:hAnsi="Cambria Math" w:cs="Arial"/>
                        <w:sz w:val="22"/>
                        <w:szCs w:val="22"/>
                      </w:rPr>
                      <m:t>∑tEC</m:t>
                    </m:r>
                  </m:e>
                  <m:sub>
                    <m:r>
                      <w:rPr>
                        <w:rFonts w:ascii="Cambria Math" w:eastAsia="Cambria Math" w:hAnsi="Cambria Math" w:cs="Arial"/>
                        <w:sz w:val="22"/>
                        <w:szCs w:val="22"/>
                      </w:rPr>
                      <m:t>base,KPT,i</m:t>
                    </m:r>
                  </m:sub>
                </m:sSub>
              </m:oMath>
            </m:oMathPara>
          </w:p>
          <w:p w14:paraId="1F853B4E" w14:textId="77777777" w:rsidR="00620061" w:rsidRPr="00216F75" w:rsidRDefault="00620061">
            <w:pPr>
              <w:pStyle w:val="NormalWeb"/>
              <w:spacing w:before="240" w:beforeAutospacing="0" w:after="240" w:afterAutospacing="0"/>
              <w:rPr>
                <w:rFonts w:ascii="Arial" w:hAnsi="Arial" w:cs="Arial"/>
                <w:sz w:val="22"/>
                <w:szCs w:val="22"/>
              </w:rPr>
            </w:pP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5540D86E"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Total energy consumption of baseline fuels (</w:t>
            </w:r>
            <w:proofErr w:type="spellStart"/>
            <w:r w:rsidRPr="00216F75">
              <w:rPr>
                <w:rFonts w:ascii="Arial" w:hAnsi="Arial" w:cs="Arial"/>
                <w:i/>
                <w:iCs/>
                <w:color w:val="000000"/>
                <w:sz w:val="22"/>
                <w:szCs w:val="22"/>
              </w:rPr>
              <w:t>i</w:t>
            </w:r>
            <w:proofErr w:type="spellEnd"/>
            <w:r w:rsidRPr="00216F75">
              <w:rPr>
                <w:rFonts w:ascii="Arial" w:hAnsi="Arial" w:cs="Arial"/>
                <w:color w:val="000000"/>
                <w:sz w:val="22"/>
                <w:szCs w:val="22"/>
              </w:rPr>
              <w:t>) for CTEC projects from KPT</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33BBDD89"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TJ/(person*year)</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492EA7FC"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KPT</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1DEF58DF" w14:textId="77777777" w:rsidR="00620061" w:rsidRPr="00216F75" w:rsidRDefault="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95/10</w:t>
            </w:r>
          </w:p>
          <w:p w14:paraId="02313330"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Minimum 100 households + 0.05% of households additional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3485798D"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Continuous distribution</w:t>
            </w:r>
          </w:p>
        </w:tc>
      </w:tr>
      <w:tr w:rsidR="00620061" w:rsidRPr="00216F75" w14:paraId="301E342A"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EE768B5" w14:textId="77777777" w:rsidR="00620061" w:rsidRPr="00216F75" w:rsidRDefault="00000000">
            <w:pPr>
              <w:pStyle w:val="NormalWeb"/>
              <w:spacing w:before="240" w:beforeAutospacing="0" w:after="240" w:afterAutospacing="0"/>
              <w:rPr>
                <w:rFonts w:ascii="Arial" w:hAnsi="Arial" w:cs="Arial"/>
                <w:sz w:val="22"/>
                <w:szCs w:val="22"/>
              </w:rPr>
            </w:pPr>
            <m:oMathPara>
              <m:oMath>
                <m:sSub>
                  <m:sSubPr>
                    <m:ctrlPr>
                      <w:rPr>
                        <w:rFonts w:ascii="Cambria Math" w:eastAsia="Cambria Math" w:hAnsi="Cambria Math" w:cs="Arial"/>
                        <w:sz w:val="22"/>
                        <w:szCs w:val="22"/>
                      </w:rPr>
                    </m:ctrlPr>
                  </m:sSubPr>
                  <m:e>
                    <m:r>
                      <w:rPr>
                        <w:rFonts w:ascii="Cambria Math" w:eastAsia="Cambria Math" w:hAnsi="Cambria Math" w:cs="Arial"/>
                        <w:sz w:val="22"/>
                        <w:szCs w:val="22"/>
                      </w:rPr>
                      <m:t>∑tEC</m:t>
                    </m:r>
                  </m:e>
                  <m:sub>
                    <m:r>
                      <w:rPr>
                        <w:rFonts w:ascii="Cambria Math" w:eastAsia="Cambria Math" w:hAnsi="Cambria Math" w:cs="Arial"/>
                        <w:sz w:val="22"/>
                        <w:szCs w:val="22"/>
                      </w:rPr>
                      <m:t>proj,KPT,j</m:t>
                    </m:r>
                  </m:sub>
                </m:sSub>
              </m:oMath>
            </m:oMathPara>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5EA8A485"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Total energy consumption of all fuels in project scenario (</w:t>
            </w:r>
            <w:r w:rsidRPr="00216F75">
              <w:rPr>
                <w:rFonts w:ascii="Arial" w:hAnsi="Arial" w:cs="Arial"/>
                <w:i/>
                <w:iCs/>
                <w:color w:val="000000"/>
                <w:sz w:val="22"/>
                <w:szCs w:val="22"/>
              </w:rPr>
              <w:t>j</w:t>
            </w:r>
            <w:r w:rsidRPr="00216F75">
              <w:rPr>
                <w:rFonts w:ascii="Arial" w:hAnsi="Arial" w:cs="Arial"/>
                <w:color w:val="000000"/>
                <w:sz w:val="22"/>
                <w:szCs w:val="22"/>
              </w:rPr>
              <w:t>) for CTEC projects from KPT</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6BC6813"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TJ/(person*year)</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4F147A5"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KPT</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375634E5"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95/10</w:t>
            </w:r>
          </w:p>
          <w:p w14:paraId="013818A0"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Minimum 100 households + 0.05% of households additional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0156706"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Continuous distribution</w:t>
            </w:r>
          </w:p>
        </w:tc>
      </w:tr>
      <w:tr w:rsidR="00620061" w:rsidRPr="00216F75" w14:paraId="2DB0E724"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11C3EC2D" w14:textId="77777777" w:rsidR="00620061" w:rsidRPr="00216F75" w:rsidRDefault="00000000">
            <w:pPr>
              <w:pStyle w:val="NormalWeb"/>
              <w:spacing w:before="240" w:beforeAutospacing="0" w:after="240" w:afterAutospacing="0"/>
              <w:rPr>
                <w:rFonts w:ascii="Arial" w:hAnsi="Arial" w:cs="Arial"/>
                <w:sz w:val="22"/>
                <w:szCs w:val="22"/>
              </w:rPr>
            </w:pPr>
            <m:oMathPara>
              <m:oMath>
                <m:sSub>
                  <m:sSubPr>
                    <m:ctrlPr>
                      <w:rPr>
                        <w:rFonts w:ascii="Cambria Math" w:eastAsia="Cambria Math" w:hAnsi="Cambria Math" w:cs="Arial"/>
                        <w:sz w:val="22"/>
                        <w:szCs w:val="22"/>
                      </w:rPr>
                    </m:ctrlPr>
                  </m:sSubPr>
                  <m:e>
                    <m:r>
                      <w:rPr>
                        <w:rFonts w:ascii="Cambria Math" w:eastAsia="Cambria Math" w:hAnsi="Cambria Math" w:cs="Arial"/>
                        <w:sz w:val="22"/>
                        <w:szCs w:val="22"/>
                      </w:rPr>
                      <m:t>PTC</m:t>
                    </m:r>
                  </m:e>
                  <m:sub>
                    <m:r>
                      <w:rPr>
                        <w:rFonts w:ascii="Cambria Math" w:eastAsia="Cambria Math" w:hAnsi="Cambria Math" w:cs="Arial"/>
                        <w:sz w:val="22"/>
                        <w:szCs w:val="22"/>
                      </w:rPr>
                      <m:t>m</m:t>
                    </m:r>
                  </m:sub>
                </m:sSub>
              </m:oMath>
            </m:oMathPara>
          </w:p>
        </w:tc>
        <w:tc>
          <w:tcPr>
            <w:tcW w:w="0" w:type="auto"/>
            <w:tcBorders>
              <w:top w:val="single" w:sz="8" w:space="0" w:color="000000" w:themeColor="text1"/>
              <w:left w:val="single" w:sz="8" w:space="0" w:color="000000" w:themeColor="text1"/>
              <w:bottom w:val="single" w:sz="6" w:space="0" w:color="BFBFBF" w:themeColor="background1" w:themeShade="BF"/>
              <w:right w:val="single" w:sz="8" w:space="0" w:color="000000" w:themeColor="text1"/>
            </w:tcBorders>
            <w:tcMar>
              <w:top w:w="0" w:type="dxa"/>
              <w:left w:w="100" w:type="dxa"/>
              <w:bottom w:w="0" w:type="dxa"/>
              <w:right w:w="100" w:type="dxa"/>
            </w:tcMar>
            <w:vAlign w:val="center"/>
            <w:hideMark/>
          </w:tcPr>
          <w:p w14:paraId="244847AD" w14:textId="77777777" w:rsidR="00620061" w:rsidRPr="00216F75" w:rsidRDefault="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 xml:space="preserve">Average project technology cooking events per </w:t>
            </w:r>
            <w:proofErr w:type="gramStart"/>
            <w:r w:rsidRPr="00216F75">
              <w:rPr>
                <w:rFonts w:ascii="Arial" w:hAnsi="Arial" w:cs="Arial"/>
                <w:color w:val="000000"/>
                <w:sz w:val="22"/>
                <w:szCs w:val="22"/>
              </w:rPr>
              <w:t>day</w:t>
            </w:r>
            <w:proofErr w:type="gramEnd"/>
            <w:r w:rsidRPr="00216F75">
              <w:rPr>
                <w:rFonts w:ascii="Arial" w:hAnsi="Arial" w:cs="Arial"/>
                <w:color w:val="000000"/>
                <w:sz w:val="22"/>
                <w:szCs w:val="22"/>
              </w:rPr>
              <w:t xml:space="preserve"> over 1 month from </w:t>
            </w:r>
            <w:r w:rsidRPr="00216F75">
              <w:rPr>
                <w:rFonts w:ascii="Arial" w:hAnsi="Arial" w:cs="Arial"/>
                <w:color w:val="000000"/>
                <w:sz w:val="22"/>
                <w:szCs w:val="22"/>
              </w:rPr>
              <w:lastRenderedPageBreak/>
              <w:t>SUMs measurements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3F27CB6"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lastRenderedPageBreak/>
              <w:t>Cooking events/day</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08A702D3"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SUMs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vAlign w:val="center"/>
            <w:hideMark/>
          </w:tcPr>
          <w:p w14:paraId="0A240EAE" w14:textId="77777777" w:rsidR="00620061" w:rsidRPr="00216F75" w:rsidRDefault="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95/10</w:t>
            </w:r>
          </w:p>
          <w:p w14:paraId="2453DB44"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 xml:space="preserve">Minimum 100 households + 0.05% of households </w:t>
            </w:r>
            <w:r w:rsidRPr="00216F75">
              <w:rPr>
                <w:rFonts w:ascii="Arial" w:hAnsi="Arial" w:cs="Arial"/>
                <w:color w:val="000000" w:themeColor="text1"/>
                <w:sz w:val="22"/>
                <w:szCs w:val="22"/>
              </w:rPr>
              <w:lastRenderedPageBreak/>
              <w:t>additional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400F8011"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lastRenderedPageBreak/>
              <w:t>Continuous distribution</w:t>
            </w:r>
          </w:p>
        </w:tc>
      </w:tr>
      <w:tr w:rsidR="00620061" w:rsidRPr="00216F75" w14:paraId="53D51B47"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76A0172F" w14:textId="77777777" w:rsidR="00620061" w:rsidRPr="00216F75" w:rsidRDefault="00000000">
            <w:pPr>
              <w:pStyle w:val="NormalWeb"/>
              <w:spacing w:before="240" w:beforeAutospacing="0" w:after="240" w:afterAutospacing="0"/>
              <w:rPr>
                <w:rFonts w:ascii="Arial" w:hAnsi="Arial" w:cs="Arial"/>
                <w:sz w:val="22"/>
                <w:szCs w:val="22"/>
              </w:rPr>
            </w:pPr>
            <m:oMathPara>
              <m:oMath>
                <m:sSub>
                  <m:sSubPr>
                    <m:ctrlPr>
                      <w:rPr>
                        <w:rFonts w:ascii="Cambria Math" w:eastAsia="Cambria Math" w:hAnsi="Cambria Math" w:cs="Arial"/>
                        <w:sz w:val="22"/>
                        <w:szCs w:val="22"/>
                      </w:rPr>
                    </m:ctrlPr>
                  </m:sSubPr>
                  <m:e>
                    <m:r>
                      <w:rPr>
                        <w:rFonts w:ascii="Cambria Math" w:eastAsia="Cambria Math" w:hAnsi="Cambria Math" w:cs="Arial"/>
                        <w:sz w:val="22"/>
                        <w:szCs w:val="22"/>
                      </w:rPr>
                      <m:t>PTC</m:t>
                    </m:r>
                  </m:e>
                  <m:sub>
                    <m:r>
                      <w:rPr>
                        <w:rFonts w:ascii="Cambria Math" w:eastAsia="Cambria Math" w:hAnsi="Cambria Math" w:cs="Arial"/>
                        <w:sz w:val="22"/>
                        <w:szCs w:val="22"/>
                      </w:rPr>
                      <m:t>KPT</m:t>
                    </m:r>
                  </m:sub>
                </m:sSub>
              </m:oMath>
            </m:oMathPara>
          </w:p>
        </w:tc>
        <w:tc>
          <w:tcPr>
            <w:tcW w:w="0" w:type="auto"/>
            <w:tcBorders>
              <w:top w:val="single" w:sz="6" w:space="0" w:color="BFBFBF" w:themeColor="background1" w:themeShade="BF"/>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vAlign w:val="center"/>
            <w:hideMark/>
          </w:tcPr>
          <w:p w14:paraId="76A64E5F" w14:textId="77777777" w:rsidR="00620061" w:rsidRPr="00216F75" w:rsidRDefault="00620061">
            <w:pPr>
              <w:pStyle w:val="NormalWeb"/>
              <w:spacing w:before="0" w:beforeAutospacing="0" w:after="0" w:afterAutospacing="0"/>
              <w:rPr>
                <w:rFonts w:ascii="Arial" w:hAnsi="Arial" w:cs="Arial"/>
                <w:sz w:val="22"/>
                <w:szCs w:val="22"/>
              </w:rPr>
            </w:pPr>
            <w:r w:rsidRPr="00216F75">
              <w:rPr>
                <w:rFonts w:ascii="Arial" w:hAnsi="Arial" w:cs="Arial"/>
                <w:color w:val="000000"/>
                <w:sz w:val="22"/>
                <w:szCs w:val="22"/>
              </w:rPr>
              <w:t>Average project technology cooking events per day over the project KPT from SUMs measurements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5198CB8"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Cooking events/day</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20385293"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SUMs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2BC4A22D"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95/10</w:t>
            </w:r>
          </w:p>
          <w:p w14:paraId="318E6AD8"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Minimum 100 households + 0.05% of households additional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3FA5B9C9"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Continuous distribution</w:t>
            </w:r>
          </w:p>
        </w:tc>
      </w:tr>
      <w:tr w:rsidR="00620061" w:rsidRPr="00216F75" w14:paraId="049DADF2" w14:textId="77777777">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318442AB" w14:textId="77777777" w:rsidR="00620061" w:rsidRPr="00216F75" w:rsidRDefault="00000000">
            <w:pPr>
              <w:pStyle w:val="NormalWeb"/>
              <w:spacing w:before="240" w:beforeAutospacing="0" w:after="240" w:afterAutospacing="0"/>
              <w:jc w:val="center"/>
              <w:rPr>
                <w:rFonts w:ascii="Arial" w:hAnsi="Arial" w:cs="Arial"/>
                <w:sz w:val="22"/>
                <w:szCs w:val="22"/>
              </w:rPr>
            </w:pPr>
            <m:oMathPara>
              <m:oMath>
                <m:sSub>
                  <m:sSubPr>
                    <m:ctrlPr>
                      <w:rPr>
                        <w:rFonts w:ascii="Cambria Math" w:eastAsia="Cambria Math" w:hAnsi="Cambria Math" w:cs="Arial"/>
                        <w:sz w:val="22"/>
                        <w:szCs w:val="22"/>
                      </w:rPr>
                    </m:ctrlPr>
                  </m:sSubPr>
                  <m:e>
                    <m:r>
                      <w:rPr>
                        <w:rFonts w:ascii="Cambria Math" w:eastAsia="Roboto" w:hAnsi="Cambria Math" w:cs="Arial"/>
                        <w:color w:val="040C28"/>
                        <w:sz w:val="22"/>
                        <w:szCs w:val="22"/>
                        <w:highlight w:val="white"/>
                      </w:rPr>
                      <m:t>Ψ</m:t>
                    </m:r>
                  </m:e>
                  <m:sub/>
                </m:sSub>
              </m:oMath>
            </m:oMathPara>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39FE65B9"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 xml:space="preserve">Percent of project households with cookstoves </w:t>
            </w:r>
            <w:proofErr w:type="gramStart"/>
            <w:r w:rsidRPr="00216F75">
              <w:rPr>
                <w:rFonts w:ascii="Arial" w:hAnsi="Arial" w:cs="Arial"/>
                <w:color w:val="000000"/>
                <w:sz w:val="22"/>
                <w:szCs w:val="22"/>
              </w:rPr>
              <w:t>present</w:t>
            </w:r>
            <w:proofErr w:type="gramEnd"/>
            <w:r w:rsidRPr="00216F75">
              <w:rPr>
                <w:rFonts w:ascii="Arial" w:hAnsi="Arial" w:cs="Arial"/>
                <w:color w:val="000000"/>
                <w:sz w:val="22"/>
                <w:szCs w:val="22"/>
              </w:rPr>
              <w:t xml:space="preserve"> and used at least once per week</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F914E9C"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Percentage</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34819FCC"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Project usage survey or SUMs</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BDC28F4"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95/10</w:t>
            </w:r>
          </w:p>
          <w:p w14:paraId="781BFC4B"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themeColor="text1"/>
                <w:sz w:val="22"/>
                <w:szCs w:val="22"/>
              </w:rPr>
              <w:t xml:space="preserve">Minimum 200 households + 0.05% of households </w:t>
            </w:r>
            <w:proofErr w:type="gramStart"/>
            <w:r w:rsidRPr="00216F75">
              <w:rPr>
                <w:rFonts w:ascii="Arial" w:hAnsi="Arial" w:cs="Arial"/>
                <w:color w:val="000000" w:themeColor="text1"/>
                <w:sz w:val="22"/>
                <w:szCs w:val="22"/>
              </w:rPr>
              <w:t>additional</w:t>
            </w:r>
            <w:proofErr w:type="gramEnd"/>
            <w:r w:rsidRPr="00216F75">
              <w:rPr>
                <w:rFonts w:ascii="Arial" w:hAnsi="Arial" w:cs="Arial"/>
                <w:color w:val="000000" w:themeColor="text1"/>
                <w:sz w:val="22"/>
                <w:szCs w:val="22"/>
              </w:rPr>
              <w:t xml:space="preserve"> to 25,000</w:t>
            </w:r>
          </w:p>
        </w:tc>
        <w:tc>
          <w:tcPr>
            <w:tcW w:w="14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0" w:type="dxa"/>
              <w:bottom w:w="0" w:type="dxa"/>
              <w:right w:w="0" w:type="dxa"/>
            </w:tcMar>
            <w:vAlign w:val="center"/>
            <w:hideMark/>
          </w:tcPr>
          <w:p w14:paraId="64AAB990" w14:textId="77777777" w:rsidR="00620061" w:rsidRPr="00216F75" w:rsidRDefault="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Proportional distribution</w:t>
            </w:r>
          </w:p>
        </w:tc>
      </w:tr>
    </w:tbl>
    <w:p w14:paraId="3026CE38" w14:textId="77777777" w:rsidR="00620061" w:rsidRPr="00216F75" w:rsidRDefault="00620061" w:rsidP="00620061">
      <w:pPr>
        <w:textAlignment w:val="baseline"/>
        <w:rPr>
          <w:rFonts w:cs="Arial"/>
          <w:color w:val="000000"/>
          <w:szCs w:val="22"/>
        </w:rPr>
      </w:pPr>
    </w:p>
    <w:p w14:paraId="5BC201C0" w14:textId="77777777" w:rsidR="00620061" w:rsidRPr="00216F75" w:rsidRDefault="00620061" w:rsidP="00620061">
      <w:pPr>
        <w:rPr>
          <w:rFonts w:cs="Arial"/>
          <w:b/>
          <w:bCs/>
          <w:color w:val="000000"/>
          <w:szCs w:val="22"/>
        </w:rPr>
      </w:pPr>
      <w:r w:rsidRPr="00216F75">
        <w:rPr>
          <w:rFonts w:cs="Arial"/>
          <w:b/>
          <w:bCs/>
          <w:color w:val="000000"/>
          <w:szCs w:val="22"/>
        </w:rPr>
        <w:br w:type="page"/>
      </w:r>
    </w:p>
    <w:p w14:paraId="3CCA0090" w14:textId="77777777" w:rsidR="00620061" w:rsidRPr="00216F75" w:rsidRDefault="00620061" w:rsidP="00620061">
      <w:pPr>
        <w:pStyle w:val="NormalWeb"/>
        <w:spacing w:before="0" w:beforeAutospacing="0" w:after="0" w:afterAutospacing="0"/>
        <w:rPr>
          <w:rFonts w:ascii="Arial" w:hAnsi="Arial" w:cs="Arial"/>
          <w:sz w:val="22"/>
          <w:szCs w:val="22"/>
        </w:rPr>
      </w:pPr>
      <w:r w:rsidRPr="00216F75">
        <w:rPr>
          <w:rFonts w:ascii="Arial" w:hAnsi="Arial" w:cs="Arial"/>
          <w:b/>
          <w:bCs/>
          <w:color w:val="000000"/>
          <w:sz w:val="22"/>
          <w:szCs w:val="22"/>
        </w:rPr>
        <w:lastRenderedPageBreak/>
        <w:t>Sample size guidance: continuous variables</w:t>
      </w:r>
      <w:r w:rsidRPr="00216F75">
        <w:rPr>
          <w:rFonts w:ascii="Arial" w:hAnsi="Arial" w:cs="Arial"/>
          <w:color w:val="000000"/>
          <w:sz w:val="22"/>
          <w:szCs w:val="22"/>
        </w:rPr>
        <w:br/>
      </w:r>
      <w:r w:rsidRPr="00216F75">
        <w:rPr>
          <w:rFonts w:ascii="Arial" w:hAnsi="Arial" w:cs="Arial"/>
          <w:color w:val="000000"/>
          <w:sz w:val="22"/>
          <w:szCs w:val="22"/>
        </w:rPr>
        <w:br/>
      </w:r>
      <w:r w:rsidRPr="00216F75">
        <w:rPr>
          <w:rFonts w:ascii="Arial" w:hAnsi="Arial" w:cs="Arial"/>
          <w:color w:val="000000"/>
          <w:sz w:val="22"/>
          <w:szCs w:val="22"/>
          <w:u w:val="single"/>
        </w:rPr>
        <w:t>Estimation of required sample size</w:t>
      </w:r>
    </w:p>
    <w:p w14:paraId="2C8457AD" w14:textId="77777777" w:rsidR="00620061" w:rsidRPr="00216F75" w:rsidRDefault="00620061" w:rsidP="00620061">
      <w:pPr>
        <w:pStyle w:val="NormalWeb"/>
        <w:spacing w:before="0" w:beforeAutospacing="0" w:after="240" w:afterAutospacing="0"/>
        <w:rPr>
          <w:rFonts w:ascii="Arial" w:hAnsi="Arial" w:cs="Arial"/>
          <w:sz w:val="22"/>
          <w:szCs w:val="22"/>
        </w:rPr>
      </w:pPr>
      <w:r w:rsidRPr="00216F75">
        <w:rPr>
          <w:rFonts w:ascii="Arial" w:hAnsi="Arial" w:cs="Arial"/>
          <w:color w:val="000000"/>
          <w:sz w:val="22"/>
          <w:szCs w:val="22"/>
        </w:rPr>
        <w:t>To estimate the required sample size for continuous variables, project proponents must first determine the coefficient of variation (</w:t>
      </w:r>
      <w:proofErr w:type="spellStart"/>
      <w:r w:rsidRPr="00216F75">
        <w:rPr>
          <w:rFonts w:ascii="Arial" w:hAnsi="Arial" w:cs="Arial"/>
          <w:color w:val="000000"/>
          <w:sz w:val="22"/>
          <w:szCs w:val="22"/>
        </w:rPr>
        <w:t>CoV</w:t>
      </w:r>
      <w:proofErr w:type="spellEnd"/>
      <w:r w:rsidRPr="00216F75">
        <w:rPr>
          <w:rFonts w:ascii="Arial" w:hAnsi="Arial" w:cs="Arial"/>
          <w:color w:val="000000"/>
          <w:sz w:val="22"/>
          <w:szCs w:val="22"/>
        </w:rPr>
        <w:t xml:space="preserve">), which represents the variability of the data relative to the mean. The lookup table provided applies only to simple random sampling and assumes a normally or skew-normally distributed variable. If project proponents do not have prior data to estimate </w:t>
      </w:r>
      <w:proofErr w:type="spellStart"/>
      <w:r w:rsidRPr="00216F75">
        <w:rPr>
          <w:rFonts w:ascii="Arial" w:hAnsi="Arial" w:cs="Arial"/>
          <w:color w:val="000000"/>
          <w:sz w:val="22"/>
          <w:szCs w:val="22"/>
        </w:rPr>
        <w:t>CoV</w:t>
      </w:r>
      <w:proofErr w:type="spellEnd"/>
      <w:r w:rsidRPr="00216F75">
        <w:rPr>
          <w:rFonts w:ascii="Arial" w:hAnsi="Arial" w:cs="Arial"/>
          <w:color w:val="000000"/>
          <w:sz w:val="22"/>
          <w:szCs w:val="22"/>
        </w:rPr>
        <w:t>, they should conduct a small pilot study to generate an approximation. Additionally, project proponents should plan for oversampling to account for potential data loss due to non-responses, measurement errors, or incomplete records, ensuring that the final sample size meets the precision requirement.</w:t>
      </w:r>
    </w:p>
    <w:p w14:paraId="6C2446A3" w14:textId="77777777" w:rsidR="00620061" w:rsidRPr="00216F75" w:rsidRDefault="00620061" w:rsidP="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For cluster sampling, where participants are grouped into clusters such as villages or communities, the required sample size will be larger than in simple random sampling due to intra-cluster correlation. This means that the effective sample size is smaller than the actual number of observations. In such cases, design effects must be accounted for, and sample size determination should be conducted with the assistance of a statistician.</w:t>
      </w:r>
    </w:p>
    <w:tbl>
      <w:tblPr>
        <w:tblW w:w="0" w:type="auto"/>
        <w:tblCellMar>
          <w:top w:w="15" w:type="dxa"/>
          <w:left w:w="15" w:type="dxa"/>
          <w:bottom w:w="15" w:type="dxa"/>
          <w:right w:w="15" w:type="dxa"/>
        </w:tblCellMar>
        <w:tblLook w:val="04A0" w:firstRow="1" w:lastRow="0" w:firstColumn="1" w:lastColumn="0" w:noHBand="0" w:noVBand="1"/>
      </w:tblPr>
      <w:tblGrid>
        <w:gridCol w:w="900"/>
        <w:gridCol w:w="2661"/>
      </w:tblGrid>
      <w:tr w:rsidR="00620061" w:rsidRPr="00216F75" w14:paraId="6B88DD9B" w14:textId="77777777">
        <w:tc>
          <w:tcPr>
            <w:tcW w:w="0" w:type="auto"/>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46B6BD4C"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b/>
                <w:bCs/>
                <w:i/>
                <w:iCs/>
                <w:color w:val="000000"/>
                <w:sz w:val="22"/>
                <w:szCs w:val="22"/>
              </w:rPr>
              <w:t>Simple random sampling: CI: 95%</w:t>
            </w:r>
          </w:p>
        </w:tc>
      </w:tr>
      <w:tr w:rsidR="00620061" w:rsidRPr="00216F75" w14:paraId="337F9BFF" w14:textId="77777777">
        <w:tc>
          <w:tcPr>
            <w:tcW w:w="0" w:type="auto"/>
            <w:vMerge w:val="restart"/>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hideMark/>
          </w:tcPr>
          <w:p w14:paraId="7CAA6AB5"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b/>
                <w:bCs/>
                <w:i/>
                <w:iCs/>
                <w:color w:val="000000"/>
                <w:sz w:val="22"/>
                <w:szCs w:val="22"/>
              </w:rPr>
              <w:t>CV(%)</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0CC9512"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b/>
                <w:bCs/>
                <w:i/>
                <w:iCs/>
                <w:color w:val="000000"/>
                <w:sz w:val="22"/>
                <w:szCs w:val="22"/>
              </w:rPr>
              <w:t>Relative precision </w:t>
            </w:r>
          </w:p>
        </w:tc>
      </w:tr>
      <w:tr w:rsidR="00620061" w:rsidRPr="00216F75" w14:paraId="0CE9B775" w14:textId="77777777">
        <w:tc>
          <w:tcPr>
            <w:tcW w:w="0" w:type="auto"/>
            <w:vMerge/>
            <w:vAlign w:val="center"/>
            <w:hideMark/>
          </w:tcPr>
          <w:p w14:paraId="419051EA" w14:textId="77777777" w:rsidR="00620061" w:rsidRPr="00216F75" w:rsidRDefault="00620061">
            <w:pPr>
              <w:rPr>
                <w:rFonts w:cs="Arial"/>
                <w:szCs w:val="22"/>
              </w:rPr>
            </w:pP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58A35466"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b/>
                <w:bCs/>
                <w:i/>
                <w:iCs/>
                <w:color w:val="000000"/>
                <w:sz w:val="22"/>
                <w:szCs w:val="22"/>
              </w:rPr>
              <w:t>10%</w:t>
            </w:r>
          </w:p>
        </w:tc>
      </w:tr>
      <w:tr w:rsidR="00620061" w:rsidRPr="00216F75" w14:paraId="44C0A309"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7D2FB447"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5</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2A241183"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25</w:t>
            </w:r>
          </w:p>
        </w:tc>
      </w:tr>
      <w:tr w:rsidR="00620061" w:rsidRPr="00216F75" w14:paraId="3EB9E726"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2D3B5EF2"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10</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59B6391D"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25</w:t>
            </w:r>
          </w:p>
        </w:tc>
      </w:tr>
      <w:tr w:rsidR="00620061" w:rsidRPr="00216F75" w14:paraId="76CCD004"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7CE57FEE"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15</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0B69D995"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25</w:t>
            </w:r>
          </w:p>
        </w:tc>
      </w:tr>
      <w:tr w:rsidR="00620061" w:rsidRPr="00216F75" w14:paraId="2238C04E"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2A550DB5"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20</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1BFBB418"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25</w:t>
            </w:r>
          </w:p>
        </w:tc>
      </w:tr>
      <w:tr w:rsidR="00620061" w:rsidRPr="00216F75" w14:paraId="213D182C"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76364407"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25</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1ADCBCA0"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40</w:t>
            </w:r>
          </w:p>
        </w:tc>
      </w:tr>
      <w:tr w:rsidR="00620061" w:rsidRPr="00216F75" w14:paraId="52EC3E56"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FD525DA"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30</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6F19FC2D"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55</w:t>
            </w:r>
          </w:p>
        </w:tc>
      </w:tr>
      <w:tr w:rsidR="00620061" w:rsidRPr="00216F75" w14:paraId="03A8C74F"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4C2049F9"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35</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0DC2C268"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75</w:t>
            </w:r>
          </w:p>
        </w:tc>
      </w:tr>
      <w:tr w:rsidR="00620061" w:rsidRPr="00216F75" w14:paraId="7A8386E9"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7CF2C5A9"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40</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0895EBCB"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100</w:t>
            </w:r>
          </w:p>
        </w:tc>
      </w:tr>
      <w:tr w:rsidR="00620061" w:rsidRPr="00216F75" w14:paraId="28F051FA"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22DB9361"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45</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5CB1B818"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125</w:t>
            </w:r>
          </w:p>
        </w:tc>
      </w:tr>
      <w:tr w:rsidR="00620061" w:rsidRPr="00216F75" w14:paraId="4B7E6C77"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2685B4D2"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50</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72769D53"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155</w:t>
            </w:r>
          </w:p>
        </w:tc>
      </w:tr>
      <w:tr w:rsidR="00620061" w:rsidRPr="00216F75" w14:paraId="1F763965"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4C14000D"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55</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652BF00"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185</w:t>
            </w:r>
          </w:p>
        </w:tc>
      </w:tr>
      <w:tr w:rsidR="00620061" w:rsidRPr="00216F75" w14:paraId="7482FA78"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15849BBB"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60</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1B5705B7"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220</w:t>
            </w:r>
          </w:p>
        </w:tc>
      </w:tr>
      <w:tr w:rsidR="00620061" w:rsidRPr="00216F75" w14:paraId="21C90202"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5FCFC840"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65</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4142266D"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255</w:t>
            </w:r>
          </w:p>
        </w:tc>
      </w:tr>
      <w:tr w:rsidR="00620061" w:rsidRPr="00216F75" w14:paraId="7198CB27"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75EDB79"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70</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4D167524"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295</w:t>
            </w:r>
          </w:p>
        </w:tc>
      </w:tr>
      <w:tr w:rsidR="00620061" w:rsidRPr="00216F75" w14:paraId="0580919C"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0DB698A6"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75</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10AC6FC"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340</w:t>
            </w:r>
          </w:p>
        </w:tc>
      </w:tr>
      <w:tr w:rsidR="00620061" w:rsidRPr="00216F75" w14:paraId="76EC4D5C"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05EBBE7"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80</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D5B6988"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385</w:t>
            </w:r>
          </w:p>
        </w:tc>
      </w:tr>
      <w:tr w:rsidR="00620061" w:rsidRPr="00216F75" w14:paraId="5CD02179"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6260C326"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85</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52B650B"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435</w:t>
            </w:r>
          </w:p>
        </w:tc>
      </w:tr>
      <w:tr w:rsidR="00620061" w:rsidRPr="00216F75" w14:paraId="70AB2636"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7A10DED"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90</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8A01750"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490</w:t>
            </w:r>
          </w:p>
        </w:tc>
      </w:tr>
      <w:tr w:rsidR="00620061" w:rsidRPr="00216F75" w14:paraId="3B6B8D4C"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70E5D0C3"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95</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3B86BF74" w14:textId="77777777" w:rsidR="00620061" w:rsidRPr="00216F75" w:rsidRDefault="00620061">
            <w:pPr>
              <w:jc w:val="center"/>
              <w:rPr>
                <w:rFonts w:eastAsia="Aptos Narrow" w:cs="Arial"/>
                <w:color w:val="000000" w:themeColor="text1"/>
                <w:szCs w:val="22"/>
              </w:rPr>
            </w:pPr>
            <w:r w:rsidRPr="00216F75">
              <w:rPr>
                <w:rFonts w:eastAsia="Aptos Narrow" w:cs="Arial"/>
                <w:color w:val="000000" w:themeColor="text1"/>
                <w:szCs w:val="22"/>
              </w:rPr>
              <w:t>545</w:t>
            </w:r>
          </w:p>
        </w:tc>
      </w:tr>
      <w:tr w:rsidR="00620061" w:rsidRPr="00216F75" w14:paraId="56027EA6" w14:textId="7777777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28187361"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themeColor="text1"/>
                <w:sz w:val="22"/>
                <w:szCs w:val="22"/>
              </w:rPr>
              <w:t>100</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0" w:type="dxa"/>
              <w:bottom w:w="0" w:type="dxa"/>
              <w:right w:w="0" w:type="dxa"/>
            </w:tcMar>
            <w:vAlign w:val="bottom"/>
            <w:hideMark/>
          </w:tcPr>
          <w:p w14:paraId="4D0F10C0"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themeColor="text1"/>
                <w:sz w:val="22"/>
                <w:szCs w:val="22"/>
              </w:rPr>
              <w:t>605</w:t>
            </w:r>
          </w:p>
        </w:tc>
      </w:tr>
    </w:tbl>
    <w:p w14:paraId="38C18B89" w14:textId="77777777" w:rsidR="00620061" w:rsidRPr="00491755" w:rsidRDefault="00620061" w:rsidP="00491755">
      <w:pPr>
        <w:pStyle w:val="Heading4"/>
        <w:spacing w:before="240"/>
        <w:ind w:left="0" w:firstLine="0"/>
        <w:rPr>
          <w:rFonts w:ascii="Arial" w:hAnsi="Arial" w:cs="Arial"/>
          <w:b w:val="0"/>
          <w:bCs w:val="0"/>
          <w:i w:val="0"/>
          <w:iCs w:val="0"/>
          <w:sz w:val="22"/>
          <w:szCs w:val="22"/>
        </w:rPr>
      </w:pPr>
      <w:r w:rsidRPr="00491755">
        <w:rPr>
          <w:rFonts w:ascii="Arial" w:hAnsi="Arial" w:cs="Arial"/>
          <w:b w:val="0"/>
          <w:bCs w:val="0"/>
          <w:i w:val="0"/>
          <w:iCs w:val="0"/>
          <w:color w:val="000000"/>
          <w:sz w:val="22"/>
          <w:szCs w:val="22"/>
          <w:u w:val="single"/>
        </w:rPr>
        <w:t>Determination of meeting precision guidelines</w:t>
      </w:r>
    </w:p>
    <w:p w14:paraId="7412C974" w14:textId="77777777" w:rsidR="00620061" w:rsidRPr="00216F75" w:rsidRDefault="00620061" w:rsidP="00620061">
      <w:pPr>
        <w:pStyle w:val="NormalWeb"/>
        <w:spacing w:before="0" w:beforeAutospacing="0" w:after="240" w:afterAutospacing="0"/>
        <w:rPr>
          <w:rFonts w:ascii="Arial" w:hAnsi="Arial" w:cs="Arial"/>
          <w:sz w:val="22"/>
          <w:szCs w:val="22"/>
        </w:rPr>
      </w:pPr>
      <w:r w:rsidRPr="00216F75">
        <w:rPr>
          <w:rFonts w:ascii="Arial" w:hAnsi="Arial" w:cs="Arial"/>
          <w:color w:val="000000"/>
          <w:sz w:val="22"/>
          <w:szCs w:val="22"/>
        </w:rPr>
        <w:t xml:space="preserve">Once data collection is complete, project proponents must verify whether the achieved sample size meets the 95/10 precision guideline. This requires calculating the actual </w:t>
      </w:r>
      <w:proofErr w:type="spellStart"/>
      <w:r w:rsidRPr="00216F75">
        <w:rPr>
          <w:rFonts w:ascii="Arial" w:hAnsi="Arial" w:cs="Arial"/>
          <w:color w:val="000000"/>
          <w:sz w:val="22"/>
          <w:szCs w:val="22"/>
        </w:rPr>
        <w:t>CoV</w:t>
      </w:r>
      <w:proofErr w:type="spellEnd"/>
      <w:r w:rsidRPr="00216F75">
        <w:rPr>
          <w:rFonts w:ascii="Arial" w:hAnsi="Arial" w:cs="Arial"/>
          <w:color w:val="000000"/>
          <w:sz w:val="22"/>
          <w:szCs w:val="22"/>
        </w:rPr>
        <w:t xml:space="preserve"> from the collected data and confirming that the confidence interval is within 10% of the mean estimate. Project proponents should utilize the</w:t>
      </w:r>
      <w:hyperlink r:id="rId89" w:history="1">
        <w:r w:rsidRPr="00216F75">
          <w:rPr>
            <w:rStyle w:val="Hyperlink"/>
            <w:rFonts w:ascii="Arial" w:eastAsia="Montserrat" w:hAnsi="Arial" w:cs="Arial"/>
            <w:color w:val="000000"/>
            <w:sz w:val="22"/>
            <w:szCs w:val="22"/>
          </w:rPr>
          <w:t xml:space="preserve"> </w:t>
        </w:r>
        <w:r w:rsidRPr="00216F75">
          <w:rPr>
            <w:rStyle w:val="Hyperlink"/>
            <w:rFonts w:ascii="Arial" w:eastAsia="Montserrat" w:hAnsi="Arial" w:cs="Arial"/>
            <w:bCs/>
            <w:color w:val="1155CC"/>
            <w:sz w:val="22"/>
            <w:szCs w:val="22"/>
          </w:rPr>
          <w:t>sample size calculator</w:t>
        </w:r>
      </w:hyperlink>
      <w:r w:rsidRPr="00216F75">
        <w:rPr>
          <w:rFonts w:ascii="Arial" w:hAnsi="Arial" w:cs="Arial"/>
          <w:color w:val="000000"/>
          <w:sz w:val="22"/>
          <w:szCs w:val="22"/>
        </w:rPr>
        <w:t xml:space="preserve"> to determine whether their sample meets the required precision and the 95% confidence bounds that result in lower emission reductions estimates if the precision guideline is not met.  </w:t>
      </w:r>
    </w:p>
    <w:p w14:paraId="0FC75A4F" w14:textId="77777777" w:rsidR="00620061" w:rsidRPr="00216F75" w:rsidRDefault="00620061" w:rsidP="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 xml:space="preserve">For </w:t>
      </w:r>
      <w:r w:rsidRPr="00216F75">
        <w:rPr>
          <w:rFonts w:ascii="Arial" w:hAnsi="Arial" w:cs="Arial"/>
          <w:b/>
          <w:bCs/>
          <w:color w:val="000000"/>
          <w:sz w:val="22"/>
          <w:szCs w:val="22"/>
        </w:rPr>
        <w:t>cluster sampling</w:t>
      </w:r>
      <w:r w:rsidRPr="00216F75">
        <w:rPr>
          <w:rFonts w:ascii="Arial" w:hAnsi="Arial" w:cs="Arial"/>
          <w:color w:val="000000"/>
          <w:sz w:val="22"/>
          <w:szCs w:val="22"/>
        </w:rPr>
        <w:t>, meeting the precision requirement is more complex due to the need to adjust for design effects. In such cases, a statistician should evaluate whether the collected data meets the required confidence and precision levels. If the required precision is not met, the conservative confidence bound must be applied, or additional sampling may be needed.</w:t>
      </w:r>
    </w:p>
    <w:p w14:paraId="6DE04337" w14:textId="77777777" w:rsidR="00620061" w:rsidRPr="00216F75" w:rsidRDefault="00620061" w:rsidP="00620061">
      <w:pPr>
        <w:rPr>
          <w:rFonts w:cs="Arial"/>
          <w:b/>
          <w:bCs/>
          <w:szCs w:val="22"/>
        </w:rPr>
      </w:pPr>
      <w:r w:rsidRPr="00216F75">
        <w:rPr>
          <w:rFonts w:cs="Arial"/>
          <w:b/>
          <w:bCs/>
          <w:szCs w:val="22"/>
        </w:rPr>
        <w:lastRenderedPageBreak/>
        <w:t>Sample size guidance: proportional variables</w:t>
      </w:r>
    </w:p>
    <w:p w14:paraId="4F7F8FDD" w14:textId="77777777" w:rsidR="00620061" w:rsidRPr="00216F75" w:rsidRDefault="00620061" w:rsidP="00620061">
      <w:pPr>
        <w:pStyle w:val="Heading4"/>
        <w:spacing w:before="0"/>
        <w:ind w:left="864" w:hanging="144"/>
        <w:rPr>
          <w:rFonts w:ascii="Arial" w:hAnsi="Arial" w:cs="Arial"/>
          <w:i w:val="0"/>
          <w:iCs w:val="0"/>
          <w:color w:val="000000"/>
          <w:sz w:val="22"/>
          <w:szCs w:val="22"/>
          <w:u w:val="single"/>
        </w:rPr>
      </w:pPr>
    </w:p>
    <w:p w14:paraId="6BBEE6ED" w14:textId="77777777" w:rsidR="00620061" w:rsidRPr="00491755" w:rsidRDefault="00620061" w:rsidP="00491755">
      <w:pPr>
        <w:pStyle w:val="Heading4"/>
        <w:spacing w:before="0"/>
        <w:ind w:left="0" w:firstLine="0"/>
        <w:rPr>
          <w:rFonts w:ascii="Arial" w:hAnsi="Arial" w:cs="Arial"/>
          <w:b w:val="0"/>
          <w:bCs w:val="0"/>
          <w:i w:val="0"/>
          <w:iCs w:val="0"/>
          <w:sz w:val="22"/>
          <w:szCs w:val="22"/>
          <w:u w:val="single"/>
        </w:rPr>
      </w:pPr>
      <w:r w:rsidRPr="00491755">
        <w:rPr>
          <w:rFonts w:ascii="Arial" w:hAnsi="Arial" w:cs="Arial"/>
          <w:b w:val="0"/>
          <w:bCs w:val="0"/>
          <w:i w:val="0"/>
          <w:iCs w:val="0"/>
          <w:color w:val="000000"/>
          <w:sz w:val="22"/>
          <w:szCs w:val="22"/>
          <w:u w:val="single"/>
        </w:rPr>
        <w:t>Estimation of required sample size</w:t>
      </w:r>
    </w:p>
    <w:p w14:paraId="15AE038B" w14:textId="77777777" w:rsidR="00620061" w:rsidRPr="00216F75" w:rsidRDefault="00620061" w:rsidP="00620061">
      <w:pPr>
        <w:pStyle w:val="NormalWeb"/>
        <w:spacing w:before="0" w:beforeAutospacing="0" w:after="240" w:afterAutospacing="0"/>
        <w:rPr>
          <w:rFonts w:ascii="Arial" w:hAnsi="Arial" w:cs="Arial"/>
          <w:sz w:val="22"/>
          <w:szCs w:val="22"/>
        </w:rPr>
      </w:pPr>
      <w:r w:rsidRPr="00216F75">
        <w:rPr>
          <w:rFonts w:ascii="Arial" w:hAnsi="Arial" w:cs="Arial"/>
          <w:color w:val="000000"/>
          <w:sz w:val="22"/>
          <w:szCs w:val="22"/>
        </w:rPr>
        <w:t>To estimate the sample size for proportional variables (e.g., the proportion of households using primary fuel), project proponents must first determine an expected proportion for the population. This can be based on prior research, survey data, or a pilot study. The lookup table provided is only applicable to simple random sampling and assumes a binomial distribution.</w:t>
      </w:r>
    </w:p>
    <w:tbl>
      <w:tblPr>
        <w:tblW w:w="0" w:type="auto"/>
        <w:tblCellMar>
          <w:top w:w="15" w:type="dxa"/>
          <w:left w:w="15" w:type="dxa"/>
          <w:bottom w:w="15" w:type="dxa"/>
          <w:right w:w="15" w:type="dxa"/>
        </w:tblCellMar>
        <w:tblLook w:val="04A0" w:firstRow="1" w:lastRow="0" w:firstColumn="1" w:lastColumn="0" w:noHBand="0" w:noVBand="1"/>
      </w:tblPr>
      <w:tblGrid>
        <w:gridCol w:w="2131"/>
        <w:gridCol w:w="1356"/>
      </w:tblGrid>
      <w:tr w:rsidR="00620061" w:rsidRPr="00216F75" w14:paraId="2B4D079D" w14:textId="77777777">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4FCA9F45" w14:textId="77777777" w:rsidR="00620061" w:rsidRPr="00216F75" w:rsidRDefault="00620061">
            <w:pPr>
              <w:pStyle w:val="NormalWeb"/>
              <w:spacing w:before="0" w:beforeAutospacing="0" w:after="0" w:afterAutospacing="0"/>
              <w:jc w:val="center"/>
              <w:rPr>
                <w:rFonts w:ascii="Arial" w:hAnsi="Arial" w:cs="Arial"/>
                <w:b/>
                <w:sz w:val="22"/>
                <w:szCs w:val="22"/>
              </w:rPr>
            </w:pPr>
            <w:r w:rsidRPr="00216F75">
              <w:rPr>
                <w:rFonts w:ascii="Arial" w:hAnsi="Arial" w:cs="Arial"/>
                <w:b/>
                <w:color w:val="000000"/>
                <w:sz w:val="22"/>
                <w:szCs w:val="22"/>
              </w:rPr>
              <w:t>95% CI: Simple random sampling</w:t>
            </w:r>
          </w:p>
        </w:tc>
      </w:tr>
      <w:tr w:rsidR="00620061" w:rsidRPr="00216F75" w14:paraId="18D9A476" w14:textId="77777777">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hideMark/>
          </w:tcPr>
          <w:p w14:paraId="4529DAF1" w14:textId="77777777" w:rsidR="00620061" w:rsidRPr="00216F75" w:rsidRDefault="00620061">
            <w:pPr>
              <w:pStyle w:val="NormalWeb"/>
              <w:spacing w:before="0" w:beforeAutospacing="0" w:after="0" w:afterAutospacing="0"/>
              <w:jc w:val="center"/>
              <w:rPr>
                <w:rFonts w:ascii="Arial" w:hAnsi="Arial" w:cs="Arial"/>
                <w:b/>
                <w:sz w:val="22"/>
                <w:szCs w:val="22"/>
              </w:rPr>
            </w:pPr>
            <w:r w:rsidRPr="00216F75">
              <w:rPr>
                <w:rFonts w:ascii="Arial" w:hAnsi="Arial" w:cs="Arial"/>
                <w:b/>
                <w:color w:val="000000"/>
                <w:sz w:val="22"/>
                <w:szCs w:val="22"/>
              </w:rPr>
              <w:t>Prevalence (%)</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71C11F46" w14:textId="77777777" w:rsidR="00620061" w:rsidRPr="00216F75" w:rsidRDefault="00620061">
            <w:pPr>
              <w:pStyle w:val="NormalWeb"/>
              <w:spacing w:before="0" w:beforeAutospacing="0" w:after="0" w:afterAutospacing="0"/>
              <w:jc w:val="center"/>
              <w:rPr>
                <w:rFonts w:ascii="Arial" w:hAnsi="Arial" w:cs="Arial"/>
                <w:b/>
                <w:sz w:val="22"/>
                <w:szCs w:val="22"/>
              </w:rPr>
            </w:pPr>
            <w:r w:rsidRPr="00216F75">
              <w:rPr>
                <w:rFonts w:ascii="Arial" w:hAnsi="Arial" w:cs="Arial"/>
                <w:b/>
                <w:bCs/>
                <w:color w:val="000000"/>
                <w:sz w:val="22"/>
                <w:szCs w:val="22"/>
              </w:rPr>
              <w:t>Precision</w:t>
            </w:r>
          </w:p>
        </w:tc>
      </w:tr>
      <w:tr w:rsidR="00620061" w:rsidRPr="00216F75" w14:paraId="64A32C90"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0870939" w14:textId="77777777" w:rsidR="00620061" w:rsidRPr="00216F75" w:rsidRDefault="00620061">
            <w:pPr>
              <w:rPr>
                <w:rFonts w:cs="Arial"/>
                <w:szCs w:val="22"/>
              </w:rPr>
            </w:pP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0779BF0E" w14:textId="77777777" w:rsidR="00620061" w:rsidRPr="00216F75" w:rsidRDefault="00620061">
            <w:pPr>
              <w:pStyle w:val="NormalWeb"/>
              <w:spacing w:before="0" w:beforeAutospacing="0" w:after="0" w:afterAutospacing="0"/>
              <w:jc w:val="center"/>
              <w:rPr>
                <w:rFonts w:ascii="Arial" w:hAnsi="Arial" w:cs="Arial"/>
                <w:b/>
                <w:sz w:val="22"/>
                <w:szCs w:val="22"/>
              </w:rPr>
            </w:pPr>
            <w:r w:rsidRPr="00216F75">
              <w:rPr>
                <w:rFonts w:ascii="Arial" w:hAnsi="Arial" w:cs="Arial"/>
                <w:b/>
                <w:color w:val="000000"/>
                <w:sz w:val="22"/>
                <w:szCs w:val="22"/>
              </w:rPr>
              <w:t>10%</w:t>
            </w:r>
          </w:p>
        </w:tc>
      </w:tr>
      <w:tr w:rsidR="00620061" w:rsidRPr="00216F75" w14:paraId="3A49214D"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62F17E28"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10</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6581A94F"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35</w:t>
            </w:r>
          </w:p>
        </w:tc>
      </w:tr>
      <w:tr w:rsidR="00620061" w:rsidRPr="00216F75" w14:paraId="50F9A721"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228F6C81"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15</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7342490F"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49</w:t>
            </w:r>
          </w:p>
        </w:tc>
      </w:tr>
      <w:tr w:rsidR="00620061" w:rsidRPr="00216F75" w14:paraId="512884DD"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148D7F5F"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20</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135C25F3"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61</w:t>
            </w:r>
          </w:p>
        </w:tc>
      </w:tr>
      <w:tr w:rsidR="00620061" w:rsidRPr="00216F75" w14:paraId="1D38729B"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1A7DE4DC"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25</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6AC185D7"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72</w:t>
            </w:r>
          </w:p>
        </w:tc>
      </w:tr>
      <w:tr w:rsidR="00620061" w:rsidRPr="00216F75" w14:paraId="0C57B4B5"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1991748F"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30</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7C315A07"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81</w:t>
            </w:r>
          </w:p>
        </w:tc>
      </w:tr>
      <w:tr w:rsidR="00620061" w:rsidRPr="00216F75" w14:paraId="00AA9C0E"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1BBC4877"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35</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2134C65D"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87</w:t>
            </w:r>
          </w:p>
        </w:tc>
      </w:tr>
      <w:tr w:rsidR="00620061" w:rsidRPr="00216F75" w14:paraId="5424929C"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2C317664"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40</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0097A1BD"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92</w:t>
            </w:r>
          </w:p>
        </w:tc>
      </w:tr>
      <w:tr w:rsidR="00620061" w:rsidRPr="00216F75" w14:paraId="25F8114E"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1A193CAF"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45</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5539D047"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95</w:t>
            </w:r>
          </w:p>
        </w:tc>
      </w:tr>
      <w:tr w:rsidR="00620061" w:rsidRPr="00216F75" w14:paraId="54CD69B3"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38BCAB30"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50</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39001FB6"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96</w:t>
            </w:r>
          </w:p>
        </w:tc>
      </w:tr>
      <w:tr w:rsidR="00620061" w:rsidRPr="00216F75" w14:paraId="2842C4A3"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675CD709"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55</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6FB25A65"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95</w:t>
            </w:r>
          </w:p>
        </w:tc>
      </w:tr>
      <w:tr w:rsidR="00620061" w:rsidRPr="00216F75" w14:paraId="1B6A23DB"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247E6314"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60</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1FABC325"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92</w:t>
            </w:r>
          </w:p>
        </w:tc>
      </w:tr>
      <w:tr w:rsidR="00620061" w:rsidRPr="00216F75" w14:paraId="3A8286E8"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51EE51FD"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65</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3ECC310D"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87</w:t>
            </w:r>
          </w:p>
        </w:tc>
      </w:tr>
      <w:tr w:rsidR="00620061" w:rsidRPr="00216F75" w14:paraId="1F28B8ED"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3C7E3B30"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70</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51B17029"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81</w:t>
            </w:r>
          </w:p>
        </w:tc>
      </w:tr>
      <w:tr w:rsidR="00620061" w:rsidRPr="00216F75" w14:paraId="4FFA20EC"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784B2261"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75</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7572CB9C"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72</w:t>
            </w:r>
          </w:p>
        </w:tc>
      </w:tr>
      <w:tr w:rsidR="00620061" w:rsidRPr="00216F75" w14:paraId="3109A7B5"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49CDE450"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80</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7ABC9E16"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61</w:t>
            </w:r>
          </w:p>
        </w:tc>
      </w:tr>
      <w:tr w:rsidR="00620061" w:rsidRPr="00216F75" w14:paraId="36555415"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5A738C04"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85</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1DCF5750"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49</w:t>
            </w:r>
          </w:p>
        </w:tc>
      </w:tr>
      <w:tr w:rsidR="00620061" w:rsidRPr="00216F75" w14:paraId="3B953C6A" w14:textId="77777777">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02877011"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90</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bottom"/>
            <w:hideMark/>
          </w:tcPr>
          <w:p w14:paraId="20E2E5C3" w14:textId="77777777" w:rsidR="00620061" w:rsidRPr="00216F75" w:rsidRDefault="00620061">
            <w:pPr>
              <w:pStyle w:val="NormalWeb"/>
              <w:spacing w:before="0" w:beforeAutospacing="0" w:after="0" w:afterAutospacing="0"/>
              <w:jc w:val="center"/>
              <w:rPr>
                <w:rFonts w:ascii="Arial" w:hAnsi="Arial" w:cs="Arial"/>
                <w:sz w:val="22"/>
                <w:szCs w:val="22"/>
              </w:rPr>
            </w:pPr>
            <w:r w:rsidRPr="00216F75">
              <w:rPr>
                <w:rFonts w:ascii="Arial" w:hAnsi="Arial" w:cs="Arial"/>
                <w:color w:val="000000"/>
                <w:sz w:val="22"/>
                <w:szCs w:val="22"/>
              </w:rPr>
              <w:t>35</w:t>
            </w:r>
          </w:p>
        </w:tc>
      </w:tr>
    </w:tbl>
    <w:p w14:paraId="673B7F6E" w14:textId="77777777" w:rsidR="00620061" w:rsidRPr="00216F75" w:rsidRDefault="00620061" w:rsidP="00620061">
      <w:pPr>
        <w:pStyle w:val="NormalWeb"/>
        <w:spacing w:before="240" w:beforeAutospacing="0" w:after="240" w:afterAutospacing="0"/>
        <w:rPr>
          <w:rFonts w:ascii="Arial" w:hAnsi="Arial" w:cs="Arial"/>
          <w:sz w:val="22"/>
          <w:szCs w:val="22"/>
        </w:rPr>
      </w:pPr>
      <w:r w:rsidRPr="00216F75">
        <w:rPr>
          <w:rFonts w:ascii="Arial" w:hAnsi="Arial" w:cs="Arial"/>
          <w:color w:val="000000"/>
          <w:sz w:val="22"/>
          <w:szCs w:val="22"/>
        </w:rPr>
        <w:t>As with continuous variables, oversampling is necessary to account for expected data loss due to incomplete responses or participant dropouts. For cluster sampling, the required sample size will be larger due to intra-cluster correlation, meaning the actual number of surveyed participants must exceed the effective sample size. In such cases, a statistician should be consulted to correctly adjust for design effects.</w:t>
      </w:r>
    </w:p>
    <w:p w14:paraId="70947F64" w14:textId="77777777" w:rsidR="00620061" w:rsidRPr="00491755" w:rsidRDefault="00620061" w:rsidP="00491755">
      <w:pPr>
        <w:pStyle w:val="Heading4"/>
        <w:spacing w:before="240"/>
        <w:ind w:left="0" w:firstLine="0"/>
        <w:rPr>
          <w:rFonts w:ascii="Arial" w:hAnsi="Arial" w:cs="Arial"/>
          <w:b w:val="0"/>
          <w:bCs w:val="0"/>
          <w:i w:val="0"/>
          <w:iCs w:val="0"/>
          <w:sz w:val="22"/>
          <w:szCs w:val="22"/>
        </w:rPr>
      </w:pPr>
      <w:r w:rsidRPr="00491755">
        <w:rPr>
          <w:rFonts w:ascii="Arial" w:hAnsi="Arial" w:cs="Arial"/>
          <w:b w:val="0"/>
          <w:bCs w:val="0"/>
          <w:i w:val="0"/>
          <w:iCs w:val="0"/>
          <w:color w:val="000000"/>
          <w:sz w:val="22"/>
          <w:szCs w:val="22"/>
          <w:u w:val="single"/>
        </w:rPr>
        <w:t>Determination of meeting precision guidelines</w:t>
      </w:r>
    </w:p>
    <w:p w14:paraId="0BE816C4" w14:textId="77777777" w:rsidR="00620061" w:rsidRPr="00216F75" w:rsidRDefault="00620061" w:rsidP="00620061">
      <w:pPr>
        <w:pStyle w:val="NormalWeb"/>
        <w:spacing w:before="0" w:beforeAutospacing="0" w:after="240" w:afterAutospacing="0"/>
        <w:rPr>
          <w:rFonts w:ascii="Arial" w:hAnsi="Arial" w:cs="Arial"/>
          <w:sz w:val="22"/>
          <w:szCs w:val="22"/>
        </w:rPr>
      </w:pPr>
      <w:r w:rsidRPr="00216F75">
        <w:rPr>
          <w:rFonts w:ascii="Arial" w:hAnsi="Arial" w:cs="Arial"/>
          <w:color w:val="000000"/>
          <w:sz w:val="22"/>
          <w:szCs w:val="22"/>
        </w:rPr>
        <w:t xml:space="preserve">Once the survey is completed, project proponents must verify that the </w:t>
      </w:r>
      <w:proofErr w:type="gramStart"/>
      <w:r w:rsidRPr="00216F75">
        <w:rPr>
          <w:rFonts w:ascii="Arial" w:hAnsi="Arial" w:cs="Arial"/>
          <w:color w:val="000000"/>
          <w:sz w:val="22"/>
          <w:szCs w:val="22"/>
        </w:rPr>
        <w:t>achieved sample</w:t>
      </w:r>
      <w:proofErr w:type="gramEnd"/>
      <w:r w:rsidRPr="00216F75">
        <w:rPr>
          <w:rFonts w:ascii="Arial" w:hAnsi="Arial" w:cs="Arial"/>
          <w:color w:val="000000"/>
          <w:sz w:val="22"/>
          <w:szCs w:val="22"/>
        </w:rPr>
        <w:t xml:space="preserve"> meets the 95/10 precision requirement by calculating the actual proportion and confirming that the confidence interval remains within 10% of the estimated proportion. Project proponents should utilize the</w:t>
      </w:r>
      <w:hyperlink r:id="rId90" w:history="1">
        <w:r w:rsidRPr="00216F75">
          <w:rPr>
            <w:rStyle w:val="Hyperlink"/>
            <w:rFonts w:ascii="Arial" w:eastAsia="Montserrat" w:hAnsi="Arial" w:cs="Arial"/>
            <w:color w:val="000000"/>
            <w:sz w:val="22"/>
            <w:szCs w:val="22"/>
          </w:rPr>
          <w:t xml:space="preserve"> </w:t>
        </w:r>
        <w:r w:rsidRPr="00216F75">
          <w:rPr>
            <w:rStyle w:val="Hyperlink"/>
            <w:rFonts w:ascii="Arial" w:eastAsia="Montserrat" w:hAnsi="Arial" w:cs="Arial"/>
            <w:bCs/>
            <w:color w:val="1155CC"/>
            <w:sz w:val="22"/>
            <w:szCs w:val="22"/>
          </w:rPr>
          <w:t>sample size calculator</w:t>
        </w:r>
      </w:hyperlink>
      <w:r w:rsidRPr="00216F75">
        <w:rPr>
          <w:rFonts w:ascii="Arial" w:hAnsi="Arial" w:cs="Arial"/>
          <w:color w:val="000000"/>
          <w:sz w:val="22"/>
          <w:szCs w:val="22"/>
        </w:rPr>
        <w:t xml:space="preserve"> to determine whether their sample meets the required precision and the 95% confidence bounds that result in lower emission reductions estimates if the precision guideline is not met.  </w:t>
      </w:r>
    </w:p>
    <w:p w14:paraId="61BE255B" w14:textId="77777777" w:rsidR="00620061" w:rsidRPr="00216F75" w:rsidRDefault="00620061" w:rsidP="00620061">
      <w:pPr>
        <w:pStyle w:val="NormalWeb"/>
        <w:spacing w:before="240" w:beforeAutospacing="0" w:after="240" w:afterAutospacing="0"/>
        <w:rPr>
          <w:rFonts w:ascii="Arial" w:hAnsi="Arial" w:cs="Arial"/>
          <w:color w:val="000000"/>
          <w:sz w:val="22"/>
          <w:szCs w:val="22"/>
        </w:rPr>
      </w:pPr>
      <w:r w:rsidRPr="00216F75">
        <w:rPr>
          <w:rFonts w:ascii="Arial" w:hAnsi="Arial" w:cs="Arial"/>
          <w:color w:val="000000"/>
          <w:sz w:val="22"/>
          <w:szCs w:val="22"/>
        </w:rPr>
        <w:t>For cluster sampling, verification of precision must account for the design effect, which reduces the effective sample size. This requires statistical expertise, and a statistician should be involved in determining whether the collected sample meets the required confidence and precision levels. If precision is not met, additional sampling or conservative confidence bounds should be applied.</w:t>
      </w:r>
    </w:p>
    <w:p w14:paraId="56AC1130" w14:textId="77777777" w:rsidR="00620061" w:rsidRPr="00216F75" w:rsidRDefault="00620061" w:rsidP="00620061">
      <w:pPr>
        <w:rPr>
          <w:rFonts w:cs="Arial"/>
          <w:color w:val="000000"/>
          <w:szCs w:val="22"/>
        </w:rPr>
      </w:pPr>
      <w:r w:rsidRPr="00216F75">
        <w:rPr>
          <w:rFonts w:cs="Arial"/>
          <w:color w:val="000000"/>
          <w:szCs w:val="22"/>
        </w:rPr>
        <w:br w:type="page"/>
      </w:r>
    </w:p>
    <w:p w14:paraId="30CA301F" w14:textId="6759AA02" w:rsidR="00055C06" w:rsidRDefault="00055C06" w:rsidP="00055C06">
      <w:pPr>
        <w:pStyle w:val="SDMAppTitle"/>
      </w:pPr>
      <w:bookmarkStart w:id="112" w:name="A11"/>
      <w:r w:rsidRPr="00055C06">
        <w:lastRenderedPageBreak/>
        <w:t>Default</w:t>
      </w:r>
      <w:bookmarkEnd w:id="112"/>
      <w:r w:rsidRPr="00055C06">
        <w:t xml:space="preserve"> </w:t>
      </w:r>
      <w:proofErr w:type="spellStart"/>
      <w:r w:rsidRPr="00055C06">
        <w:t>fNRB</w:t>
      </w:r>
      <w:proofErr w:type="spellEnd"/>
      <w:r w:rsidRPr="00055C06">
        <w:t xml:space="preserve"> Values from CDM TOOL33</w:t>
      </w:r>
    </w:p>
    <w:p w14:paraId="475E2098" w14:textId="77777777" w:rsidR="00620061" w:rsidRPr="00216F75" w:rsidRDefault="00620061" w:rsidP="00620061">
      <w:pPr>
        <w:pStyle w:val="NormalWeb"/>
        <w:spacing w:before="240" w:beforeAutospacing="0" w:after="240" w:afterAutospacing="0"/>
        <w:rPr>
          <w:rFonts w:ascii="Arial" w:hAnsi="Arial" w:cs="Arial"/>
          <w:color w:val="222222"/>
          <w:sz w:val="22"/>
          <w:szCs w:val="22"/>
        </w:rPr>
      </w:pPr>
      <w:r w:rsidRPr="00216F75">
        <w:rPr>
          <w:rFonts w:ascii="Arial" w:hAnsi="Arial" w:cs="Arial"/>
          <w:color w:val="222222"/>
          <w:sz w:val="22"/>
          <w:szCs w:val="22"/>
        </w:rPr>
        <w:t xml:space="preserve">CDM TOOL33 (version 3.0) default values for </w:t>
      </w:r>
      <w:proofErr w:type="spellStart"/>
      <w:r w:rsidRPr="00216F75">
        <w:rPr>
          <w:rFonts w:ascii="Arial" w:hAnsi="Arial" w:cs="Arial"/>
          <w:color w:val="222222"/>
          <w:sz w:val="22"/>
          <w:szCs w:val="22"/>
        </w:rPr>
        <w:t>fNRB</w:t>
      </w:r>
      <w:proofErr w:type="spellEnd"/>
      <w:r w:rsidRPr="00216F75">
        <w:rPr>
          <w:rFonts w:ascii="Arial" w:hAnsi="Arial" w:cs="Arial"/>
          <w:color w:val="222222"/>
          <w:sz w:val="22"/>
          <w:szCs w:val="22"/>
        </w:rPr>
        <w:t xml:space="preserve"> at the regional (continental) and national levels are listed below.</w:t>
      </w:r>
    </w:p>
    <w:p w14:paraId="01155046" w14:textId="77777777" w:rsidR="00620061" w:rsidRPr="00216F75" w:rsidRDefault="00620061" w:rsidP="00620061">
      <w:pPr>
        <w:pStyle w:val="NormalWeb"/>
        <w:spacing w:before="240" w:after="240"/>
        <w:rPr>
          <w:rFonts w:ascii="Arial" w:hAnsi="Arial" w:cs="Arial"/>
          <w:color w:val="000000"/>
          <w:sz w:val="22"/>
          <w:szCs w:val="22"/>
        </w:rPr>
      </w:pPr>
      <w:r w:rsidRPr="00216F75">
        <w:rPr>
          <w:rFonts w:ascii="Arial" w:hAnsi="Arial" w:cs="Arial"/>
          <w:b/>
          <w:bCs/>
          <w:color w:val="000000"/>
          <w:sz w:val="22"/>
          <w:szCs w:val="22"/>
        </w:rPr>
        <w:t xml:space="preserve">Regional (continental) </w:t>
      </w:r>
      <w:proofErr w:type="spellStart"/>
      <w:r w:rsidRPr="00216F75">
        <w:rPr>
          <w:rFonts w:ascii="Arial" w:hAnsi="Arial" w:cs="Arial"/>
          <w:b/>
          <w:bCs/>
          <w:color w:val="000000"/>
          <w:sz w:val="22"/>
          <w:szCs w:val="22"/>
        </w:rPr>
        <w:t>fNRB</w:t>
      </w:r>
      <w:proofErr w:type="spellEnd"/>
      <w:r w:rsidRPr="00216F75">
        <w:rPr>
          <w:rFonts w:ascii="Arial" w:hAnsi="Arial" w:cs="Arial"/>
          <w:b/>
          <w:bCs/>
          <w:color w:val="000000"/>
          <w:sz w:val="22"/>
          <w:szCs w:val="22"/>
        </w:rPr>
        <w:t xml:space="preserve"> values</w:t>
      </w:r>
      <w:r w:rsidRPr="00216F75">
        <w:rPr>
          <w:rFonts w:ascii="Arial" w:hAnsi="Arial" w:cs="Arial"/>
          <w:color w:val="000000"/>
          <w:sz w:val="22"/>
          <w:szCs w:val="22"/>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670"/>
        <w:gridCol w:w="4669"/>
      </w:tblGrid>
      <w:tr w:rsidR="00620061" w:rsidRPr="00216F75" w14:paraId="674BDD8E" w14:textId="77777777">
        <w:trPr>
          <w:trHeight w:val="300"/>
        </w:trPr>
        <w:tc>
          <w:tcPr>
            <w:tcW w:w="4680" w:type="dxa"/>
            <w:tcBorders>
              <w:top w:val="single" w:sz="6" w:space="0" w:color="auto"/>
              <w:left w:val="single" w:sz="6" w:space="0" w:color="auto"/>
              <w:bottom w:val="single" w:sz="6" w:space="0" w:color="auto"/>
              <w:right w:val="single" w:sz="6" w:space="0" w:color="auto"/>
            </w:tcBorders>
            <w:hideMark/>
          </w:tcPr>
          <w:p w14:paraId="29B533DF"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b/>
                <w:bCs/>
                <w:color w:val="000000"/>
                <w:sz w:val="22"/>
                <w:szCs w:val="22"/>
              </w:rPr>
              <w:t>Region</w:t>
            </w:r>
          </w:p>
        </w:tc>
        <w:tc>
          <w:tcPr>
            <w:tcW w:w="4680" w:type="dxa"/>
            <w:tcBorders>
              <w:top w:val="single" w:sz="6" w:space="0" w:color="auto"/>
              <w:left w:val="single" w:sz="6" w:space="0" w:color="auto"/>
              <w:bottom w:val="single" w:sz="6" w:space="0" w:color="auto"/>
              <w:right w:val="single" w:sz="6" w:space="0" w:color="auto"/>
            </w:tcBorders>
            <w:hideMark/>
          </w:tcPr>
          <w:p w14:paraId="2793AC75" w14:textId="77777777" w:rsidR="00620061" w:rsidRPr="00216F75" w:rsidRDefault="00620061">
            <w:pPr>
              <w:pStyle w:val="NormalWeb"/>
              <w:spacing w:before="240" w:after="240"/>
              <w:jc w:val="center"/>
              <w:rPr>
                <w:rFonts w:ascii="Arial" w:hAnsi="Arial" w:cs="Arial"/>
                <w:color w:val="000000"/>
                <w:sz w:val="22"/>
                <w:szCs w:val="22"/>
              </w:rPr>
            </w:pPr>
            <w:proofErr w:type="spellStart"/>
            <w:r w:rsidRPr="00216F75">
              <w:rPr>
                <w:rFonts w:ascii="Arial" w:hAnsi="Arial" w:cs="Arial"/>
                <w:b/>
                <w:bCs/>
                <w:color w:val="000000"/>
                <w:sz w:val="22"/>
                <w:szCs w:val="22"/>
              </w:rPr>
              <w:t>fNRB</w:t>
            </w:r>
            <w:proofErr w:type="spellEnd"/>
            <w:r w:rsidRPr="00216F75">
              <w:rPr>
                <w:rFonts w:ascii="Arial" w:hAnsi="Arial" w:cs="Arial"/>
                <w:b/>
                <w:bCs/>
                <w:color w:val="000000"/>
                <w:sz w:val="22"/>
                <w:szCs w:val="22"/>
              </w:rPr>
              <w:t xml:space="preserve"> (%)</w:t>
            </w:r>
          </w:p>
        </w:tc>
      </w:tr>
      <w:tr w:rsidR="00620061" w:rsidRPr="00216F75" w14:paraId="20429942" w14:textId="77777777">
        <w:trPr>
          <w:trHeight w:val="300"/>
        </w:trPr>
        <w:tc>
          <w:tcPr>
            <w:tcW w:w="4680" w:type="dxa"/>
            <w:tcBorders>
              <w:top w:val="single" w:sz="6" w:space="0" w:color="auto"/>
              <w:left w:val="single" w:sz="6" w:space="0" w:color="auto"/>
              <w:bottom w:val="single" w:sz="6" w:space="0" w:color="auto"/>
              <w:right w:val="single" w:sz="6" w:space="0" w:color="auto"/>
            </w:tcBorders>
            <w:hideMark/>
          </w:tcPr>
          <w:p w14:paraId="647F78FF"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Asia </w:t>
            </w:r>
          </w:p>
        </w:tc>
        <w:tc>
          <w:tcPr>
            <w:tcW w:w="4680" w:type="dxa"/>
            <w:tcBorders>
              <w:top w:val="single" w:sz="6" w:space="0" w:color="auto"/>
              <w:left w:val="single" w:sz="6" w:space="0" w:color="auto"/>
              <w:bottom w:val="single" w:sz="6" w:space="0" w:color="auto"/>
              <w:right w:val="single" w:sz="6" w:space="0" w:color="auto"/>
            </w:tcBorders>
            <w:hideMark/>
          </w:tcPr>
          <w:p w14:paraId="0951C015"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18</w:t>
            </w:r>
          </w:p>
        </w:tc>
      </w:tr>
      <w:tr w:rsidR="00620061" w:rsidRPr="00216F75" w14:paraId="7AF0F188" w14:textId="77777777">
        <w:trPr>
          <w:trHeight w:val="300"/>
        </w:trPr>
        <w:tc>
          <w:tcPr>
            <w:tcW w:w="4680" w:type="dxa"/>
            <w:tcBorders>
              <w:top w:val="single" w:sz="6" w:space="0" w:color="auto"/>
              <w:left w:val="single" w:sz="6" w:space="0" w:color="auto"/>
              <w:bottom w:val="single" w:sz="6" w:space="0" w:color="auto"/>
              <w:right w:val="single" w:sz="6" w:space="0" w:color="auto"/>
            </w:tcBorders>
            <w:hideMark/>
          </w:tcPr>
          <w:p w14:paraId="35FE3239"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Latin America </w:t>
            </w:r>
          </w:p>
        </w:tc>
        <w:tc>
          <w:tcPr>
            <w:tcW w:w="4680" w:type="dxa"/>
            <w:tcBorders>
              <w:top w:val="single" w:sz="6" w:space="0" w:color="auto"/>
              <w:left w:val="single" w:sz="6" w:space="0" w:color="auto"/>
              <w:bottom w:val="single" w:sz="6" w:space="0" w:color="auto"/>
              <w:right w:val="single" w:sz="6" w:space="0" w:color="auto"/>
            </w:tcBorders>
            <w:hideMark/>
          </w:tcPr>
          <w:p w14:paraId="73D985DA"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32</w:t>
            </w:r>
          </w:p>
        </w:tc>
      </w:tr>
      <w:tr w:rsidR="00620061" w:rsidRPr="00216F75" w14:paraId="507A1FD8" w14:textId="77777777">
        <w:trPr>
          <w:trHeight w:val="300"/>
        </w:trPr>
        <w:tc>
          <w:tcPr>
            <w:tcW w:w="4680" w:type="dxa"/>
            <w:tcBorders>
              <w:top w:val="single" w:sz="6" w:space="0" w:color="auto"/>
              <w:left w:val="single" w:sz="6" w:space="0" w:color="auto"/>
              <w:bottom w:val="single" w:sz="6" w:space="0" w:color="auto"/>
              <w:right w:val="single" w:sz="6" w:space="0" w:color="auto"/>
            </w:tcBorders>
            <w:hideMark/>
          </w:tcPr>
          <w:p w14:paraId="086ED9A2"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Sub-Saharan Africa </w:t>
            </w:r>
          </w:p>
        </w:tc>
        <w:tc>
          <w:tcPr>
            <w:tcW w:w="4680" w:type="dxa"/>
            <w:tcBorders>
              <w:top w:val="single" w:sz="6" w:space="0" w:color="auto"/>
              <w:left w:val="single" w:sz="6" w:space="0" w:color="auto"/>
              <w:bottom w:val="single" w:sz="6" w:space="0" w:color="auto"/>
              <w:right w:val="single" w:sz="6" w:space="0" w:color="auto"/>
            </w:tcBorders>
            <w:hideMark/>
          </w:tcPr>
          <w:p w14:paraId="1F9FCCA2"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40</w:t>
            </w:r>
          </w:p>
        </w:tc>
      </w:tr>
    </w:tbl>
    <w:p w14:paraId="782475C3" w14:textId="77777777" w:rsidR="00620061" w:rsidRPr="00216F75" w:rsidRDefault="00620061" w:rsidP="00620061">
      <w:pPr>
        <w:pStyle w:val="NormalWeb"/>
        <w:spacing w:before="240" w:after="240"/>
        <w:rPr>
          <w:rFonts w:ascii="Arial" w:hAnsi="Arial" w:cs="Arial"/>
          <w:color w:val="000000"/>
          <w:sz w:val="22"/>
          <w:szCs w:val="22"/>
        </w:rPr>
      </w:pPr>
      <w:r w:rsidRPr="00216F75">
        <w:rPr>
          <w:rFonts w:ascii="Arial" w:hAnsi="Arial" w:cs="Arial"/>
          <w:b/>
          <w:bCs/>
          <w:color w:val="000000"/>
          <w:sz w:val="22"/>
          <w:szCs w:val="22"/>
        </w:rPr>
        <w:t xml:space="preserve">National </w:t>
      </w:r>
      <w:proofErr w:type="spellStart"/>
      <w:r w:rsidRPr="00216F75">
        <w:rPr>
          <w:rFonts w:ascii="Arial" w:hAnsi="Arial" w:cs="Arial"/>
          <w:b/>
          <w:bCs/>
          <w:color w:val="000000"/>
          <w:sz w:val="22"/>
          <w:szCs w:val="22"/>
        </w:rPr>
        <w:t>fNRB</w:t>
      </w:r>
      <w:proofErr w:type="spellEnd"/>
      <w:r w:rsidRPr="00216F75">
        <w:rPr>
          <w:rFonts w:ascii="Arial" w:hAnsi="Arial" w:cs="Arial"/>
          <w:b/>
          <w:bCs/>
          <w:color w:val="000000"/>
          <w:sz w:val="22"/>
          <w:szCs w:val="22"/>
        </w:rPr>
        <w:t xml:space="preserve"> values</w:t>
      </w:r>
    </w:p>
    <w:tbl>
      <w:tblPr>
        <w:tblW w:w="0" w:type="dxa"/>
        <w:tblCellMar>
          <w:left w:w="0" w:type="dxa"/>
          <w:right w:w="0" w:type="dxa"/>
        </w:tblCellMar>
        <w:tblLook w:val="04A0" w:firstRow="1" w:lastRow="0" w:firstColumn="1" w:lastColumn="0" w:noHBand="0" w:noVBand="1"/>
      </w:tblPr>
      <w:tblGrid>
        <w:gridCol w:w="4687"/>
        <w:gridCol w:w="4652"/>
      </w:tblGrid>
      <w:tr w:rsidR="00620061" w:rsidRPr="00216F75" w14:paraId="11472D24" w14:textId="77777777">
        <w:trPr>
          <w:trHeight w:val="300"/>
        </w:trPr>
        <w:tc>
          <w:tcPr>
            <w:tcW w:w="4830" w:type="dxa"/>
            <w:tcBorders>
              <w:top w:val="single" w:sz="6" w:space="0" w:color="000000"/>
              <w:left w:val="single" w:sz="6" w:space="0" w:color="000000"/>
              <w:bottom w:val="single" w:sz="6" w:space="0" w:color="000000"/>
              <w:right w:val="single" w:sz="6" w:space="0" w:color="000000"/>
            </w:tcBorders>
            <w:hideMark/>
          </w:tcPr>
          <w:p w14:paraId="29C6A0F1"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b/>
                <w:bCs/>
                <w:color w:val="000000"/>
                <w:sz w:val="22"/>
                <w:szCs w:val="22"/>
              </w:rPr>
              <w:t>Country</w:t>
            </w:r>
          </w:p>
        </w:tc>
        <w:tc>
          <w:tcPr>
            <w:tcW w:w="4830" w:type="dxa"/>
            <w:tcBorders>
              <w:top w:val="single" w:sz="6" w:space="0" w:color="000000"/>
              <w:left w:val="single" w:sz="6" w:space="0" w:color="000000"/>
              <w:bottom w:val="single" w:sz="6" w:space="0" w:color="000000"/>
              <w:right w:val="single" w:sz="6" w:space="0" w:color="000000"/>
            </w:tcBorders>
            <w:hideMark/>
          </w:tcPr>
          <w:p w14:paraId="441914FE" w14:textId="77777777" w:rsidR="00620061" w:rsidRPr="00216F75" w:rsidRDefault="00620061">
            <w:pPr>
              <w:pStyle w:val="NormalWeb"/>
              <w:spacing w:before="240" w:after="240"/>
              <w:jc w:val="center"/>
              <w:rPr>
                <w:rFonts w:ascii="Arial" w:hAnsi="Arial" w:cs="Arial"/>
                <w:color w:val="000000"/>
                <w:sz w:val="22"/>
                <w:szCs w:val="22"/>
              </w:rPr>
            </w:pPr>
            <w:proofErr w:type="spellStart"/>
            <w:r w:rsidRPr="00216F75">
              <w:rPr>
                <w:rFonts w:ascii="Arial" w:hAnsi="Arial" w:cs="Arial"/>
                <w:b/>
                <w:bCs/>
                <w:color w:val="000000"/>
                <w:sz w:val="22"/>
                <w:szCs w:val="22"/>
              </w:rPr>
              <w:t>fNRB</w:t>
            </w:r>
            <w:proofErr w:type="spellEnd"/>
            <w:r w:rsidRPr="00216F75">
              <w:rPr>
                <w:rFonts w:ascii="Arial" w:hAnsi="Arial" w:cs="Arial"/>
                <w:b/>
                <w:bCs/>
                <w:color w:val="000000"/>
                <w:sz w:val="22"/>
                <w:szCs w:val="22"/>
              </w:rPr>
              <w:t xml:space="preserve"> (%)</w:t>
            </w:r>
          </w:p>
        </w:tc>
      </w:tr>
      <w:tr w:rsidR="00620061" w:rsidRPr="00216F75" w14:paraId="7B9EB787"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729B81E3"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Afghanistan </w:t>
            </w:r>
          </w:p>
        </w:tc>
        <w:tc>
          <w:tcPr>
            <w:tcW w:w="4830" w:type="dxa"/>
            <w:tcBorders>
              <w:top w:val="single" w:sz="6" w:space="0" w:color="000000"/>
              <w:left w:val="single" w:sz="6" w:space="0" w:color="000000"/>
              <w:bottom w:val="single" w:sz="6" w:space="0" w:color="000000"/>
              <w:right w:val="single" w:sz="6" w:space="0" w:color="000000"/>
            </w:tcBorders>
            <w:hideMark/>
          </w:tcPr>
          <w:p w14:paraId="52D2CA10"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10</w:t>
            </w:r>
          </w:p>
        </w:tc>
      </w:tr>
      <w:tr w:rsidR="00620061" w:rsidRPr="00216F75" w14:paraId="024716D1"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2F3AF94"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Angola </w:t>
            </w:r>
          </w:p>
        </w:tc>
        <w:tc>
          <w:tcPr>
            <w:tcW w:w="4830" w:type="dxa"/>
            <w:tcBorders>
              <w:top w:val="single" w:sz="6" w:space="0" w:color="000000"/>
              <w:left w:val="single" w:sz="6" w:space="0" w:color="000000"/>
              <w:bottom w:val="single" w:sz="6" w:space="0" w:color="000000"/>
              <w:right w:val="single" w:sz="6" w:space="0" w:color="000000"/>
            </w:tcBorders>
            <w:hideMark/>
          </w:tcPr>
          <w:p w14:paraId="29A38C38"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27</w:t>
            </w:r>
          </w:p>
        </w:tc>
      </w:tr>
      <w:tr w:rsidR="00620061" w:rsidRPr="00216F75" w14:paraId="22587479"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7C42F490"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Armenia </w:t>
            </w:r>
          </w:p>
        </w:tc>
        <w:tc>
          <w:tcPr>
            <w:tcW w:w="4830" w:type="dxa"/>
            <w:tcBorders>
              <w:top w:val="single" w:sz="6" w:space="0" w:color="000000"/>
              <w:left w:val="single" w:sz="6" w:space="0" w:color="000000"/>
              <w:bottom w:val="single" w:sz="6" w:space="0" w:color="000000"/>
              <w:right w:val="single" w:sz="6" w:space="0" w:color="000000"/>
            </w:tcBorders>
            <w:hideMark/>
          </w:tcPr>
          <w:p w14:paraId="2FAD31B3"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w:t>
            </w:r>
          </w:p>
        </w:tc>
      </w:tr>
      <w:tr w:rsidR="00620061" w:rsidRPr="00216F75" w14:paraId="0DA07E57"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67914A2"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Azerbaijan </w:t>
            </w:r>
          </w:p>
        </w:tc>
        <w:tc>
          <w:tcPr>
            <w:tcW w:w="4830" w:type="dxa"/>
            <w:tcBorders>
              <w:top w:val="single" w:sz="6" w:space="0" w:color="000000"/>
              <w:left w:val="single" w:sz="6" w:space="0" w:color="000000"/>
              <w:bottom w:val="single" w:sz="6" w:space="0" w:color="000000"/>
              <w:right w:val="single" w:sz="6" w:space="0" w:color="000000"/>
            </w:tcBorders>
            <w:hideMark/>
          </w:tcPr>
          <w:p w14:paraId="5E195A0D"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w:t>
            </w:r>
          </w:p>
        </w:tc>
      </w:tr>
      <w:tr w:rsidR="00620061" w:rsidRPr="00216F75" w14:paraId="03FB43CF"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611B8C5F"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Bangladesh </w:t>
            </w:r>
          </w:p>
        </w:tc>
        <w:tc>
          <w:tcPr>
            <w:tcW w:w="4830" w:type="dxa"/>
            <w:tcBorders>
              <w:top w:val="single" w:sz="6" w:space="0" w:color="000000"/>
              <w:left w:val="single" w:sz="6" w:space="0" w:color="000000"/>
              <w:bottom w:val="single" w:sz="6" w:space="0" w:color="000000"/>
              <w:right w:val="single" w:sz="6" w:space="0" w:color="000000"/>
            </w:tcBorders>
            <w:hideMark/>
          </w:tcPr>
          <w:p w14:paraId="78E4FE43"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39</w:t>
            </w:r>
          </w:p>
        </w:tc>
      </w:tr>
      <w:tr w:rsidR="00620061" w:rsidRPr="00216F75" w14:paraId="652C8DB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9650C3A"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Benin </w:t>
            </w:r>
          </w:p>
        </w:tc>
        <w:tc>
          <w:tcPr>
            <w:tcW w:w="4830" w:type="dxa"/>
            <w:tcBorders>
              <w:top w:val="single" w:sz="6" w:space="0" w:color="000000"/>
              <w:left w:val="single" w:sz="6" w:space="0" w:color="000000"/>
              <w:bottom w:val="single" w:sz="6" w:space="0" w:color="000000"/>
              <w:right w:val="single" w:sz="6" w:space="0" w:color="000000"/>
            </w:tcBorders>
            <w:hideMark/>
          </w:tcPr>
          <w:p w14:paraId="1492F779"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34</w:t>
            </w:r>
          </w:p>
        </w:tc>
      </w:tr>
      <w:tr w:rsidR="00620061" w:rsidRPr="00216F75" w14:paraId="69A47E8B"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794648A6"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Bhutan </w:t>
            </w:r>
          </w:p>
        </w:tc>
        <w:tc>
          <w:tcPr>
            <w:tcW w:w="4830" w:type="dxa"/>
            <w:tcBorders>
              <w:top w:val="single" w:sz="6" w:space="0" w:color="000000"/>
              <w:left w:val="single" w:sz="6" w:space="0" w:color="000000"/>
              <w:bottom w:val="single" w:sz="6" w:space="0" w:color="000000"/>
              <w:right w:val="single" w:sz="6" w:space="0" w:color="000000"/>
            </w:tcBorders>
            <w:hideMark/>
          </w:tcPr>
          <w:p w14:paraId="185E02F7"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30</w:t>
            </w:r>
          </w:p>
        </w:tc>
      </w:tr>
      <w:tr w:rsidR="00620061" w:rsidRPr="00216F75" w14:paraId="74939DBA"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669778E7"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Plurinational State of Bolivia </w:t>
            </w:r>
          </w:p>
        </w:tc>
        <w:tc>
          <w:tcPr>
            <w:tcW w:w="4830" w:type="dxa"/>
            <w:tcBorders>
              <w:top w:val="single" w:sz="6" w:space="0" w:color="000000"/>
              <w:left w:val="single" w:sz="6" w:space="0" w:color="000000"/>
              <w:bottom w:val="single" w:sz="6" w:space="0" w:color="000000"/>
              <w:right w:val="single" w:sz="6" w:space="0" w:color="000000"/>
            </w:tcBorders>
            <w:hideMark/>
          </w:tcPr>
          <w:p w14:paraId="5C063106"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14</w:t>
            </w:r>
          </w:p>
        </w:tc>
      </w:tr>
      <w:tr w:rsidR="00620061" w:rsidRPr="00216F75" w14:paraId="39D6A1C9"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E16CDA6"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Botswana </w:t>
            </w:r>
          </w:p>
        </w:tc>
        <w:tc>
          <w:tcPr>
            <w:tcW w:w="4830" w:type="dxa"/>
            <w:tcBorders>
              <w:top w:val="single" w:sz="6" w:space="0" w:color="000000"/>
              <w:left w:val="single" w:sz="6" w:space="0" w:color="000000"/>
              <w:bottom w:val="single" w:sz="6" w:space="0" w:color="000000"/>
              <w:right w:val="single" w:sz="6" w:space="0" w:color="000000"/>
            </w:tcBorders>
            <w:hideMark/>
          </w:tcPr>
          <w:p w14:paraId="2BDC347E"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35</w:t>
            </w:r>
          </w:p>
        </w:tc>
      </w:tr>
      <w:tr w:rsidR="00620061" w:rsidRPr="00216F75" w14:paraId="6E1D17B2"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7A0977F4"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Brazil </w:t>
            </w:r>
          </w:p>
        </w:tc>
        <w:tc>
          <w:tcPr>
            <w:tcW w:w="4830" w:type="dxa"/>
            <w:tcBorders>
              <w:top w:val="single" w:sz="6" w:space="0" w:color="000000"/>
              <w:left w:val="single" w:sz="6" w:space="0" w:color="000000"/>
              <w:bottom w:val="single" w:sz="6" w:space="0" w:color="000000"/>
              <w:right w:val="single" w:sz="6" w:space="0" w:color="000000"/>
            </w:tcBorders>
            <w:hideMark/>
          </w:tcPr>
          <w:p w14:paraId="584BC6F9"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13</w:t>
            </w:r>
          </w:p>
        </w:tc>
      </w:tr>
      <w:tr w:rsidR="00620061" w:rsidRPr="00216F75" w14:paraId="34015348"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6D22EE50"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Burkina Faso </w:t>
            </w:r>
          </w:p>
        </w:tc>
        <w:tc>
          <w:tcPr>
            <w:tcW w:w="4830" w:type="dxa"/>
            <w:tcBorders>
              <w:top w:val="single" w:sz="6" w:space="0" w:color="000000"/>
              <w:left w:val="single" w:sz="6" w:space="0" w:color="000000"/>
              <w:bottom w:val="single" w:sz="6" w:space="0" w:color="000000"/>
              <w:right w:val="single" w:sz="6" w:space="0" w:color="000000"/>
            </w:tcBorders>
            <w:hideMark/>
          </w:tcPr>
          <w:p w14:paraId="701D6D91"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36</w:t>
            </w:r>
          </w:p>
        </w:tc>
      </w:tr>
      <w:tr w:rsidR="00620061" w:rsidRPr="00216F75" w14:paraId="66128F43"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1E4B185"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Burundi </w:t>
            </w:r>
          </w:p>
        </w:tc>
        <w:tc>
          <w:tcPr>
            <w:tcW w:w="4830" w:type="dxa"/>
            <w:tcBorders>
              <w:top w:val="single" w:sz="6" w:space="0" w:color="000000"/>
              <w:left w:val="single" w:sz="6" w:space="0" w:color="000000"/>
              <w:bottom w:val="single" w:sz="6" w:space="0" w:color="000000"/>
              <w:right w:val="single" w:sz="6" w:space="0" w:color="000000"/>
            </w:tcBorders>
            <w:hideMark/>
          </w:tcPr>
          <w:p w14:paraId="2D7B1648"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35</w:t>
            </w:r>
          </w:p>
        </w:tc>
      </w:tr>
      <w:tr w:rsidR="00620061" w:rsidRPr="00216F75" w14:paraId="23C04AF7"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710EE5A3"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Cambodia </w:t>
            </w:r>
          </w:p>
        </w:tc>
        <w:tc>
          <w:tcPr>
            <w:tcW w:w="4830" w:type="dxa"/>
            <w:tcBorders>
              <w:top w:val="single" w:sz="6" w:space="0" w:color="000000"/>
              <w:left w:val="single" w:sz="6" w:space="0" w:color="000000"/>
              <w:bottom w:val="single" w:sz="6" w:space="0" w:color="000000"/>
              <w:right w:val="single" w:sz="6" w:space="0" w:color="000000"/>
            </w:tcBorders>
            <w:hideMark/>
          </w:tcPr>
          <w:p w14:paraId="638C986C"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20</w:t>
            </w:r>
          </w:p>
        </w:tc>
      </w:tr>
      <w:tr w:rsidR="00620061" w:rsidRPr="00216F75" w14:paraId="75C7B3B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308B681"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Cameroon </w:t>
            </w:r>
          </w:p>
        </w:tc>
        <w:tc>
          <w:tcPr>
            <w:tcW w:w="4830" w:type="dxa"/>
            <w:tcBorders>
              <w:top w:val="single" w:sz="6" w:space="0" w:color="000000"/>
              <w:left w:val="single" w:sz="6" w:space="0" w:color="000000"/>
              <w:bottom w:val="single" w:sz="6" w:space="0" w:color="000000"/>
              <w:right w:val="single" w:sz="6" w:space="0" w:color="000000"/>
            </w:tcBorders>
            <w:hideMark/>
          </w:tcPr>
          <w:p w14:paraId="204E455D"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38</w:t>
            </w:r>
          </w:p>
        </w:tc>
      </w:tr>
      <w:tr w:rsidR="00620061" w:rsidRPr="00216F75" w14:paraId="480DC75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094720EC"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Central African Republic </w:t>
            </w:r>
          </w:p>
        </w:tc>
        <w:tc>
          <w:tcPr>
            <w:tcW w:w="4830" w:type="dxa"/>
            <w:tcBorders>
              <w:top w:val="single" w:sz="6" w:space="0" w:color="000000"/>
              <w:left w:val="single" w:sz="6" w:space="0" w:color="000000"/>
              <w:bottom w:val="single" w:sz="6" w:space="0" w:color="000000"/>
              <w:right w:val="single" w:sz="6" w:space="0" w:color="000000"/>
            </w:tcBorders>
            <w:hideMark/>
          </w:tcPr>
          <w:p w14:paraId="08C6A753"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42</w:t>
            </w:r>
          </w:p>
        </w:tc>
      </w:tr>
      <w:tr w:rsidR="00620061" w:rsidRPr="00216F75" w14:paraId="22A8A914"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3A5F4B4"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Chad </w:t>
            </w:r>
          </w:p>
        </w:tc>
        <w:tc>
          <w:tcPr>
            <w:tcW w:w="4830" w:type="dxa"/>
            <w:tcBorders>
              <w:top w:val="single" w:sz="6" w:space="0" w:color="000000"/>
              <w:left w:val="single" w:sz="6" w:space="0" w:color="000000"/>
              <w:bottom w:val="single" w:sz="6" w:space="0" w:color="000000"/>
              <w:right w:val="single" w:sz="6" w:space="0" w:color="000000"/>
            </w:tcBorders>
            <w:hideMark/>
          </w:tcPr>
          <w:p w14:paraId="20A986E4"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37</w:t>
            </w:r>
          </w:p>
        </w:tc>
      </w:tr>
      <w:tr w:rsidR="00620061" w:rsidRPr="00216F75" w14:paraId="6FD736F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B6B2C59"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China </w:t>
            </w:r>
          </w:p>
        </w:tc>
        <w:tc>
          <w:tcPr>
            <w:tcW w:w="4830" w:type="dxa"/>
            <w:tcBorders>
              <w:top w:val="single" w:sz="6" w:space="0" w:color="000000"/>
              <w:left w:val="single" w:sz="6" w:space="0" w:color="000000"/>
              <w:bottom w:val="single" w:sz="6" w:space="0" w:color="000000"/>
              <w:right w:val="single" w:sz="6" w:space="0" w:color="000000"/>
            </w:tcBorders>
            <w:hideMark/>
          </w:tcPr>
          <w:p w14:paraId="19912222"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10</w:t>
            </w:r>
          </w:p>
        </w:tc>
      </w:tr>
      <w:tr w:rsidR="00620061" w:rsidRPr="00216F75" w14:paraId="2BF1370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E654A13"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Colombia </w:t>
            </w:r>
          </w:p>
        </w:tc>
        <w:tc>
          <w:tcPr>
            <w:tcW w:w="4830" w:type="dxa"/>
            <w:tcBorders>
              <w:top w:val="single" w:sz="6" w:space="0" w:color="000000"/>
              <w:left w:val="single" w:sz="6" w:space="0" w:color="000000"/>
              <w:bottom w:val="single" w:sz="6" w:space="0" w:color="000000"/>
              <w:right w:val="single" w:sz="6" w:space="0" w:color="000000"/>
            </w:tcBorders>
            <w:hideMark/>
          </w:tcPr>
          <w:p w14:paraId="7ED77D5C"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7</w:t>
            </w:r>
          </w:p>
        </w:tc>
      </w:tr>
      <w:tr w:rsidR="00620061" w:rsidRPr="00216F75" w14:paraId="7A738877"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FD98E51"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Costa Rica </w:t>
            </w:r>
          </w:p>
        </w:tc>
        <w:tc>
          <w:tcPr>
            <w:tcW w:w="4830" w:type="dxa"/>
            <w:tcBorders>
              <w:top w:val="single" w:sz="6" w:space="0" w:color="000000"/>
              <w:left w:val="single" w:sz="6" w:space="0" w:color="000000"/>
              <w:bottom w:val="single" w:sz="6" w:space="0" w:color="000000"/>
              <w:right w:val="single" w:sz="6" w:space="0" w:color="000000"/>
            </w:tcBorders>
            <w:hideMark/>
          </w:tcPr>
          <w:p w14:paraId="383593CA"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10</w:t>
            </w:r>
          </w:p>
        </w:tc>
      </w:tr>
      <w:tr w:rsidR="00620061" w:rsidRPr="00216F75" w14:paraId="2B37C8C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D474680"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Côte d'Ivoire </w:t>
            </w:r>
          </w:p>
        </w:tc>
        <w:tc>
          <w:tcPr>
            <w:tcW w:w="4830" w:type="dxa"/>
            <w:tcBorders>
              <w:top w:val="single" w:sz="6" w:space="0" w:color="000000"/>
              <w:left w:val="single" w:sz="6" w:space="0" w:color="000000"/>
              <w:bottom w:val="single" w:sz="6" w:space="0" w:color="000000"/>
              <w:right w:val="single" w:sz="6" w:space="0" w:color="000000"/>
            </w:tcBorders>
            <w:hideMark/>
          </w:tcPr>
          <w:p w14:paraId="72686D58"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19</w:t>
            </w:r>
          </w:p>
        </w:tc>
      </w:tr>
      <w:tr w:rsidR="00620061" w:rsidRPr="00216F75" w14:paraId="6EC1CC39"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61F0F75"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Democratic Republic of the Congo </w:t>
            </w:r>
          </w:p>
        </w:tc>
        <w:tc>
          <w:tcPr>
            <w:tcW w:w="4830" w:type="dxa"/>
            <w:tcBorders>
              <w:top w:val="single" w:sz="6" w:space="0" w:color="000000"/>
              <w:left w:val="single" w:sz="6" w:space="0" w:color="000000"/>
              <w:bottom w:val="single" w:sz="6" w:space="0" w:color="000000"/>
              <w:right w:val="single" w:sz="6" w:space="0" w:color="000000"/>
            </w:tcBorders>
            <w:hideMark/>
          </w:tcPr>
          <w:p w14:paraId="40A0AAB6"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42</w:t>
            </w:r>
          </w:p>
        </w:tc>
      </w:tr>
      <w:tr w:rsidR="00620061" w:rsidRPr="00216F75" w14:paraId="74FA3295"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BC4AB2F"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Djibouti </w:t>
            </w:r>
          </w:p>
        </w:tc>
        <w:tc>
          <w:tcPr>
            <w:tcW w:w="4830" w:type="dxa"/>
            <w:tcBorders>
              <w:top w:val="single" w:sz="6" w:space="0" w:color="000000"/>
              <w:left w:val="single" w:sz="6" w:space="0" w:color="000000"/>
              <w:bottom w:val="single" w:sz="6" w:space="0" w:color="000000"/>
              <w:right w:val="single" w:sz="6" w:space="0" w:color="000000"/>
            </w:tcBorders>
            <w:hideMark/>
          </w:tcPr>
          <w:p w14:paraId="62E7E2F1"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w:t>
            </w:r>
          </w:p>
        </w:tc>
      </w:tr>
      <w:tr w:rsidR="00620061" w:rsidRPr="00216F75" w14:paraId="37235C40"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D7361B6"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Dominican Republic </w:t>
            </w:r>
          </w:p>
        </w:tc>
        <w:tc>
          <w:tcPr>
            <w:tcW w:w="4830" w:type="dxa"/>
            <w:tcBorders>
              <w:top w:val="single" w:sz="6" w:space="0" w:color="000000"/>
              <w:left w:val="single" w:sz="6" w:space="0" w:color="000000"/>
              <w:bottom w:val="single" w:sz="6" w:space="0" w:color="000000"/>
              <w:right w:val="single" w:sz="6" w:space="0" w:color="000000"/>
            </w:tcBorders>
            <w:hideMark/>
          </w:tcPr>
          <w:p w14:paraId="0E784608"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43</w:t>
            </w:r>
          </w:p>
        </w:tc>
      </w:tr>
      <w:tr w:rsidR="00620061" w:rsidRPr="00216F75" w14:paraId="02DD56CF"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6296D7B1"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Ecuador </w:t>
            </w:r>
          </w:p>
        </w:tc>
        <w:tc>
          <w:tcPr>
            <w:tcW w:w="4830" w:type="dxa"/>
            <w:tcBorders>
              <w:top w:val="single" w:sz="6" w:space="0" w:color="000000"/>
              <w:left w:val="single" w:sz="6" w:space="0" w:color="000000"/>
              <w:bottom w:val="single" w:sz="6" w:space="0" w:color="000000"/>
              <w:right w:val="single" w:sz="6" w:space="0" w:color="000000"/>
            </w:tcBorders>
            <w:hideMark/>
          </w:tcPr>
          <w:p w14:paraId="4FDD9657"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28</w:t>
            </w:r>
          </w:p>
        </w:tc>
      </w:tr>
      <w:tr w:rsidR="00620061" w:rsidRPr="00216F75" w14:paraId="2D42CD08"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0057F674"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Equatorial Guinea </w:t>
            </w:r>
          </w:p>
        </w:tc>
        <w:tc>
          <w:tcPr>
            <w:tcW w:w="4830" w:type="dxa"/>
            <w:tcBorders>
              <w:top w:val="single" w:sz="6" w:space="0" w:color="000000"/>
              <w:left w:val="single" w:sz="6" w:space="0" w:color="000000"/>
              <w:bottom w:val="single" w:sz="6" w:space="0" w:color="000000"/>
              <w:right w:val="single" w:sz="6" w:space="0" w:color="000000"/>
            </w:tcBorders>
            <w:hideMark/>
          </w:tcPr>
          <w:p w14:paraId="49967CE9"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31</w:t>
            </w:r>
          </w:p>
        </w:tc>
      </w:tr>
      <w:tr w:rsidR="00620061" w:rsidRPr="00216F75" w14:paraId="73563A8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76C0860B"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Eritrea </w:t>
            </w:r>
          </w:p>
        </w:tc>
        <w:tc>
          <w:tcPr>
            <w:tcW w:w="4830" w:type="dxa"/>
            <w:tcBorders>
              <w:top w:val="single" w:sz="6" w:space="0" w:color="000000"/>
              <w:left w:val="single" w:sz="6" w:space="0" w:color="000000"/>
              <w:bottom w:val="single" w:sz="6" w:space="0" w:color="000000"/>
              <w:right w:val="single" w:sz="6" w:space="0" w:color="000000"/>
            </w:tcBorders>
            <w:hideMark/>
          </w:tcPr>
          <w:p w14:paraId="52E3418A"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30</w:t>
            </w:r>
          </w:p>
        </w:tc>
      </w:tr>
      <w:tr w:rsidR="00620061" w:rsidRPr="00216F75" w14:paraId="3ED9769A"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4E1110E2"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Eswatini </w:t>
            </w:r>
          </w:p>
        </w:tc>
        <w:tc>
          <w:tcPr>
            <w:tcW w:w="4830" w:type="dxa"/>
            <w:tcBorders>
              <w:top w:val="single" w:sz="6" w:space="0" w:color="000000"/>
              <w:left w:val="single" w:sz="6" w:space="0" w:color="000000"/>
              <w:bottom w:val="single" w:sz="6" w:space="0" w:color="000000"/>
              <w:right w:val="single" w:sz="6" w:space="0" w:color="000000"/>
            </w:tcBorders>
            <w:hideMark/>
          </w:tcPr>
          <w:p w14:paraId="7FC18A09"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16</w:t>
            </w:r>
          </w:p>
        </w:tc>
      </w:tr>
      <w:tr w:rsidR="00620061" w:rsidRPr="00216F75" w14:paraId="6FCAA390"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7A7CB30"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Ethiopia </w:t>
            </w:r>
          </w:p>
        </w:tc>
        <w:tc>
          <w:tcPr>
            <w:tcW w:w="4830" w:type="dxa"/>
            <w:tcBorders>
              <w:top w:val="single" w:sz="6" w:space="0" w:color="000000"/>
              <w:left w:val="single" w:sz="6" w:space="0" w:color="000000"/>
              <w:bottom w:val="single" w:sz="6" w:space="0" w:color="000000"/>
              <w:right w:val="single" w:sz="6" w:space="0" w:color="000000"/>
            </w:tcBorders>
            <w:hideMark/>
          </w:tcPr>
          <w:p w14:paraId="3B2AB0BA"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33</w:t>
            </w:r>
          </w:p>
        </w:tc>
      </w:tr>
      <w:tr w:rsidR="00620061" w:rsidRPr="00216F75" w14:paraId="65C722D5"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4BF1BCE7"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Gabon </w:t>
            </w:r>
          </w:p>
        </w:tc>
        <w:tc>
          <w:tcPr>
            <w:tcW w:w="4830" w:type="dxa"/>
            <w:tcBorders>
              <w:top w:val="single" w:sz="6" w:space="0" w:color="000000"/>
              <w:left w:val="single" w:sz="6" w:space="0" w:color="000000"/>
              <w:bottom w:val="single" w:sz="6" w:space="0" w:color="000000"/>
              <w:right w:val="single" w:sz="6" w:space="0" w:color="000000"/>
            </w:tcBorders>
            <w:hideMark/>
          </w:tcPr>
          <w:p w14:paraId="13E8D1D9"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18</w:t>
            </w:r>
          </w:p>
        </w:tc>
      </w:tr>
      <w:tr w:rsidR="00620061" w:rsidRPr="00216F75" w14:paraId="6F7D5773"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3903DA4"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lastRenderedPageBreak/>
              <w:t>Gambia </w:t>
            </w:r>
          </w:p>
        </w:tc>
        <w:tc>
          <w:tcPr>
            <w:tcW w:w="4830" w:type="dxa"/>
            <w:tcBorders>
              <w:top w:val="single" w:sz="6" w:space="0" w:color="000000"/>
              <w:left w:val="single" w:sz="6" w:space="0" w:color="000000"/>
              <w:bottom w:val="single" w:sz="6" w:space="0" w:color="000000"/>
              <w:right w:val="single" w:sz="6" w:space="0" w:color="000000"/>
            </w:tcBorders>
            <w:hideMark/>
          </w:tcPr>
          <w:p w14:paraId="6F998482"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55</w:t>
            </w:r>
          </w:p>
        </w:tc>
      </w:tr>
      <w:tr w:rsidR="00620061" w:rsidRPr="00216F75" w14:paraId="513D61A0"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690CA18"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Georgia </w:t>
            </w:r>
          </w:p>
        </w:tc>
        <w:tc>
          <w:tcPr>
            <w:tcW w:w="4830" w:type="dxa"/>
            <w:tcBorders>
              <w:top w:val="single" w:sz="6" w:space="0" w:color="000000"/>
              <w:left w:val="single" w:sz="6" w:space="0" w:color="000000"/>
              <w:bottom w:val="single" w:sz="6" w:space="0" w:color="000000"/>
              <w:right w:val="single" w:sz="6" w:space="0" w:color="000000"/>
            </w:tcBorders>
            <w:hideMark/>
          </w:tcPr>
          <w:p w14:paraId="6BA5C32C"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w:t>
            </w:r>
          </w:p>
        </w:tc>
      </w:tr>
      <w:tr w:rsidR="00620061" w:rsidRPr="00216F75" w14:paraId="5766069E"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AD70DAB"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Ghana </w:t>
            </w:r>
          </w:p>
        </w:tc>
        <w:tc>
          <w:tcPr>
            <w:tcW w:w="4830" w:type="dxa"/>
            <w:tcBorders>
              <w:top w:val="single" w:sz="6" w:space="0" w:color="000000"/>
              <w:left w:val="single" w:sz="6" w:space="0" w:color="000000"/>
              <w:bottom w:val="single" w:sz="6" w:space="0" w:color="000000"/>
              <w:right w:val="single" w:sz="6" w:space="0" w:color="000000"/>
            </w:tcBorders>
            <w:hideMark/>
          </w:tcPr>
          <w:p w14:paraId="67342B17"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35</w:t>
            </w:r>
          </w:p>
        </w:tc>
      </w:tr>
      <w:tr w:rsidR="00620061" w:rsidRPr="00216F75" w14:paraId="143A8DCB"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0018BF82"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Guatemala </w:t>
            </w:r>
          </w:p>
        </w:tc>
        <w:tc>
          <w:tcPr>
            <w:tcW w:w="4830" w:type="dxa"/>
            <w:tcBorders>
              <w:top w:val="single" w:sz="6" w:space="0" w:color="000000"/>
              <w:left w:val="single" w:sz="6" w:space="0" w:color="000000"/>
              <w:bottom w:val="single" w:sz="6" w:space="0" w:color="000000"/>
              <w:right w:val="single" w:sz="6" w:space="0" w:color="000000"/>
            </w:tcBorders>
            <w:hideMark/>
          </w:tcPr>
          <w:p w14:paraId="5077851D"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41</w:t>
            </w:r>
          </w:p>
        </w:tc>
      </w:tr>
      <w:tr w:rsidR="00620061" w:rsidRPr="00216F75" w14:paraId="6A93A0C2"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55E6736"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Guinea </w:t>
            </w:r>
          </w:p>
        </w:tc>
        <w:tc>
          <w:tcPr>
            <w:tcW w:w="4830" w:type="dxa"/>
            <w:tcBorders>
              <w:top w:val="single" w:sz="6" w:space="0" w:color="000000"/>
              <w:left w:val="single" w:sz="6" w:space="0" w:color="000000"/>
              <w:bottom w:val="single" w:sz="6" w:space="0" w:color="000000"/>
              <w:right w:val="single" w:sz="6" w:space="0" w:color="000000"/>
            </w:tcBorders>
            <w:hideMark/>
          </w:tcPr>
          <w:p w14:paraId="31AA3A84"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37</w:t>
            </w:r>
          </w:p>
        </w:tc>
      </w:tr>
      <w:tr w:rsidR="00620061" w:rsidRPr="00216F75" w14:paraId="3E1FC310"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C8B2544"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Guinea-Bissau </w:t>
            </w:r>
          </w:p>
        </w:tc>
        <w:tc>
          <w:tcPr>
            <w:tcW w:w="4830" w:type="dxa"/>
            <w:tcBorders>
              <w:top w:val="single" w:sz="6" w:space="0" w:color="000000"/>
              <w:left w:val="single" w:sz="6" w:space="0" w:color="000000"/>
              <w:bottom w:val="single" w:sz="6" w:space="0" w:color="000000"/>
              <w:right w:val="single" w:sz="6" w:space="0" w:color="000000"/>
            </w:tcBorders>
            <w:hideMark/>
          </w:tcPr>
          <w:p w14:paraId="41218608"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34</w:t>
            </w:r>
          </w:p>
        </w:tc>
      </w:tr>
      <w:tr w:rsidR="00620061" w:rsidRPr="00216F75" w14:paraId="2434DFD7"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638B14B4"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Guyana </w:t>
            </w:r>
          </w:p>
        </w:tc>
        <w:tc>
          <w:tcPr>
            <w:tcW w:w="4830" w:type="dxa"/>
            <w:tcBorders>
              <w:top w:val="single" w:sz="6" w:space="0" w:color="000000"/>
              <w:left w:val="single" w:sz="6" w:space="0" w:color="000000"/>
              <w:bottom w:val="single" w:sz="6" w:space="0" w:color="000000"/>
              <w:right w:val="single" w:sz="6" w:space="0" w:color="000000"/>
            </w:tcBorders>
            <w:hideMark/>
          </w:tcPr>
          <w:p w14:paraId="69A619B3"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0</w:t>
            </w:r>
          </w:p>
        </w:tc>
      </w:tr>
      <w:tr w:rsidR="00620061" w:rsidRPr="00216F75" w14:paraId="1BE1C60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B7BFF98"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Haiti </w:t>
            </w:r>
          </w:p>
        </w:tc>
        <w:tc>
          <w:tcPr>
            <w:tcW w:w="4830" w:type="dxa"/>
            <w:tcBorders>
              <w:top w:val="single" w:sz="6" w:space="0" w:color="000000"/>
              <w:left w:val="single" w:sz="6" w:space="0" w:color="000000"/>
              <w:bottom w:val="single" w:sz="6" w:space="0" w:color="000000"/>
              <w:right w:val="single" w:sz="6" w:space="0" w:color="000000"/>
            </w:tcBorders>
            <w:hideMark/>
          </w:tcPr>
          <w:p w14:paraId="7F091E71"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59</w:t>
            </w:r>
          </w:p>
        </w:tc>
      </w:tr>
      <w:tr w:rsidR="00620061" w:rsidRPr="00216F75" w14:paraId="034094B6"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F776A8A"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Honduras </w:t>
            </w:r>
          </w:p>
        </w:tc>
        <w:tc>
          <w:tcPr>
            <w:tcW w:w="4830" w:type="dxa"/>
            <w:tcBorders>
              <w:top w:val="single" w:sz="6" w:space="0" w:color="000000"/>
              <w:left w:val="single" w:sz="6" w:space="0" w:color="000000"/>
              <w:bottom w:val="single" w:sz="6" w:space="0" w:color="000000"/>
              <w:right w:val="single" w:sz="6" w:space="0" w:color="000000"/>
            </w:tcBorders>
            <w:hideMark/>
          </w:tcPr>
          <w:p w14:paraId="633F021A"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33</w:t>
            </w:r>
          </w:p>
        </w:tc>
      </w:tr>
      <w:tr w:rsidR="00620061" w:rsidRPr="00216F75" w14:paraId="5F76633D"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F95C7DB"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India </w:t>
            </w:r>
          </w:p>
        </w:tc>
        <w:tc>
          <w:tcPr>
            <w:tcW w:w="4830" w:type="dxa"/>
            <w:tcBorders>
              <w:top w:val="single" w:sz="6" w:space="0" w:color="000000"/>
              <w:left w:val="single" w:sz="6" w:space="0" w:color="000000"/>
              <w:bottom w:val="single" w:sz="6" w:space="0" w:color="000000"/>
              <w:right w:val="single" w:sz="6" w:space="0" w:color="000000"/>
            </w:tcBorders>
            <w:hideMark/>
          </w:tcPr>
          <w:p w14:paraId="1021102E"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7</w:t>
            </w:r>
          </w:p>
        </w:tc>
      </w:tr>
      <w:tr w:rsidR="00620061" w:rsidRPr="00216F75" w14:paraId="7AC61727"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BCA13A5"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Indonesia </w:t>
            </w:r>
          </w:p>
        </w:tc>
        <w:tc>
          <w:tcPr>
            <w:tcW w:w="4830" w:type="dxa"/>
            <w:tcBorders>
              <w:top w:val="single" w:sz="6" w:space="0" w:color="000000"/>
              <w:left w:val="single" w:sz="6" w:space="0" w:color="000000"/>
              <w:bottom w:val="single" w:sz="6" w:space="0" w:color="000000"/>
              <w:right w:val="single" w:sz="6" w:space="0" w:color="000000"/>
            </w:tcBorders>
            <w:hideMark/>
          </w:tcPr>
          <w:p w14:paraId="72607DC6"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9</w:t>
            </w:r>
          </w:p>
        </w:tc>
      </w:tr>
      <w:tr w:rsidR="00620061" w:rsidRPr="00216F75" w14:paraId="35305E64"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C7327AF"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Islamic Republic of Iran </w:t>
            </w:r>
          </w:p>
        </w:tc>
        <w:tc>
          <w:tcPr>
            <w:tcW w:w="4830" w:type="dxa"/>
            <w:tcBorders>
              <w:top w:val="single" w:sz="6" w:space="0" w:color="000000"/>
              <w:left w:val="single" w:sz="6" w:space="0" w:color="000000"/>
              <w:bottom w:val="single" w:sz="6" w:space="0" w:color="000000"/>
              <w:right w:val="single" w:sz="6" w:space="0" w:color="000000"/>
            </w:tcBorders>
            <w:hideMark/>
          </w:tcPr>
          <w:p w14:paraId="08C62970"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5</w:t>
            </w:r>
          </w:p>
        </w:tc>
      </w:tr>
      <w:tr w:rsidR="00620061" w:rsidRPr="00216F75" w14:paraId="3F9E59EB"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BA1FEB8"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Iraq </w:t>
            </w:r>
          </w:p>
        </w:tc>
        <w:tc>
          <w:tcPr>
            <w:tcW w:w="4830" w:type="dxa"/>
            <w:tcBorders>
              <w:top w:val="single" w:sz="6" w:space="0" w:color="000000"/>
              <w:left w:val="single" w:sz="6" w:space="0" w:color="000000"/>
              <w:bottom w:val="single" w:sz="6" w:space="0" w:color="000000"/>
              <w:right w:val="single" w:sz="6" w:space="0" w:color="000000"/>
            </w:tcBorders>
            <w:hideMark/>
          </w:tcPr>
          <w:p w14:paraId="30B58AE6"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w:t>
            </w:r>
          </w:p>
        </w:tc>
      </w:tr>
      <w:tr w:rsidR="00620061" w:rsidRPr="00216F75" w14:paraId="5550DFA2"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8EC6756"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Jamaica </w:t>
            </w:r>
          </w:p>
        </w:tc>
        <w:tc>
          <w:tcPr>
            <w:tcW w:w="4830" w:type="dxa"/>
            <w:tcBorders>
              <w:top w:val="single" w:sz="6" w:space="0" w:color="000000"/>
              <w:left w:val="single" w:sz="6" w:space="0" w:color="000000"/>
              <w:bottom w:val="single" w:sz="6" w:space="0" w:color="000000"/>
              <w:right w:val="single" w:sz="6" w:space="0" w:color="000000"/>
            </w:tcBorders>
            <w:hideMark/>
          </w:tcPr>
          <w:p w14:paraId="60451559"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38</w:t>
            </w:r>
          </w:p>
        </w:tc>
      </w:tr>
      <w:tr w:rsidR="00620061" w:rsidRPr="00216F75" w14:paraId="17F82899"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AA01DB3"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Jordan </w:t>
            </w:r>
          </w:p>
        </w:tc>
        <w:tc>
          <w:tcPr>
            <w:tcW w:w="4830" w:type="dxa"/>
            <w:tcBorders>
              <w:top w:val="single" w:sz="6" w:space="0" w:color="000000"/>
              <w:left w:val="single" w:sz="6" w:space="0" w:color="000000"/>
              <w:bottom w:val="single" w:sz="6" w:space="0" w:color="000000"/>
              <w:right w:val="single" w:sz="6" w:space="0" w:color="000000"/>
            </w:tcBorders>
            <w:hideMark/>
          </w:tcPr>
          <w:p w14:paraId="0BA01952"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w:t>
            </w:r>
          </w:p>
        </w:tc>
      </w:tr>
      <w:tr w:rsidR="00620061" w:rsidRPr="00216F75" w14:paraId="312C135B"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63A25D6"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Kazakhstan </w:t>
            </w:r>
          </w:p>
        </w:tc>
        <w:tc>
          <w:tcPr>
            <w:tcW w:w="4830" w:type="dxa"/>
            <w:tcBorders>
              <w:top w:val="single" w:sz="6" w:space="0" w:color="000000"/>
              <w:left w:val="single" w:sz="6" w:space="0" w:color="000000"/>
              <w:bottom w:val="single" w:sz="6" w:space="0" w:color="000000"/>
              <w:right w:val="single" w:sz="6" w:space="0" w:color="000000"/>
            </w:tcBorders>
            <w:hideMark/>
          </w:tcPr>
          <w:p w14:paraId="1FCA5BAF"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7</w:t>
            </w:r>
          </w:p>
        </w:tc>
      </w:tr>
      <w:tr w:rsidR="00620061" w:rsidRPr="00216F75" w14:paraId="055FBEE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02EF482E"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Kenya </w:t>
            </w:r>
          </w:p>
        </w:tc>
        <w:tc>
          <w:tcPr>
            <w:tcW w:w="4830" w:type="dxa"/>
            <w:tcBorders>
              <w:top w:val="single" w:sz="6" w:space="0" w:color="000000"/>
              <w:left w:val="single" w:sz="6" w:space="0" w:color="000000"/>
              <w:bottom w:val="single" w:sz="6" w:space="0" w:color="000000"/>
              <w:right w:val="single" w:sz="6" w:space="0" w:color="000000"/>
            </w:tcBorders>
            <w:hideMark/>
          </w:tcPr>
          <w:p w14:paraId="30B0B014"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29</w:t>
            </w:r>
          </w:p>
        </w:tc>
      </w:tr>
      <w:tr w:rsidR="00620061" w:rsidRPr="00216F75" w14:paraId="4950A1F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452C0B12"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Kyrgyzstan </w:t>
            </w:r>
          </w:p>
        </w:tc>
        <w:tc>
          <w:tcPr>
            <w:tcW w:w="4830" w:type="dxa"/>
            <w:tcBorders>
              <w:top w:val="single" w:sz="6" w:space="0" w:color="000000"/>
              <w:left w:val="single" w:sz="6" w:space="0" w:color="000000"/>
              <w:bottom w:val="single" w:sz="6" w:space="0" w:color="000000"/>
              <w:right w:val="single" w:sz="6" w:space="0" w:color="000000"/>
            </w:tcBorders>
            <w:hideMark/>
          </w:tcPr>
          <w:p w14:paraId="45B1993D"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25</w:t>
            </w:r>
          </w:p>
        </w:tc>
      </w:tr>
      <w:tr w:rsidR="00620061" w:rsidRPr="00216F75" w14:paraId="7436C327"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5631ECF"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Lao People’s Democratic Republic </w:t>
            </w:r>
          </w:p>
        </w:tc>
        <w:tc>
          <w:tcPr>
            <w:tcW w:w="4830" w:type="dxa"/>
            <w:tcBorders>
              <w:top w:val="single" w:sz="6" w:space="0" w:color="000000"/>
              <w:left w:val="single" w:sz="6" w:space="0" w:color="000000"/>
              <w:bottom w:val="single" w:sz="6" w:space="0" w:color="000000"/>
              <w:right w:val="single" w:sz="6" w:space="0" w:color="000000"/>
            </w:tcBorders>
            <w:hideMark/>
          </w:tcPr>
          <w:p w14:paraId="36A1B202"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47</w:t>
            </w:r>
          </w:p>
        </w:tc>
      </w:tr>
      <w:tr w:rsidR="00620061" w:rsidRPr="00216F75" w14:paraId="535A6215"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73E9937E"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Liberia </w:t>
            </w:r>
          </w:p>
        </w:tc>
        <w:tc>
          <w:tcPr>
            <w:tcW w:w="4830" w:type="dxa"/>
            <w:tcBorders>
              <w:top w:val="single" w:sz="6" w:space="0" w:color="000000"/>
              <w:left w:val="single" w:sz="6" w:space="0" w:color="000000"/>
              <w:bottom w:val="single" w:sz="6" w:space="0" w:color="000000"/>
              <w:right w:val="single" w:sz="6" w:space="0" w:color="000000"/>
            </w:tcBorders>
            <w:hideMark/>
          </w:tcPr>
          <w:p w14:paraId="62CC515E"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40</w:t>
            </w:r>
          </w:p>
        </w:tc>
      </w:tr>
      <w:tr w:rsidR="00620061" w:rsidRPr="00216F75" w14:paraId="70630254"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4D719ECA"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Madagascar </w:t>
            </w:r>
          </w:p>
        </w:tc>
        <w:tc>
          <w:tcPr>
            <w:tcW w:w="4830" w:type="dxa"/>
            <w:tcBorders>
              <w:top w:val="single" w:sz="6" w:space="0" w:color="000000"/>
              <w:left w:val="single" w:sz="6" w:space="0" w:color="000000"/>
              <w:bottom w:val="single" w:sz="6" w:space="0" w:color="000000"/>
              <w:right w:val="single" w:sz="6" w:space="0" w:color="000000"/>
            </w:tcBorders>
            <w:hideMark/>
          </w:tcPr>
          <w:p w14:paraId="1AE57916"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36</w:t>
            </w:r>
          </w:p>
        </w:tc>
      </w:tr>
      <w:tr w:rsidR="00620061" w:rsidRPr="00216F75" w14:paraId="582A9753"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15D3958"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Malawi </w:t>
            </w:r>
          </w:p>
        </w:tc>
        <w:tc>
          <w:tcPr>
            <w:tcW w:w="4830" w:type="dxa"/>
            <w:tcBorders>
              <w:top w:val="single" w:sz="6" w:space="0" w:color="000000"/>
              <w:left w:val="single" w:sz="6" w:space="0" w:color="000000"/>
              <w:bottom w:val="single" w:sz="6" w:space="0" w:color="000000"/>
              <w:right w:val="single" w:sz="6" w:space="0" w:color="000000"/>
            </w:tcBorders>
            <w:hideMark/>
          </w:tcPr>
          <w:p w14:paraId="106D9CF2"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48</w:t>
            </w:r>
          </w:p>
        </w:tc>
      </w:tr>
      <w:tr w:rsidR="00620061" w:rsidRPr="00216F75" w14:paraId="27161BE9"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74FC39D2"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Malaysia </w:t>
            </w:r>
          </w:p>
        </w:tc>
        <w:tc>
          <w:tcPr>
            <w:tcW w:w="4830" w:type="dxa"/>
            <w:tcBorders>
              <w:top w:val="single" w:sz="6" w:space="0" w:color="000000"/>
              <w:left w:val="single" w:sz="6" w:space="0" w:color="000000"/>
              <w:bottom w:val="single" w:sz="6" w:space="0" w:color="000000"/>
              <w:right w:val="single" w:sz="6" w:space="0" w:color="000000"/>
            </w:tcBorders>
            <w:hideMark/>
          </w:tcPr>
          <w:p w14:paraId="0B4311FF"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39</w:t>
            </w:r>
          </w:p>
        </w:tc>
      </w:tr>
      <w:tr w:rsidR="00620061" w:rsidRPr="00216F75" w14:paraId="17A56425"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6397CEF"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Mali </w:t>
            </w:r>
          </w:p>
        </w:tc>
        <w:tc>
          <w:tcPr>
            <w:tcW w:w="4830" w:type="dxa"/>
            <w:tcBorders>
              <w:top w:val="single" w:sz="6" w:space="0" w:color="000000"/>
              <w:left w:val="single" w:sz="6" w:space="0" w:color="000000"/>
              <w:bottom w:val="single" w:sz="6" w:space="0" w:color="000000"/>
              <w:right w:val="single" w:sz="6" w:space="0" w:color="000000"/>
            </w:tcBorders>
            <w:hideMark/>
          </w:tcPr>
          <w:p w14:paraId="367A94A6"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45</w:t>
            </w:r>
          </w:p>
        </w:tc>
      </w:tr>
      <w:tr w:rsidR="00620061" w:rsidRPr="00216F75" w14:paraId="5303E3F6"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EFFAFFD"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Mauritania </w:t>
            </w:r>
          </w:p>
        </w:tc>
        <w:tc>
          <w:tcPr>
            <w:tcW w:w="4830" w:type="dxa"/>
            <w:tcBorders>
              <w:top w:val="single" w:sz="6" w:space="0" w:color="000000"/>
              <w:left w:val="single" w:sz="6" w:space="0" w:color="000000"/>
              <w:bottom w:val="single" w:sz="6" w:space="0" w:color="000000"/>
              <w:right w:val="single" w:sz="6" w:space="0" w:color="000000"/>
            </w:tcBorders>
            <w:hideMark/>
          </w:tcPr>
          <w:p w14:paraId="720F60DD"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65</w:t>
            </w:r>
          </w:p>
        </w:tc>
      </w:tr>
      <w:tr w:rsidR="00620061" w:rsidRPr="00216F75" w14:paraId="0FD95E28"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74D40F0"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Mexico </w:t>
            </w:r>
          </w:p>
        </w:tc>
        <w:tc>
          <w:tcPr>
            <w:tcW w:w="4830" w:type="dxa"/>
            <w:tcBorders>
              <w:top w:val="single" w:sz="6" w:space="0" w:color="000000"/>
              <w:left w:val="single" w:sz="6" w:space="0" w:color="000000"/>
              <w:bottom w:val="single" w:sz="6" w:space="0" w:color="000000"/>
              <w:right w:val="single" w:sz="6" w:space="0" w:color="000000"/>
            </w:tcBorders>
            <w:hideMark/>
          </w:tcPr>
          <w:p w14:paraId="49C11898"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30</w:t>
            </w:r>
          </w:p>
        </w:tc>
      </w:tr>
      <w:tr w:rsidR="00620061" w:rsidRPr="00216F75" w14:paraId="6EA1FEAE"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0FDDD54"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Mongolia </w:t>
            </w:r>
          </w:p>
        </w:tc>
        <w:tc>
          <w:tcPr>
            <w:tcW w:w="4830" w:type="dxa"/>
            <w:tcBorders>
              <w:top w:val="single" w:sz="6" w:space="0" w:color="000000"/>
              <w:left w:val="single" w:sz="6" w:space="0" w:color="000000"/>
              <w:bottom w:val="single" w:sz="6" w:space="0" w:color="000000"/>
              <w:right w:val="single" w:sz="6" w:space="0" w:color="000000"/>
            </w:tcBorders>
            <w:hideMark/>
          </w:tcPr>
          <w:p w14:paraId="4620AD37"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12</w:t>
            </w:r>
          </w:p>
        </w:tc>
      </w:tr>
      <w:tr w:rsidR="00620061" w:rsidRPr="00216F75" w14:paraId="3AB9D516"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7B44209"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Mozambique </w:t>
            </w:r>
          </w:p>
        </w:tc>
        <w:tc>
          <w:tcPr>
            <w:tcW w:w="4830" w:type="dxa"/>
            <w:tcBorders>
              <w:top w:val="single" w:sz="6" w:space="0" w:color="000000"/>
              <w:left w:val="single" w:sz="6" w:space="0" w:color="000000"/>
              <w:bottom w:val="single" w:sz="6" w:space="0" w:color="000000"/>
              <w:right w:val="single" w:sz="6" w:space="0" w:color="000000"/>
            </w:tcBorders>
            <w:hideMark/>
          </w:tcPr>
          <w:p w14:paraId="3956319B"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38</w:t>
            </w:r>
          </w:p>
        </w:tc>
      </w:tr>
      <w:tr w:rsidR="00620061" w:rsidRPr="00216F75" w14:paraId="7B07E0B2"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0630754D"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Myanmar </w:t>
            </w:r>
          </w:p>
        </w:tc>
        <w:tc>
          <w:tcPr>
            <w:tcW w:w="4830" w:type="dxa"/>
            <w:tcBorders>
              <w:top w:val="single" w:sz="6" w:space="0" w:color="000000"/>
              <w:left w:val="single" w:sz="6" w:space="0" w:color="000000"/>
              <w:bottom w:val="single" w:sz="6" w:space="0" w:color="000000"/>
              <w:right w:val="single" w:sz="6" w:space="0" w:color="000000"/>
            </w:tcBorders>
            <w:hideMark/>
          </w:tcPr>
          <w:p w14:paraId="0C10C951"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36</w:t>
            </w:r>
          </w:p>
        </w:tc>
      </w:tr>
      <w:tr w:rsidR="00620061" w:rsidRPr="00216F75" w14:paraId="479FCBE8"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7843F64F"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Namibia </w:t>
            </w:r>
          </w:p>
        </w:tc>
        <w:tc>
          <w:tcPr>
            <w:tcW w:w="4830" w:type="dxa"/>
            <w:tcBorders>
              <w:top w:val="single" w:sz="6" w:space="0" w:color="000000"/>
              <w:left w:val="single" w:sz="6" w:space="0" w:color="000000"/>
              <w:bottom w:val="single" w:sz="6" w:space="0" w:color="000000"/>
              <w:right w:val="single" w:sz="6" w:space="0" w:color="000000"/>
            </w:tcBorders>
            <w:hideMark/>
          </w:tcPr>
          <w:p w14:paraId="624D3965"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28</w:t>
            </w:r>
          </w:p>
        </w:tc>
      </w:tr>
      <w:tr w:rsidR="00620061" w:rsidRPr="00216F75" w14:paraId="3B043AA1"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85E528E"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Nepal </w:t>
            </w:r>
          </w:p>
        </w:tc>
        <w:tc>
          <w:tcPr>
            <w:tcW w:w="4830" w:type="dxa"/>
            <w:tcBorders>
              <w:top w:val="single" w:sz="6" w:space="0" w:color="000000"/>
              <w:left w:val="single" w:sz="6" w:space="0" w:color="000000"/>
              <w:bottom w:val="single" w:sz="6" w:space="0" w:color="000000"/>
              <w:right w:val="single" w:sz="6" w:space="0" w:color="000000"/>
            </w:tcBorders>
            <w:hideMark/>
          </w:tcPr>
          <w:p w14:paraId="3591F22B"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45</w:t>
            </w:r>
          </w:p>
        </w:tc>
      </w:tr>
      <w:tr w:rsidR="00620061" w:rsidRPr="00216F75" w14:paraId="42DA14E5"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C4A189E"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Nicaragua </w:t>
            </w:r>
          </w:p>
        </w:tc>
        <w:tc>
          <w:tcPr>
            <w:tcW w:w="4830" w:type="dxa"/>
            <w:tcBorders>
              <w:top w:val="single" w:sz="6" w:space="0" w:color="000000"/>
              <w:left w:val="single" w:sz="6" w:space="0" w:color="000000"/>
              <w:bottom w:val="single" w:sz="6" w:space="0" w:color="000000"/>
              <w:right w:val="single" w:sz="6" w:space="0" w:color="000000"/>
            </w:tcBorders>
            <w:hideMark/>
          </w:tcPr>
          <w:p w14:paraId="319F2EFB"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26</w:t>
            </w:r>
          </w:p>
        </w:tc>
      </w:tr>
      <w:tr w:rsidR="00620061" w:rsidRPr="00216F75" w14:paraId="5591EB6D"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43607A7F"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Niger </w:t>
            </w:r>
          </w:p>
        </w:tc>
        <w:tc>
          <w:tcPr>
            <w:tcW w:w="4830" w:type="dxa"/>
            <w:tcBorders>
              <w:top w:val="single" w:sz="6" w:space="0" w:color="000000"/>
              <w:left w:val="single" w:sz="6" w:space="0" w:color="000000"/>
              <w:bottom w:val="single" w:sz="6" w:space="0" w:color="000000"/>
              <w:right w:val="single" w:sz="6" w:space="0" w:color="000000"/>
            </w:tcBorders>
            <w:hideMark/>
          </w:tcPr>
          <w:p w14:paraId="674823CA"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61</w:t>
            </w:r>
          </w:p>
        </w:tc>
      </w:tr>
      <w:tr w:rsidR="00620061" w:rsidRPr="00216F75" w14:paraId="53BA9C18"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A0195C7"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Nigeria </w:t>
            </w:r>
          </w:p>
        </w:tc>
        <w:tc>
          <w:tcPr>
            <w:tcW w:w="4830" w:type="dxa"/>
            <w:tcBorders>
              <w:top w:val="single" w:sz="6" w:space="0" w:color="000000"/>
              <w:left w:val="single" w:sz="6" w:space="0" w:color="000000"/>
              <w:bottom w:val="single" w:sz="6" w:space="0" w:color="000000"/>
              <w:right w:val="single" w:sz="6" w:space="0" w:color="000000"/>
            </w:tcBorders>
            <w:hideMark/>
          </w:tcPr>
          <w:p w14:paraId="09DBE3B0"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38</w:t>
            </w:r>
          </w:p>
        </w:tc>
      </w:tr>
      <w:tr w:rsidR="00620061" w:rsidRPr="00216F75" w14:paraId="4CACAF86"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90337A9"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Pakistan </w:t>
            </w:r>
          </w:p>
        </w:tc>
        <w:tc>
          <w:tcPr>
            <w:tcW w:w="4830" w:type="dxa"/>
            <w:tcBorders>
              <w:top w:val="single" w:sz="6" w:space="0" w:color="000000"/>
              <w:left w:val="single" w:sz="6" w:space="0" w:color="000000"/>
              <w:bottom w:val="single" w:sz="6" w:space="0" w:color="000000"/>
              <w:right w:val="single" w:sz="6" w:space="0" w:color="000000"/>
            </w:tcBorders>
            <w:hideMark/>
          </w:tcPr>
          <w:p w14:paraId="4B7B1A4C"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8</w:t>
            </w:r>
          </w:p>
        </w:tc>
      </w:tr>
      <w:tr w:rsidR="00620061" w:rsidRPr="00216F75" w14:paraId="41B3D10D"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7D68053"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Panama </w:t>
            </w:r>
          </w:p>
        </w:tc>
        <w:tc>
          <w:tcPr>
            <w:tcW w:w="4830" w:type="dxa"/>
            <w:tcBorders>
              <w:top w:val="single" w:sz="6" w:space="0" w:color="000000"/>
              <w:left w:val="single" w:sz="6" w:space="0" w:color="000000"/>
              <w:bottom w:val="single" w:sz="6" w:space="0" w:color="000000"/>
              <w:right w:val="single" w:sz="6" w:space="0" w:color="000000"/>
            </w:tcBorders>
            <w:hideMark/>
          </w:tcPr>
          <w:p w14:paraId="1B059F0F"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21</w:t>
            </w:r>
          </w:p>
        </w:tc>
      </w:tr>
      <w:tr w:rsidR="00620061" w:rsidRPr="00216F75" w14:paraId="3D115AA2"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A67A7F5"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Papua New Guinea </w:t>
            </w:r>
          </w:p>
        </w:tc>
        <w:tc>
          <w:tcPr>
            <w:tcW w:w="4830" w:type="dxa"/>
            <w:tcBorders>
              <w:top w:val="single" w:sz="6" w:space="0" w:color="000000"/>
              <w:left w:val="single" w:sz="6" w:space="0" w:color="000000"/>
              <w:bottom w:val="single" w:sz="6" w:space="0" w:color="000000"/>
              <w:right w:val="single" w:sz="6" w:space="0" w:color="000000"/>
            </w:tcBorders>
            <w:hideMark/>
          </w:tcPr>
          <w:p w14:paraId="65A31960"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8</w:t>
            </w:r>
          </w:p>
        </w:tc>
      </w:tr>
      <w:tr w:rsidR="00620061" w:rsidRPr="00216F75" w14:paraId="05A9144F"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5DCEBBC3"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Peru </w:t>
            </w:r>
          </w:p>
        </w:tc>
        <w:tc>
          <w:tcPr>
            <w:tcW w:w="4830" w:type="dxa"/>
            <w:tcBorders>
              <w:top w:val="single" w:sz="6" w:space="0" w:color="000000"/>
              <w:left w:val="single" w:sz="6" w:space="0" w:color="000000"/>
              <w:bottom w:val="single" w:sz="6" w:space="0" w:color="000000"/>
              <w:right w:val="single" w:sz="6" w:space="0" w:color="000000"/>
            </w:tcBorders>
            <w:hideMark/>
          </w:tcPr>
          <w:p w14:paraId="5F06098B"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w:t>
            </w:r>
          </w:p>
        </w:tc>
      </w:tr>
      <w:tr w:rsidR="00620061" w:rsidRPr="00216F75" w14:paraId="33A10580"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427CC303"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Philippines </w:t>
            </w:r>
          </w:p>
        </w:tc>
        <w:tc>
          <w:tcPr>
            <w:tcW w:w="4830" w:type="dxa"/>
            <w:tcBorders>
              <w:top w:val="single" w:sz="6" w:space="0" w:color="000000"/>
              <w:left w:val="single" w:sz="6" w:space="0" w:color="000000"/>
              <w:bottom w:val="single" w:sz="6" w:space="0" w:color="000000"/>
              <w:right w:val="single" w:sz="6" w:space="0" w:color="000000"/>
            </w:tcBorders>
            <w:hideMark/>
          </w:tcPr>
          <w:p w14:paraId="4752194A"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55</w:t>
            </w:r>
          </w:p>
        </w:tc>
      </w:tr>
      <w:tr w:rsidR="00620061" w:rsidRPr="00216F75" w14:paraId="7E60EF9A"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435CBC44"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Republic of the Congo </w:t>
            </w:r>
          </w:p>
        </w:tc>
        <w:tc>
          <w:tcPr>
            <w:tcW w:w="4830" w:type="dxa"/>
            <w:tcBorders>
              <w:top w:val="single" w:sz="6" w:space="0" w:color="000000"/>
              <w:left w:val="single" w:sz="6" w:space="0" w:color="000000"/>
              <w:bottom w:val="single" w:sz="6" w:space="0" w:color="000000"/>
              <w:right w:val="single" w:sz="6" w:space="0" w:color="000000"/>
            </w:tcBorders>
            <w:hideMark/>
          </w:tcPr>
          <w:p w14:paraId="57AF6274"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16</w:t>
            </w:r>
          </w:p>
        </w:tc>
      </w:tr>
      <w:tr w:rsidR="00620061" w:rsidRPr="00216F75" w14:paraId="7F11A6D8"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67D4E3A0"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Rwanda </w:t>
            </w:r>
          </w:p>
        </w:tc>
        <w:tc>
          <w:tcPr>
            <w:tcW w:w="4830" w:type="dxa"/>
            <w:tcBorders>
              <w:top w:val="single" w:sz="6" w:space="0" w:color="000000"/>
              <w:left w:val="single" w:sz="6" w:space="0" w:color="000000"/>
              <w:bottom w:val="single" w:sz="6" w:space="0" w:color="000000"/>
              <w:right w:val="single" w:sz="6" w:space="0" w:color="000000"/>
            </w:tcBorders>
            <w:hideMark/>
          </w:tcPr>
          <w:p w14:paraId="6D2D548D"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33</w:t>
            </w:r>
          </w:p>
        </w:tc>
      </w:tr>
      <w:tr w:rsidR="00620061" w:rsidRPr="00216F75" w14:paraId="2AD3463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633AB5F6"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Senegal </w:t>
            </w:r>
          </w:p>
        </w:tc>
        <w:tc>
          <w:tcPr>
            <w:tcW w:w="4830" w:type="dxa"/>
            <w:tcBorders>
              <w:top w:val="single" w:sz="6" w:space="0" w:color="000000"/>
              <w:left w:val="single" w:sz="6" w:space="0" w:color="000000"/>
              <w:bottom w:val="single" w:sz="6" w:space="0" w:color="000000"/>
              <w:right w:val="single" w:sz="6" w:space="0" w:color="000000"/>
            </w:tcBorders>
            <w:hideMark/>
          </w:tcPr>
          <w:p w14:paraId="5E638431"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61</w:t>
            </w:r>
          </w:p>
        </w:tc>
      </w:tr>
      <w:tr w:rsidR="00620061" w:rsidRPr="00216F75" w14:paraId="728D6001"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063A3DFF"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Sierra Leone </w:t>
            </w:r>
          </w:p>
        </w:tc>
        <w:tc>
          <w:tcPr>
            <w:tcW w:w="4830" w:type="dxa"/>
            <w:tcBorders>
              <w:top w:val="single" w:sz="6" w:space="0" w:color="000000"/>
              <w:left w:val="single" w:sz="6" w:space="0" w:color="000000"/>
              <w:bottom w:val="single" w:sz="6" w:space="0" w:color="000000"/>
              <w:right w:val="single" w:sz="6" w:space="0" w:color="000000"/>
            </w:tcBorders>
            <w:hideMark/>
          </w:tcPr>
          <w:p w14:paraId="03691D15"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41</w:t>
            </w:r>
          </w:p>
        </w:tc>
      </w:tr>
      <w:tr w:rsidR="00620061" w:rsidRPr="00216F75" w14:paraId="4B833831"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4A8FB1A"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Somalia </w:t>
            </w:r>
          </w:p>
        </w:tc>
        <w:tc>
          <w:tcPr>
            <w:tcW w:w="4830" w:type="dxa"/>
            <w:tcBorders>
              <w:top w:val="single" w:sz="6" w:space="0" w:color="000000"/>
              <w:left w:val="single" w:sz="6" w:space="0" w:color="000000"/>
              <w:bottom w:val="single" w:sz="6" w:space="0" w:color="000000"/>
              <w:right w:val="single" w:sz="6" w:space="0" w:color="000000"/>
            </w:tcBorders>
            <w:hideMark/>
          </w:tcPr>
          <w:p w14:paraId="51B5EE49"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64</w:t>
            </w:r>
          </w:p>
        </w:tc>
      </w:tr>
      <w:tr w:rsidR="00620061" w:rsidRPr="00216F75" w14:paraId="4E5B374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040F8932"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lastRenderedPageBreak/>
              <w:t>South Africa </w:t>
            </w:r>
          </w:p>
        </w:tc>
        <w:tc>
          <w:tcPr>
            <w:tcW w:w="4830" w:type="dxa"/>
            <w:tcBorders>
              <w:top w:val="single" w:sz="6" w:space="0" w:color="000000"/>
              <w:left w:val="single" w:sz="6" w:space="0" w:color="000000"/>
              <w:bottom w:val="single" w:sz="6" w:space="0" w:color="000000"/>
              <w:right w:val="single" w:sz="6" w:space="0" w:color="000000"/>
            </w:tcBorders>
            <w:hideMark/>
          </w:tcPr>
          <w:p w14:paraId="630EEB06"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18</w:t>
            </w:r>
          </w:p>
        </w:tc>
      </w:tr>
      <w:tr w:rsidR="00620061" w:rsidRPr="00216F75" w14:paraId="07E54066"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C652A97"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South Sudan </w:t>
            </w:r>
          </w:p>
        </w:tc>
        <w:tc>
          <w:tcPr>
            <w:tcW w:w="4830" w:type="dxa"/>
            <w:tcBorders>
              <w:top w:val="single" w:sz="6" w:space="0" w:color="000000"/>
              <w:left w:val="single" w:sz="6" w:space="0" w:color="000000"/>
              <w:bottom w:val="single" w:sz="6" w:space="0" w:color="000000"/>
              <w:right w:val="single" w:sz="6" w:space="0" w:color="000000"/>
            </w:tcBorders>
            <w:hideMark/>
          </w:tcPr>
          <w:p w14:paraId="701F9D5F"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35</w:t>
            </w:r>
          </w:p>
        </w:tc>
      </w:tr>
      <w:tr w:rsidR="00620061" w:rsidRPr="00216F75" w14:paraId="3BC951C8"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00E43857"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Sri Lanka </w:t>
            </w:r>
          </w:p>
        </w:tc>
        <w:tc>
          <w:tcPr>
            <w:tcW w:w="4830" w:type="dxa"/>
            <w:tcBorders>
              <w:top w:val="single" w:sz="6" w:space="0" w:color="000000"/>
              <w:left w:val="single" w:sz="6" w:space="0" w:color="000000"/>
              <w:bottom w:val="single" w:sz="6" w:space="0" w:color="000000"/>
              <w:right w:val="single" w:sz="6" w:space="0" w:color="000000"/>
            </w:tcBorders>
            <w:hideMark/>
          </w:tcPr>
          <w:p w14:paraId="4E520652"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45</w:t>
            </w:r>
          </w:p>
        </w:tc>
      </w:tr>
      <w:tr w:rsidR="00620061" w:rsidRPr="00216F75" w14:paraId="0B42856D"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5532A5E"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Sudan </w:t>
            </w:r>
          </w:p>
        </w:tc>
        <w:tc>
          <w:tcPr>
            <w:tcW w:w="4830" w:type="dxa"/>
            <w:tcBorders>
              <w:top w:val="single" w:sz="6" w:space="0" w:color="000000"/>
              <w:left w:val="single" w:sz="6" w:space="0" w:color="000000"/>
              <w:bottom w:val="single" w:sz="6" w:space="0" w:color="000000"/>
              <w:right w:val="single" w:sz="6" w:space="0" w:color="000000"/>
            </w:tcBorders>
            <w:hideMark/>
          </w:tcPr>
          <w:p w14:paraId="528D2147"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50</w:t>
            </w:r>
          </w:p>
        </w:tc>
      </w:tr>
      <w:tr w:rsidR="00620061" w:rsidRPr="00216F75" w14:paraId="04BB4DF7"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20557E7"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Syrian Arab Republic </w:t>
            </w:r>
          </w:p>
        </w:tc>
        <w:tc>
          <w:tcPr>
            <w:tcW w:w="4830" w:type="dxa"/>
            <w:tcBorders>
              <w:top w:val="single" w:sz="6" w:space="0" w:color="000000"/>
              <w:left w:val="single" w:sz="6" w:space="0" w:color="000000"/>
              <w:bottom w:val="single" w:sz="6" w:space="0" w:color="000000"/>
              <w:right w:val="single" w:sz="6" w:space="0" w:color="000000"/>
            </w:tcBorders>
            <w:hideMark/>
          </w:tcPr>
          <w:p w14:paraId="720A0052"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w:t>
            </w:r>
          </w:p>
        </w:tc>
      </w:tr>
      <w:tr w:rsidR="00620061" w:rsidRPr="00216F75" w14:paraId="52CAB84F"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0AAC018"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Tajikistan </w:t>
            </w:r>
          </w:p>
        </w:tc>
        <w:tc>
          <w:tcPr>
            <w:tcW w:w="4830" w:type="dxa"/>
            <w:tcBorders>
              <w:top w:val="single" w:sz="6" w:space="0" w:color="000000"/>
              <w:left w:val="single" w:sz="6" w:space="0" w:color="000000"/>
              <w:bottom w:val="single" w:sz="6" w:space="0" w:color="000000"/>
              <w:right w:val="single" w:sz="6" w:space="0" w:color="000000"/>
            </w:tcBorders>
            <w:hideMark/>
          </w:tcPr>
          <w:p w14:paraId="51981782"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19</w:t>
            </w:r>
          </w:p>
        </w:tc>
      </w:tr>
      <w:tr w:rsidR="00620061" w:rsidRPr="00216F75" w14:paraId="227D6A3D"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460D7F9F"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United Republic of Tanzania </w:t>
            </w:r>
          </w:p>
        </w:tc>
        <w:tc>
          <w:tcPr>
            <w:tcW w:w="4830" w:type="dxa"/>
            <w:tcBorders>
              <w:top w:val="single" w:sz="6" w:space="0" w:color="000000"/>
              <w:left w:val="single" w:sz="6" w:space="0" w:color="000000"/>
              <w:bottom w:val="single" w:sz="6" w:space="0" w:color="000000"/>
              <w:right w:val="single" w:sz="6" w:space="0" w:color="000000"/>
            </w:tcBorders>
            <w:hideMark/>
          </w:tcPr>
          <w:p w14:paraId="0EE5D733"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51</w:t>
            </w:r>
          </w:p>
        </w:tc>
      </w:tr>
      <w:tr w:rsidR="00620061" w:rsidRPr="00216F75" w14:paraId="586B9AE5"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40616E2B"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Thailand </w:t>
            </w:r>
          </w:p>
        </w:tc>
        <w:tc>
          <w:tcPr>
            <w:tcW w:w="4830" w:type="dxa"/>
            <w:tcBorders>
              <w:top w:val="single" w:sz="6" w:space="0" w:color="000000"/>
              <w:left w:val="single" w:sz="6" w:space="0" w:color="000000"/>
              <w:bottom w:val="single" w:sz="6" w:space="0" w:color="000000"/>
              <w:right w:val="single" w:sz="6" w:space="0" w:color="000000"/>
            </w:tcBorders>
            <w:hideMark/>
          </w:tcPr>
          <w:p w14:paraId="74CC3073"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20</w:t>
            </w:r>
          </w:p>
        </w:tc>
      </w:tr>
      <w:tr w:rsidR="00620061" w:rsidRPr="00216F75" w14:paraId="30D3AB2A"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3222B6B"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Timor-Leste </w:t>
            </w:r>
          </w:p>
        </w:tc>
        <w:tc>
          <w:tcPr>
            <w:tcW w:w="4830" w:type="dxa"/>
            <w:tcBorders>
              <w:top w:val="single" w:sz="6" w:space="0" w:color="000000"/>
              <w:left w:val="single" w:sz="6" w:space="0" w:color="000000"/>
              <w:bottom w:val="single" w:sz="6" w:space="0" w:color="000000"/>
              <w:right w:val="single" w:sz="6" w:space="0" w:color="000000"/>
            </w:tcBorders>
            <w:hideMark/>
          </w:tcPr>
          <w:p w14:paraId="40E874BF"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39</w:t>
            </w:r>
          </w:p>
        </w:tc>
      </w:tr>
      <w:tr w:rsidR="00620061" w:rsidRPr="00216F75" w14:paraId="5164E372"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435A33B0"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Togo </w:t>
            </w:r>
          </w:p>
        </w:tc>
        <w:tc>
          <w:tcPr>
            <w:tcW w:w="4830" w:type="dxa"/>
            <w:tcBorders>
              <w:top w:val="single" w:sz="6" w:space="0" w:color="000000"/>
              <w:left w:val="single" w:sz="6" w:space="0" w:color="000000"/>
              <w:bottom w:val="single" w:sz="6" w:space="0" w:color="000000"/>
              <w:right w:val="single" w:sz="6" w:space="0" w:color="000000"/>
            </w:tcBorders>
            <w:hideMark/>
          </w:tcPr>
          <w:p w14:paraId="767DC113"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46</w:t>
            </w:r>
          </w:p>
        </w:tc>
      </w:tr>
      <w:tr w:rsidR="00620061" w:rsidRPr="00216F75" w14:paraId="10FEF36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6767BD6"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Türkiye </w:t>
            </w:r>
          </w:p>
        </w:tc>
        <w:tc>
          <w:tcPr>
            <w:tcW w:w="4830" w:type="dxa"/>
            <w:tcBorders>
              <w:top w:val="single" w:sz="6" w:space="0" w:color="000000"/>
              <w:left w:val="single" w:sz="6" w:space="0" w:color="000000"/>
              <w:bottom w:val="single" w:sz="6" w:space="0" w:color="000000"/>
              <w:right w:val="single" w:sz="6" w:space="0" w:color="000000"/>
            </w:tcBorders>
            <w:hideMark/>
          </w:tcPr>
          <w:p w14:paraId="2A79780A"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13</w:t>
            </w:r>
          </w:p>
        </w:tc>
      </w:tr>
      <w:tr w:rsidR="00620061" w:rsidRPr="00216F75" w14:paraId="6049A03C"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1FCD3D45"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Turkmenistan </w:t>
            </w:r>
          </w:p>
        </w:tc>
        <w:tc>
          <w:tcPr>
            <w:tcW w:w="4830" w:type="dxa"/>
            <w:tcBorders>
              <w:top w:val="single" w:sz="6" w:space="0" w:color="000000"/>
              <w:left w:val="single" w:sz="6" w:space="0" w:color="000000"/>
              <w:bottom w:val="single" w:sz="6" w:space="0" w:color="000000"/>
              <w:right w:val="single" w:sz="6" w:space="0" w:color="000000"/>
            </w:tcBorders>
            <w:hideMark/>
          </w:tcPr>
          <w:p w14:paraId="1FB43B0A"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0</w:t>
            </w:r>
          </w:p>
        </w:tc>
      </w:tr>
      <w:tr w:rsidR="00620061" w:rsidRPr="00216F75" w14:paraId="58E37114"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03950115"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Uganda </w:t>
            </w:r>
          </w:p>
        </w:tc>
        <w:tc>
          <w:tcPr>
            <w:tcW w:w="4830" w:type="dxa"/>
            <w:tcBorders>
              <w:top w:val="single" w:sz="6" w:space="0" w:color="000000"/>
              <w:left w:val="single" w:sz="6" w:space="0" w:color="000000"/>
              <w:bottom w:val="single" w:sz="6" w:space="0" w:color="000000"/>
              <w:right w:val="single" w:sz="6" w:space="0" w:color="000000"/>
            </w:tcBorders>
            <w:hideMark/>
          </w:tcPr>
          <w:p w14:paraId="06572998"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39</w:t>
            </w:r>
          </w:p>
        </w:tc>
      </w:tr>
      <w:tr w:rsidR="00620061" w:rsidRPr="00216F75" w14:paraId="6A3FD91E"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875E356"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Uzbekistan </w:t>
            </w:r>
          </w:p>
        </w:tc>
        <w:tc>
          <w:tcPr>
            <w:tcW w:w="4830" w:type="dxa"/>
            <w:tcBorders>
              <w:top w:val="single" w:sz="6" w:space="0" w:color="000000"/>
              <w:left w:val="single" w:sz="6" w:space="0" w:color="000000"/>
              <w:bottom w:val="single" w:sz="6" w:space="0" w:color="000000"/>
              <w:right w:val="single" w:sz="6" w:space="0" w:color="000000"/>
            </w:tcBorders>
            <w:hideMark/>
          </w:tcPr>
          <w:p w14:paraId="4D9F1044"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15</w:t>
            </w:r>
          </w:p>
        </w:tc>
      </w:tr>
      <w:tr w:rsidR="00620061" w:rsidRPr="00216F75" w14:paraId="32102477"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2E793AA0"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Viet Nam </w:t>
            </w:r>
          </w:p>
        </w:tc>
        <w:tc>
          <w:tcPr>
            <w:tcW w:w="4830" w:type="dxa"/>
            <w:tcBorders>
              <w:top w:val="single" w:sz="6" w:space="0" w:color="000000"/>
              <w:left w:val="single" w:sz="6" w:space="0" w:color="000000"/>
              <w:bottom w:val="single" w:sz="6" w:space="0" w:color="000000"/>
              <w:right w:val="single" w:sz="6" w:space="0" w:color="000000"/>
            </w:tcBorders>
            <w:hideMark/>
          </w:tcPr>
          <w:p w14:paraId="7BCAE716"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36</w:t>
            </w:r>
          </w:p>
        </w:tc>
      </w:tr>
      <w:tr w:rsidR="00620061" w:rsidRPr="00216F75" w14:paraId="079376C8"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053AB3E"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Zambia </w:t>
            </w:r>
          </w:p>
        </w:tc>
        <w:tc>
          <w:tcPr>
            <w:tcW w:w="4830" w:type="dxa"/>
            <w:tcBorders>
              <w:top w:val="single" w:sz="6" w:space="0" w:color="000000"/>
              <w:left w:val="single" w:sz="6" w:space="0" w:color="000000"/>
              <w:bottom w:val="single" w:sz="6" w:space="0" w:color="000000"/>
              <w:right w:val="single" w:sz="6" w:space="0" w:color="000000"/>
            </w:tcBorders>
            <w:hideMark/>
          </w:tcPr>
          <w:p w14:paraId="14DD4457"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40</w:t>
            </w:r>
          </w:p>
        </w:tc>
      </w:tr>
      <w:tr w:rsidR="00620061" w:rsidRPr="00216F75" w14:paraId="575DA86B" w14:textId="77777777">
        <w:trPr>
          <w:trHeight w:val="300"/>
        </w:trPr>
        <w:tc>
          <w:tcPr>
            <w:tcW w:w="4830" w:type="dxa"/>
            <w:tcBorders>
              <w:top w:val="single" w:sz="6" w:space="0" w:color="000000"/>
              <w:left w:val="single" w:sz="6" w:space="0" w:color="000000"/>
              <w:bottom w:val="single" w:sz="6" w:space="0" w:color="000000"/>
              <w:right w:val="single" w:sz="6" w:space="0" w:color="000000"/>
            </w:tcBorders>
            <w:vAlign w:val="center"/>
            <w:hideMark/>
          </w:tcPr>
          <w:p w14:paraId="3F407A79" w14:textId="77777777" w:rsidR="00620061" w:rsidRPr="00216F75" w:rsidRDefault="00620061">
            <w:pPr>
              <w:pStyle w:val="NormalWeb"/>
              <w:spacing w:before="240" w:after="240"/>
              <w:rPr>
                <w:rFonts w:ascii="Arial" w:hAnsi="Arial" w:cs="Arial"/>
                <w:color w:val="000000"/>
                <w:sz w:val="22"/>
                <w:szCs w:val="22"/>
              </w:rPr>
            </w:pPr>
            <w:r w:rsidRPr="00216F75">
              <w:rPr>
                <w:rFonts w:ascii="Arial" w:hAnsi="Arial" w:cs="Arial"/>
                <w:color w:val="000000"/>
                <w:sz w:val="22"/>
                <w:szCs w:val="22"/>
              </w:rPr>
              <w:t>Zimbabwe </w:t>
            </w:r>
          </w:p>
        </w:tc>
        <w:tc>
          <w:tcPr>
            <w:tcW w:w="4830" w:type="dxa"/>
            <w:tcBorders>
              <w:top w:val="single" w:sz="6" w:space="0" w:color="000000"/>
              <w:left w:val="single" w:sz="6" w:space="0" w:color="000000"/>
              <w:bottom w:val="single" w:sz="6" w:space="0" w:color="000000"/>
              <w:right w:val="single" w:sz="6" w:space="0" w:color="000000"/>
            </w:tcBorders>
            <w:hideMark/>
          </w:tcPr>
          <w:p w14:paraId="27A7470E" w14:textId="77777777" w:rsidR="00620061" w:rsidRPr="00216F75" w:rsidRDefault="00620061">
            <w:pPr>
              <w:pStyle w:val="NormalWeb"/>
              <w:spacing w:before="240" w:after="240"/>
              <w:jc w:val="center"/>
              <w:rPr>
                <w:rFonts w:ascii="Arial" w:hAnsi="Arial" w:cs="Arial"/>
                <w:color w:val="000000"/>
                <w:sz w:val="22"/>
                <w:szCs w:val="22"/>
              </w:rPr>
            </w:pPr>
            <w:r w:rsidRPr="00216F75">
              <w:rPr>
                <w:rFonts w:ascii="Arial" w:hAnsi="Arial" w:cs="Arial"/>
                <w:color w:val="000000"/>
                <w:sz w:val="22"/>
                <w:szCs w:val="22"/>
              </w:rPr>
              <w:t>21</w:t>
            </w:r>
          </w:p>
        </w:tc>
      </w:tr>
    </w:tbl>
    <w:p w14:paraId="3F1303E3" w14:textId="77777777" w:rsidR="00620061" w:rsidRPr="00216F75" w:rsidRDefault="00620061" w:rsidP="00620061">
      <w:pPr>
        <w:pStyle w:val="NormalWeb"/>
        <w:spacing w:before="240" w:after="240"/>
        <w:rPr>
          <w:rFonts w:ascii="Arial" w:hAnsi="Arial" w:cs="Arial"/>
          <w:color w:val="000000"/>
          <w:sz w:val="22"/>
          <w:szCs w:val="22"/>
        </w:rPr>
      </w:pPr>
      <w:r w:rsidRPr="00216F75">
        <w:rPr>
          <w:rFonts w:ascii="Arial" w:hAnsi="Arial" w:cs="Arial"/>
          <w:color w:val="000000"/>
          <w:sz w:val="22"/>
          <w:szCs w:val="22"/>
        </w:rPr>
        <w:t> </w:t>
      </w:r>
    </w:p>
    <w:p w14:paraId="5788EE56" w14:textId="77777777" w:rsidR="00620061" w:rsidRPr="00216F75" w:rsidRDefault="00620061" w:rsidP="00620061">
      <w:pPr>
        <w:pStyle w:val="NormalWeb"/>
        <w:spacing w:before="240" w:beforeAutospacing="0" w:after="240" w:afterAutospacing="0"/>
        <w:rPr>
          <w:rFonts w:ascii="Arial" w:hAnsi="Arial" w:cs="Arial"/>
          <w:color w:val="000000"/>
          <w:sz w:val="22"/>
          <w:szCs w:val="22"/>
        </w:rPr>
      </w:pPr>
    </w:p>
    <w:p w14:paraId="3B2C2F09" w14:textId="77777777" w:rsidR="00620061" w:rsidRPr="00216F75" w:rsidRDefault="00620061" w:rsidP="00620061">
      <w:pPr>
        <w:rPr>
          <w:rFonts w:cs="Arial"/>
          <w:color w:val="000000"/>
          <w:szCs w:val="22"/>
        </w:rPr>
      </w:pPr>
    </w:p>
    <w:p w14:paraId="4B17A4DD" w14:textId="278475DC" w:rsidR="00BC4FD7" w:rsidRDefault="00BC4FD7" w:rsidP="00F1060B">
      <w:pPr>
        <w:pStyle w:val="SDMPara"/>
        <w:numPr>
          <w:ilvl w:val="0"/>
          <w:numId w:val="0"/>
        </w:numPr>
        <w:ind w:left="709" w:hanging="709"/>
      </w:pPr>
    </w:p>
    <w:p w14:paraId="4E2C3B50" w14:textId="37C5B1A5" w:rsidR="00235FD4" w:rsidRDefault="002454C9" w:rsidP="00611F17">
      <w:pPr>
        <w:spacing w:before="240"/>
        <w:jc w:val="center"/>
        <w:rPr>
          <w:rFonts w:cs="Arial"/>
        </w:rPr>
      </w:pPr>
      <w:r>
        <w:rPr>
          <w:rFonts w:cs="Arial"/>
        </w:rPr>
        <w:t>- - - - -</w:t>
      </w:r>
    </w:p>
    <w:p w14:paraId="70FAA94B" w14:textId="77777777" w:rsidR="00DC4E36" w:rsidRPr="00C151D8" w:rsidRDefault="00DC4E36" w:rsidP="00DC4E36">
      <w:pPr>
        <w:pStyle w:val="SDMDocInfoTitle"/>
      </w:pPr>
      <w:r w:rsidRPr="00C151D8">
        <w:t xml:space="preserve">Document </w:t>
      </w:r>
      <w:r>
        <w:t>i</w:t>
      </w:r>
      <w:r w:rsidRPr="00C151D8">
        <w:t>nformation</w:t>
      </w:r>
    </w:p>
    <w:tbl>
      <w:tblPr>
        <w:tblW w:w="5000" w:type="pct"/>
        <w:jc w:val="center"/>
        <w:tblLayout w:type="fixed"/>
        <w:tblLook w:val="0000" w:firstRow="0" w:lastRow="0" w:firstColumn="0" w:lastColumn="0" w:noHBand="0" w:noVBand="0"/>
      </w:tblPr>
      <w:tblGrid>
        <w:gridCol w:w="1105"/>
        <w:gridCol w:w="2204"/>
        <w:gridCol w:w="6046"/>
      </w:tblGrid>
      <w:tr w:rsidR="00DC4E36" w:rsidRPr="003303F0" w14:paraId="64D3E3CB" w14:textId="77777777">
        <w:trPr>
          <w:trHeight w:val="113"/>
          <w:tblHeader/>
          <w:jc w:val="center"/>
        </w:trPr>
        <w:tc>
          <w:tcPr>
            <w:tcW w:w="1127" w:type="dxa"/>
            <w:tcBorders>
              <w:top w:val="single" w:sz="4" w:space="0" w:color="auto"/>
              <w:bottom w:val="single" w:sz="12" w:space="0" w:color="auto"/>
            </w:tcBorders>
            <w:tcMar>
              <w:top w:w="80" w:type="dxa"/>
              <w:bottom w:w="80" w:type="dxa"/>
            </w:tcMar>
            <w:vAlign w:val="center"/>
          </w:tcPr>
          <w:p w14:paraId="5B3D96AF" w14:textId="77777777" w:rsidR="00DC4E36" w:rsidRPr="002A3775" w:rsidRDefault="00DC4E36">
            <w:pPr>
              <w:pStyle w:val="SDMDocInfoHeadRow"/>
            </w:pPr>
            <w:r>
              <w:t>Version</w:t>
            </w:r>
          </w:p>
        </w:tc>
        <w:tc>
          <w:tcPr>
            <w:tcW w:w="2253" w:type="dxa"/>
            <w:tcBorders>
              <w:top w:val="single" w:sz="4" w:space="0" w:color="auto"/>
              <w:bottom w:val="single" w:sz="12" w:space="0" w:color="auto"/>
            </w:tcBorders>
            <w:tcMar>
              <w:top w:w="80" w:type="dxa"/>
              <w:bottom w:w="80" w:type="dxa"/>
            </w:tcMar>
            <w:vAlign w:val="center"/>
          </w:tcPr>
          <w:p w14:paraId="64CA9BE7" w14:textId="77777777" w:rsidR="00DC4E36" w:rsidRPr="002A3775" w:rsidRDefault="00DC4E36">
            <w:pPr>
              <w:pStyle w:val="SDMDocInfoHeadRow"/>
            </w:pPr>
            <w:r>
              <w:t>Date</w:t>
            </w:r>
          </w:p>
        </w:tc>
        <w:tc>
          <w:tcPr>
            <w:tcW w:w="6191" w:type="dxa"/>
            <w:tcBorders>
              <w:top w:val="single" w:sz="4" w:space="0" w:color="auto"/>
              <w:bottom w:val="single" w:sz="12" w:space="0" w:color="auto"/>
            </w:tcBorders>
            <w:tcMar>
              <w:top w:w="80" w:type="dxa"/>
              <w:bottom w:w="80" w:type="dxa"/>
            </w:tcMar>
            <w:vAlign w:val="center"/>
          </w:tcPr>
          <w:p w14:paraId="4BCBCF13" w14:textId="77777777" w:rsidR="00DC4E36" w:rsidRPr="002A3775" w:rsidRDefault="00DC4E36">
            <w:pPr>
              <w:pStyle w:val="SDMDocInfoHeadRow"/>
            </w:pPr>
            <w:r>
              <w:t>Description</w:t>
            </w:r>
          </w:p>
        </w:tc>
      </w:tr>
      <w:tr w:rsidR="00DC4E36" w:rsidRPr="00EA492B" w14:paraId="5C6C73E5" w14:textId="77777777" w:rsidTr="00C51599">
        <w:trPr>
          <w:trHeight w:val="113"/>
          <w:tblHeader/>
          <w:jc w:val="center"/>
        </w:trPr>
        <w:tc>
          <w:tcPr>
            <w:tcW w:w="9571" w:type="dxa"/>
            <w:gridSpan w:val="3"/>
            <w:tcBorders>
              <w:top w:val="single" w:sz="12" w:space="0" w:color="auto"/>
            </w:tcBorders>
          </w:tcPr>
          <w:p w14:paraId="2FD6BF0F" w14:textId="77777777" w:rsidR="00DC4E36" w:rsidRPr="00E30033" w:rsidRDefault="00DC4E36">
            <w:pPr>
              <w:pStyle w:val="SDMDocInfoHeadRow"/>
            </w:pPr>
          </w:p>
        </w:tc>
      </w:tr>
      <w:tr w:rsidR="00DC4E36" w:rsidRPr="003303F0" w14:paraId="255B26A6" w14:textId="77777777" w:rsidTr="00C51599">
        <w:trPr>
          <w:trHeight w:val="113"/>
          <w:jc w:val="center"/>
        </w:trPr>
        <w:tc>
          <w:tcPr>
            <w:tcW w:w="1127" w:type="dxa"/>
          </w:tcPr>
          <w:p w14:paraId="1C978B97" w14:textId="78F82212" w:rsidR="00DC4E36" w:rsidRPr="00C51599" w:rsidRDefault="00DC4E36">
            <w:pPr>
              <w:pStyle w:val="SDMDocInfoText"/>
            </w:pPr>
            <w:r w:rsidRPr="00C51599">
              <w:t>0.2.0</w:t>
            </w:r>
          </w:p>
        </w:tc>
        <w:tc>
          <w:tcPr>
            <w:tcW w:w="2253" w:type="dxa"/>
          </w:tcPr>
          <w:p w14:paraId="7CD2D979" w14:textId="4173AC50" w:rsidR="00DC4E36" w:rsidRPr="00C51599" w:rsidRDefault="00C51599">
            <w:pPr>
              <w:pStyle w:val="SDMDocInfoText"/>
            </w:pPr>
            <w:r>
              <w:t>19</w:t>
            </w:r>
            <w:r w:rsidR="00922485" w:rsidRPr="00C51599">
              <w:t xml:space="preserve"> August 2025</w:t>
            </w:r>
          </w:p>
        </w:tc>
        <w:tc>
          <w:tcPr>
            <w:tcW w:w="6191" w:type="dxa"/>
          </w:tcPr>
          <w:p w14:paraId="3FEDEAF2" w14:textId="72DADE5E" w:rsidR="003E1946" w:rsidRPr="00922485" w:rsidRDefault="00C51599" w:rsidP="00393D1D">
            <w:pPr>
              <w:pStyle w:val="SDMDocInfoText"/>
              <w:rPr>
                <w:highlight w:val="yellow"/>
              </w:rPr>
            </w:pPr>
            <w:r w:rsidRPr="00C51599">
              <w:t>Revis</w:t>
            </w:r>
            <w:r>
              <w:t xml:space="preserve">ion </w:t>
            </w:r>
            <w:r w:rsidRPr="00C51599">
              <w:t>to incorporate new sections and sub-sections in line with current standards</w:t>
            </w:r>
            <w:r>
              <w:t xml:space="preserve">; </w:t>
            </w:r>
            <w:r w:rsidRPr="00C51599">
              <w:t>provide completion instructions, realign their sequence, and allow inclusion of explanatory notes</w:t>
            </w:r>
            <w:r>
              <w:t xml:space="preserve">. </w:t>
            </w:r>
          </w:p>
        </w:tc>
      </w:tr>
      <w:tr w:rsidR="00DC4E36" w:rsidRPr="003303F0" w14:paraId="72C953C8" w14:textId="77777777" w:rsidTr="00C51599">
        <w:trPr>
          <w:trHeight w:val="113"/>
          <w:jc w:val="center"/>
        </w:trPr>
        <w:tc>
          <w:tcPr>
            <w:tcW w:w="1127" w:type="dxa"/>
            <w:tcBorders>
              <w:bottom w:val="single" w:sz="4" w:space="0" w:color="auto"/>
            </w:tcBorders>
          </w:tcPr>
          <w:p w14:paraId="47A7030A" w14:textId="77777777" w:rsidR="00DC4E36" w:rsidRPr="00647D1E" w:rsidRDefault="00DC4E36">
            <w:pPr>
              <w:pStyle w:val="SDMDocInfoText"/>
            </w:pPr>
            <w:r>
              <w:t>01.0</w:t>
            </w:r>
          </w:p>
        </w:tc>
        <w:tc>
          <w:tcPr>
            <w:tcW w:w="2253" w:type="dxa"/>
            <w:tcBorders>
              <w:bottom w:val="single" w:sz="4" w:space="0" w:color="auto"/>
            </w:tcBorders>
          </w:tcPr>
          <w:p w14:paraId="6D2C7138" w14:textId="77777777" w:rsidR="00DC4E36" w:rsidRPr="00647D1E" w:rsidRDefault="00DC4E36">
            <w:pPr>
              <w:pStyle w:val="SDMDocInfoText"/>
            </w:pPr>
            <w:r>
              <w:t>18 December 2024</w:t>
            </w:r>
          </w:p>
        </w:tc>
        <w:tc>
          <w:tcPr>
            <w:tcW w:w="6191" w:type="dxa"/>
            <w:tcBorders>
              <w:bottom w:val="single" w:sz="4" w:space="0" w:color="auto"/>
            </w:tcBorders>
          </w:tcPr>
          <w:p w14:paraId="5D006256" w14:textId="77777777" w:rsidR="00DC4E36" w:rsidRPr="00647D1E" w:rsidRDefault="00DC4E36">
            <w:pPr>
              <w:pStyle w:val="SDMDocInfoText"/>
            </w:pPr>
            <w:r>
              <w:t>Initial publication of form template.</w:t>
            </w:r>
          </w:p>
        </w:tc>
      </w:tr>
      <w:tr w:rsidR="00DC4E36" w:rsidRPr="0056518A" w14:paraId="08C53A54" w14:textId="77777777">
        <w:trPr>
          <w:trHeight w:val="113"/>
          <w:jc w:val="center"/>
        </w:trPr>
        <w:tc>
          <w:tcPr>
            <w:tcW w:w="9571" w:type="dxa"/>
            <w:gridSpan w:val="3"/>
            <w:tcBorders>
              <w:top w:val="single" w:sz="4" w:space="0" w:color="auto"/>
              <w:bottom w:val="single" w:sz="12" w:space="0" w:color="auto"/>
            </w:tcBorders>
            <w:vAlign w:val="center"/>
          </w:tcPr>
          <w:p w14:paraId="30A017FE" w14:textId="77777777" w:rsidR="00DC4E36" w:rsidRPr="0056518A" w:rsidRDefault="00DC4E36">
            <w:pPr>
              <w:pStyle w:val="SDMDocInfoText"/>
              <w:jc w:val="left"/>
            </w:pPr>
            <w:r w:rsidRPr="0056518A">
              <w:t xml:space="preserve">Decision </w:t>
            </w:r>
            <w:r w:rsidRPr="000940E6">
              <w:t>Class</w:t>
            </w:r>
            <w:r w:rsidRPr="0056518A">
              <w:t>:</w:t>
            </w:r>
            <w:r>
              <w:t xml:space="preserve"> Regulatory</w:t>
            </w:r>
            <w:r>
              <w:br/>
              <w:t>Document Type: Form</w:t>
            </w:r>
            <w:r w:rsidRPr="001D22EB">
              <w:br/>
            </w:r>
            <w:r w:rsidRPr="0056518A">
              <w:t>Business Function:</w:t>
            </w:r>
            <w:r>
              <w:t xml:space="preserve"> Methodology </w:t>
            </w:r>
            <w:r w:rsidRPr="0056518A">
              <w:br/>
            </w:r>
            <w:r w:rsidRPr="000940E6">
              <w:t>Keywords</w:t>
            </w:r>
            <w:r w:rsidRPr="0056518A">
              <w:t xml:space="preserve">: </w:t>
            </w:r>
            <w:r>
              <w:t>A6.4 mechanism, developing methodologies and tools</w:t>
            </w:r>
          </w:p>
        </w:tc>
      </w:tr>
    </w:tbl>
    <w:p w14:paraId="115B4DD5" w14:textId="77777777" w:rsidR="00DC4E36" w:rsidRDefault="00DC4E36" w:rsidP="00DC4E36">
      <w:pPr>
        <w:rPr>
          <w:sz w:val="2"/>
          <w:szCs w:val="2"/>
        </w:rPr>
      </w:pPr>
    </w:p>
    <w:p w14:paraId="3D28E2D8" w14:textId="77777777" w:rsidR="00235FD4" w:rsidRDefault="00235FD4" w:rsidP="00611F17">
      <w:pPr>
        <w:spacing w:before="240"/>
        <w:jc w:val="center"/>
        <w:rPr>
          <w:sz w:val="2"/>
          <w:szCs w:val="2"/>
        </w:rPr>
      </w:pPr>
    </w:p>
    <w:sectPr w:rsidR="00235FD4" w:rsidSect="007E64F6">
      <w:headerReference w:type="default" r:id="rId91"/>
      <w:footerReference w:type="default" r:id="rId92"/>
      <w:pgSz w:w="11907" w:h="16840" w:code="9"/>
      <w:pgMar w:top="1276" w:right="1134" w:bottom="1418" w:left="1418" w:header="720" w:footer="680" w:gutter="0"/>
      <w:cols w:space="720"/>
      <w:formProt w:val="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4B76FD" w14:textId="77777777" w:rsidR="0030236F" w:rsidRDefault="0030236F">
      <w:r>
        <w:separator/>
      </w:r>
    </w:p>
  </w:endnote>
  <w:endnote w:type="continuationSeparator" w:id="0">
    <w:p w14:paraId="08E24E5D" w14:textId="77777777" w:rsidR="0030236F" w:rsidRDefault="0030236F">
      <w:r>
        <w:continuationSeparator/>
      </w:r>
    </w:p>
  </w:endnote>
  <w:endnote w:type="continuationNotice" w:id="1">
    <w:p w14:paraId="27E20983" w14:textId="77777777" w:rsidR="0030236F" w:rsidRDefault="003023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default"/>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Montserrat">
    <w:charset w:val="00"/>
    <w:family w:val="auto"/>
    <w:pitch w:val="variable"/>
    <w:sig w:usb0="2000020F" w:usb1="00000003" w:usb2="00000000" w:usb3="00000000" w:csb0="00000197" w:csb1="00000000"/>
  </w:font>
  <w:font w:name="Arial Nova">
    <w:charset w:val="00"/>
    <w:family w:val="swiss"/>
    <w:pitch w:val="variable"/>
    <w:sig w:usb0="0000028F" w:usb1="00000002" w:usb2="00000000" w:usb3="00000000" w:csb0="0000019F" w:csb1="00000000"/>
  </w:font>
  <w:font w:name="Open Sans">
    <w:charset w:val="00"/>
    <w:family w:val="swiss"/>
    <w:pitch w:val="variable"/>
    <w:sig w:usb0="E00002EF" w:usb1="4000205B" w:usb2="00000028" w:usb3="00000000" w:csb0="0000019F" w:csb1="00000000"/>
  </w:font>
  <w:font w:name="Cambria Math">
    <w:panose1 w:val="02040503050406030204"/>
    <w:charset w:val="00"/>
    <w:family w:val="roman"/>
    <w:pitch w:val="variable"/>
    <w:sig w:usb0="E00006FF" w:usb1="420024FF" w:usb2="02000000" w:usb3="00000000" w:csb0="0000019F" w:csb1="00000000"/>
  </w:font>
  <w:font w:name="Roboto">
    <w:charset w:val="00"/>
    <w:family w:val="auto"/>
    <w:pitch w:val="variable"/>
    <w:sig w:usb0="E00002FF" w:usb1="5000205B" w:usb2="00000020" w:usb3="00000000" w:csb0="0000019F" w:csb1="00000000"/>
  </w:font>
  <w:font w:name="Yu Mincho">
    <w:altName w:val="游明朝"/>
    <w:charset w:val="80"/>
    <w:family w:val="roman"/>
    <w:pitch w:val="variable"/>
    <w:sig w:usb0="800002E7" w:usb1="2AC7FCFF" w:usb2="00000012" w:usb3="00000000" w:csb0="0002009F" w:csb1="00000000"/>
  </w:font>
  <w:font w:name="Wingdings 2">
    <w:panose1 w:val="050201020105070707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EDCD8D" w14:textId="77777777" w:rsidR="00620061" w:rsidRPr="00F2375A" w:rsidRDefault="00620061">
    <w:pPr>
      <w:pBdr>
        <w:top w:val="nil"/>
        <w:left w:val="nil"/>
        <w:bottom w:val="nil"/>
        <w:right w:val="nil"/>
        <w:between w:val="nil"/>
      </w:pBdr>
      <w:tabs>
        <w:tab w:val="center" w:pos="4419"/>
        <w:tab w:val="right" w:pos="8838"/>
      </w:tabs>
      <w:rPr>
        <w:smallCaps/>
        <w:color w:val="4472C4"/>
      </w:rPr>
    </w:pPr>
    <w:r w:rsidRPr="03ED1C96">
      <w:rPr>
        <w:smallCaps/>
        <w:color w:val="4F81BD" w:themeColor="accent1"/>
      </w:rPr>
      <w:t>CLEAR methodology – revised AUGUST 2025</w:t>
    </w:r>
    <w:r>
      <w:tab/>
    </w:r>
    <w:r>
      <w:tab/>
    </w:r>
    <w:r w:rsidRPr="03ED1C96">
      <w:rPr>
        <w:smallCaps/>
        <w:color w:val="4F81BD" w:themeColor="accent1"/>
      </w:rPr>
      <w:t xml:space="preserve">                                                                                                                                            </w:t>
    </w:r>
    <w:r w:rsidRPr="03ED1C96">
      <w:rPr>
        <w:smallCaps/>
        <w:color w:val="4F81BD" w:themeColor="accent1"/>
      </w:rPr>
      <w:fldChar w:fldCharType="begin"/>
    </w:r>
    <w:r>
      <w:rPr>
        <w:smallCaps/>
        <w:color w:val="4472C4"/>
      </w:rPr>
      <w:instrText>PAGE</w:instrText>
    </w:r>
    <w:r w:rsidRPr="03ED1C96">
      <w:rPr>
        <w:smallCaps/>
        <w:color w:val="4F81BD" w:themeColor="accent1"/>
      </w:rPr>
      <w:fldChar w:fldCharType="separate"/>
    </w:r>
    <w:r w:rsidRPr="03ED1C96">
      <w:rPr>
        <w:smallCaps/>
        <w:color w:val="4F81BD" w:themeColor="accent1"/>
      </w:rPr>
      <w:t>61</w:t>
    </w:r>
    <w:r w:rsidRPr="03ED1C96">
      <w:rPr>
        <w:smallCaps/>
        <w:color w:val="4F81BD" w:themeColor="accent1"/>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A0682" w14:textId="794399A4" w:rsidR="008011CA" w:rsidRPr="008E5A47" w:rsidRDefault="008E5A47" w:rsidP="008E5A47">
    <w:pPr>
      <w:pStyle w:val="FooterF"/>
    </w:pPr>
    <w:r w:rsidRPr="00374F26">
      <w:rPr>
        <w:szCs w:val="22"/>
      </w:rPr>
      <w:t xml:space="preserve">Version </w:t>
    </w:r>
    <w:r w:rsidRPr="00C51599">
      <w:rPr>
        <w:szCs w:val="22"/>
      </w:rPr>
      <w:t>0</w:t>
    </w:r>
    <w:r w:rsidR="00374F26" w:rsidRPr="00C51599">
      <w:rPr>
        <w:szCs w:val="22"/>
      </w:rPr>
      <w:t>2</w:t>
    </w:r>
    <w:r w:rsidRPr="00C51599">
      <w:rPr>
        <w:szCs w:val="22"/>
      </w:rPr>
      <w:t>.0</w:t>
    </w:r>
    <w:r w:rsidRPr="00DC3436">
      <w:rPr>
        <w:szCs w:val="22"/>
      </w:rPr>
      <w:tab/>
      <w:t xml:space="preserve">Page </w:t>
    </w:r>
    <w:r w:rsidRPr="00DC3436">
      <w:rPr>
        <w:rStyle w:val="PageNumber"/>
        <w:szCs w:val="22"/>
      </w:rPr>
      <w:fldChar w:fldCharType="begin"/>
    </w:r>
    <w:r w:rsidRPr="00DC3436">
      <w:rPr>
        <w:rStyle w:val="PageNumber"/>
        <w:szCs w:val="22"/>
      </w:rPr>
      <w:instrText xml:space="preserve"> PAGE </w:instrText>
    </w:r>
    <w:r w:rsidRPr="00DC3436">
      <w:rPr>
        <w:rStyle w:val="PageNumber"/>
        <w:szCs w:val="22"/>
      </w:rPr>
      <w:fldChar w:fldCharType="separate"/>
    </w:r>
    <w:r>
      <w:rPr>
        <w:rStyle w:val="PageNumber"/>
        <w:szCs w:val="22"/>
      </w:rPr>
      <w:t>1</w:t>
    </w:r>
    <w:r w:rsidRPr="00DC3436">
      <w:rPr>
        <w:rStyle w:val="PageNumber"/>
        <w:szCs w:val="22"/>
      </w:rPr>
      <w:fldChar w:fldCharType="end"/>
    </w:r>
    <w:r w:rsidRPr="00DC3436">
      <w:rPr>
        <w:rStyle w:val="PageNumber"/>
        <w:szCs w:val="22"/>
      </w:rPr>
      <w:t xml:space="preserve"> of </w:t>
    </w:r>
    <w:r w:rsidRPr="00DC3436">
      <w:rPr>
        <w:rStyle w:val="PageNumber"/>
        <w:szCs w:val="22"/>
      </w:rPr>
      <w:fldChar w:fldCharType="begin"/>
    </w:r>
    <w:r w:rsidRPr="00DC3436">
      <w:rPr>
        <w:rStyle w:val="PageNumber"/>
        <w:szCs w:val="22"/>
      </w:rPr>
      <w:instrText xml:space="preserve"> NUMPAGES </w:instrText>
    </w:r>
    <w:r w:rsidRPr="00DC3436">
      <w:rPr>
        <w:rStyle w:val="PageNumber"/>
        <w:szCs w:val="22"/>
      </w:rPr>
      <w:fldChar w:fldCharType="separate"/>
    </w:r>
    <w:r>
      <w:rPr>
        <w:rStyle w:val="PageNumber"/>
        <w:szCs w:val="22"/>
      </w:rPr>
      <w:t>13</w:t>
    </w:r>
    <w:r w:rsidRPr="00DC3436">
      <w:rPr>
        <w:rStyle w:val="PageNumber"/>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34B6AE" w14:textId="77777777" w:rsidR="0030236F" w:rsidRDefault="0030236F">
      <w:r>
        <w:separator/>
      </w:r>
    </w:p>
  </w:footnote>
  <w:footnote w:type="continuationSeparator" w:id="0">
    <w:p w14:paraId="18E5E8A5" w14:textId="77777777" w:rsidR="0030236F" w:rsidRDefault="0030236F">
      <w:r>
        <w:continuationSeparator/>
      </w:r>
    </w:p>
  </w:footnote>
  <w:footnote w:type="continuationNotice" w:id="1">
    <w:p w14:paraId="66416075" w14:textId="77777777" w:rsidR="0030236F" w:rsidRDefault="0030236F"/>
  </w:footnote>
  <w:footnote w:id="2">
    <w:p w14:paraId="4A6C4E3B" w14:textId="77777777" w:rsidR="007C10DA" w:rsidRPr="00F877FA" w:rsidRDefault="007C10DA" w:rsidP="00995077">
      <w:pPr>
        <w:pStyle w:val="FootnoteText"/>
        <w:numPr>
          <w:ilvl w:val="0"/>
          <w:numId w:val="0"/>
        </w:numPr>
        <w:rPr>
          <w:rFonts w:asciiTheme="minorBidi" w:hAnsiTheme="minorBidi" w:cstheme="minorBidi"/>
        </w:rPr>
      </w:pPr>
      <w:r w:rsidRPr="00F877FA">
        <w:rPr>
          <w:rStyle w:val="FootnoteReference"/>
          <w:rFonts w:asciiTheme="minorBidi" w:hAnsiTheme="minorBidi" w:cstheme="minorBidi"/>
        </w:rPr>
        <w:footnoteRef/>
      </w:r>
      <w:r>
        <w:rPr>
          <w:rFonts w:asciiTheme="minorBidi" w:hAnsiTheme="minorBidi" w:cstheme="minorBidi"/>
        </w:rPr>
        <w:tab/>
      </w:r>
      <w:r w:rsidRPr="009944DB">
        <w:rPr>
          <w:rFonts w:ascii="Times New Roman" w:hAnsi="Times New Roman"/>
        </w:rPr>
        <w:t>Format for footnotes.</w:t>
      </w:r>
    </w:p>
  </w:footnote>
  <w:footnote w:id="3">
    <w:p w14:paraId="4F71A100" w14:textId="74076926" w:rsidR="00DD1A63" w:rsidRDefault="00DD1A63" w:rsidP="002E70C9">
      <w:pPr>
        <w:pStyle w:val="FootnoteText"/>
        <w:numPr>
          <w:ilvl w:val="0"/>
          <w:numId w:val="0"/>
        </w:numPr>
      </w:pPr>
      <w:r>
        <w:rPr>
          <w:rStyle w:val="FootnoteReference"/>
        </w:rPr>
        <w:footnoteRef/>
      </w:r>
      <w:r>
        <w:t xml:space="preserve"> </w:t>
      </w:r>
      <w:r w:rsidR="003B1F26" w:rsidRPr="003E332C">
        <w:rPr>
          <w:rFonts w:ascii="Times New Roman" w:hAnsi="Times New Roman"/>
          <w:color w:val="242424"/>
          <w:shd w:val="clear" w:color="auto" w:fill="FFFFFF"/>
        </w:rPr>
        <w:t>Projects using the CLEAR methodology may use the minimum level of energy services required for</w:t>
      </w:r>
      <w:r w:rsidR="002E70C9" w:rsidRPr="003E332C">
        <w:rPr>
          <w:rFonts w:ascii="Times New Roman" w:hAnsi="Times New Roman"/>
          <w:color w:val="242424"/>
          <w:shd w:val="clear" w:color="auto" w:fill="FFFFFF"/>
        </w:rPr>
        <w:t xml:space="preserve"> </w:t>
      </w:r>
      <w:r w:rsidR="003B1F26" w:rsidRPr="003E332C">
        <w:rPr>
          <w:rFonts w:ascii="Times New Roman" w:hAnsi="Times New Roman"/>
          <w:color w:val="242424"/>
          <w:shd w:val="clear" w:color="auto" w:fill="FFFFFF"/>
        </w:rPr>
        <w:t>cooking as a static baseline, or may use the suppressed demand approach outlined in “</w:t>
      </w:r>
      <w:hyperlink r:id="rId1" w:history="1">
        <w:r w:rsidR="003B1F26" w:rsidRPr="003E332C">
          <w:rPr>
            <w:rStyle w:val="Hyperlink"/>
            <w:rFonts w:ascii="Times New Roman" w:hAnsi="Times New Roman"/>
            <w:shd w:val="clear" w:color="auto" w:fill="FFFFFF"/>
          </w:rPr>
          <w:t>Addressing Suppressed Demand in Mechanism Methodologies</w:t>
        </w:r>
      </w:hyperlink>
      <w:r w:rsidR="003B1F26" w:rsidRPr="003E332C">
        <w:rPr>
          <w:rFonts w:ascii="Times New Roman" w:hAnsi="Times New Roman"/>
          <w:color w:val="242424"/>
          <w:shd w:val="clear" w:color="auto" w:fill="FFFFFF"/>
        </w:rPr>
        <w:t>”.</w:t>
      </w:r>
    </w:p>
  </w:footnote>
  <w:footnote w:id="4">
    <w:p w14:paraId="1D47AD0F" w14:textId="77777777" w:rsidR="00313CC0" w:rsidRPr="003E332C" w:rsidRDefault="00313CC0" w:rsidP="002E70C9">
      <w:pPr>
        <w:pStyle w:val="FootnoteText"/>
        <w:numPr>
          <w:ilvl w:val="0"/>
          <w:numId w:val="0"/>
        </w:numPr>
        <w:rPr>
          <w:rFonts w:ascii="Times New Roman" w:hAnsi="Times New Roman"/>
          <w:lang w:val="en-US"/>
        </w:rPr>
      </w:pPr>
      <w:r w:rsidRPr="003E332C">
        <w:rPr>
          <w:rStyle w:val="FootnoteReference"/>
          <w:rFonts w:ascii="Times New Roman" w:hAnsi="Times New Roman"/>
        </w:rPr>
        <w:footnoteRef/>
      </w:r>
      <w:r w:rsidRPr="003E332C">
        <w:rPr>
          <w:rFonts w:ascii="Times New Roman" w:hAnsi="Times New Roman"/>
        </w:rPr>
        <w:t xml:space="preserve"> </w:t>
      </w:r>
      <w:r w:rsidRPr="003E332C">
        <w:rPr>
          <w:rFonts w:ascii="Times New Roman" w:eastAsia="Arial Nova" w:hAnsi="Times New Roman"/>
        </w:rPr>
        <w:t>Methodologies that do allow credit for slurry include the most recent version of: Gold Standard Methodology for Animal Manure Management and Biogas Use for Thermal Energy Generation; AMS-I.I. - Biogas/biomass thermal applications for households/small users; and AMS-I.E. - Switch from non-renewable biomass for thermal applications by the user.</w:t>
      </w:r>
    </w:p>
  </w:footnote>
  <w:footnote w:id="5">
    <w:p w14:paraId="61C6C9AD" w14:textId="77777777" w:rsidR="00313CC0" w:rsidRPr="00303A4F" w:rsidRDefault="00313CC0" w:rsidP="002E70C9">
      <w:pPr>
        <w:pStyle w:val="FootnoteText"/>
        <w:numPr>
          <w:ilvl w:val="0"/>
          <w:numId w:val="0"/>
        </w:numPr>
        <w:rPr>
          <w:rFonts w:cs="Arial"/>
          <w:lang w:val="en-US"/>
        </w:rPr>
      </w:pPr>
      <w:r w:rsidRPr="003E332C">
        <w:rPr>
          <w:rStyle w:val="FootnoteReference"/>
          <w:rFonts w:ascii="Times New Roman" w:hAnsi="Times New Roman"/>
        </w:rPr>
        <w:footnoteRef/>
      </w:r>
      <w:r w:rsidRPr="003E332C">
        <w:rPr>
          <w:rFonts w:ascii="Times New Roman" w:hAnsi="Times New Roman"/>
        </w:rPr>
        <w:t xml:space="preserve"> </w:t>
      </w:r>
      <w:r w:rsidRPr="003E332C">
        <w:rPr>
          <w:rFonts w:ascii="Times New Roman" w:eastAsia="Arial Nova" w:hAnsi="Times New Roman"/>
        </w:rPr>
        <w:t>Use of electricity as a supplemental baseline fuel is permitted as it is not expected to be materially affected by project activities.</w:t>
      </w:r>
    </w:p>
  </w:footnote>
  <w:footnote w:id="6">
    <w:p w14:paraId="2823375E" w14:textId="77777777" w:rsidR="00714248" w:rsidRPr="003E332C" w:rsidRDefault="00714248" w:rsidP="00B673C0">
      <w:pPr>
        <w:pStyle w:val="FootnoteText"/>
        <w:numPr>
          <w:ilvl w:val="0"/>
          <w:numId w:val="0"/>
        </w:numPr>
        <w:rPr>
          <w:rFonts w:ascii="Times New Roman" w:hAnsi="Times New Roman"/>
        </w:rPr>
      </w:pPr>
      <w:r w:rsidRPr="003E332C">
        <w:rPr>
          <w:rStyle w:val="FootnoteReference"/>
          <w:rFonts w:ascii="Times New Roman" w:hAnsi="Times New Roman"/>
        </w:rPr>
        <w:footnoteRef/>
      </w:r>
      <w:r w:rsidRPr="003E332C">
        <w:rPr>
          <w:rFonts w:ascii="Times New Roman" w:hAnsi="Times New Roman"/>
        </w:rPr>
        <w:t xml:space="preserve"> </w:t>
      </w:r>
      <w:r w:rsidRPr="003E332C">
        <w:rPr>
          <w:rFonts w:ascii="Times New Roman" w:eastAsia="Montserrat" w:hAnsi="Times New Roman"/>
        </w:rPr>
        <w:t>Examples of reputable literature include sources that are peer-reviewed and/or published by a national or multi-national agency.</w:t>
      </w:r>
    </w:p>
  </w:footnote>
  <w:footnote w:id="7">
    <w:p w14:paraId="6A0FD52E" w14:textId="77777777" w:rsidR="00714248" w:rsidRPr="003E332C" w:rsidRDefault="00714248" w:rsidP="00B673C0">
      <w:pPr>
        <w:pStyle w:val="FootnoteText"/>
        <w:numPr>
          <w:ilvl w:val="0"/>
          <w:numId w:val="0"/>
        </w:numPr>
        <w:rPr>
          <w:rFonts w:ascii="Times New Roman" w:hAnsi="Times New Roman"/>
          <w:lang w:val="en-US"/>
        </w:rPr>
      </w:pPr>
      <w:r w:rsidRPr="003E332C">
        <w:rPr>
          <w:rStyle w:val="FootnoteReference"/>
          <w:rFonts w:ascii="Times New Roman" w:hAnsi="Times New Roman"/>
        </w:rPr>
        <w:footnoteRef/>
      </w:r>
      <w:r w:rsidRPr="003E332C">
        <w:rPr>
          <w:rFonts w:ascii="Times New Roman" w:hAnsi="Times New Roman"/>
        </w:rPr>
        <w:t xml:space="preserve"> </w:t>
      </w:r>
      <w:r w:rsidRPr="003E332C">
        <w:rPr>
          <w:rFonts w:ascii="Times New Roman" w:eastAsia="Montserrat" w:hAnsi="Times New Roman"/>
        </w:rPr>
        <w:t>CLEAR uses a greater than 10% variation as the definition of a material discrepancy throughout the methodology as this is appropriate given the distributed nature of the cooking technology intervention, the natural variation in human cooking behaviors, and the challenges of collecting real-word field data, especially in many low resource environments.</w:t>
      </w:r>
    </w:p>
  </w:footnote>
  <w:footnote w:id="8">
    <w:p w14:paraId="7C724336" w14:textId="77777777" w:rsidR="00714248" w:rsidRPr="003E061A" w:rsidRDefault="00714248" w:rsidP="00B673C0">
      <w:pPr>
        <w:pStyle w:val="FootnoteText"/>
        <w:numPr>
          <w:ilvl w:val="0"/>
          <w:numId w:val="0"/>
        </w:numPr>
      </w:pPr>
      <w:r w:rsidRPr="003E332C">
        <w:rPr>
          <w:rStyle w:val="FootnoteReference"/>
          <w:rFonts w:ascii="Times New Roman" w:hAnsi="Times New Roman"/>
        </w:rPr>
        <w:footnoteRef/>
      </w:r>
      <w:r w:rsidRPr="003E332C">
        <w:rPr>
          <w:rFonts w:ascii="Times New Roman" w:hAnsi="Times New Roman"/>
        </w:rPr>
        <w:t xml:space="preserve"> </w:t>
      </w:r>
      <w:r w:rsidRPr="003E332C">
        <w:rPr>
          <w:rFonts w:ascii="Times New Roman" w:hAnsi="Times New Roman"/>
          <w:color w:val="000000"/>
          <w:lang w:eastAsia="ja-JP"/>
        </w:rPr>
        <w:t>Parameters PC</w:t>
      </w:r>
      <w:r w:rsidRPr="003E332C">
        <w:rPr>
          <w:rFonts w:ascii="Times New Roman" w:hAnsi="Times New Roman"/>
          <w:i/>
          <w:color w:val="000000"/>
          <w:lang w:eastAsia="ja-JP"/>
        </w:rPr>
        <w:t>b</w:t>
      </w:r>
      <w:r w:rsidRPr="003E332C">
        <w:rPr>
          <w:rFonts w:ascii="Times New Roman" w:hAnsi="Times New Roman"/>
          <w:i/>
          <w:color w:val="000000"/>
          <w:sz w:val="16"/>
          <w:szCs w:val="16"/>
          <w:lang w:eastAsia="ja-JP"/>
        </w:rPr>
        <w:t>i</w:t>
      </w:r>
      <w:r w:rsidRPr="003E332C">
        <w:rPr>
          <w:rFonts w:ascii="Times New Roman" w:hAnsi="Times New Roman"/>
          <w:i/>
          <w:color w:val="000000"/>
          <w:lang w:eastAsia="ja-JP"/>
        </w:rPr>
        <w:t xml:space="preserve"> </w:t>
      </w:r>
      <w:r w:rsidRPr="003E332C">
        <w:rPr>
          <w:rFonts w:ascii="Times New Roman" w:hAnsi="Times New Roman"/>
          <w:color w:val="000000"/>
          <w:lang w:eastAsia="ja-JP"/>
        </w:rPr>
        <w:t>and PC</w:t>
      </w:r>
      <w:r w:rsidRPr="003E332C">
        <w:rPr>
          <w:rFonts w:ascii="Times New Roman" w:hAnsi="Times New Roman"/>
          <w:i/>
          <w:color w:val="000000"/>
          <w:lang w:eastAsia="ja-JP"/>
        </w:rPr>
        <w:t>p</w:t>
      </w:r>
      <w:r w:rsidRPr="003E332C">
        <w:rPr>
          <w:rFonts w:ascii="Times New Roman" w:hAnsi="Times New Roman"/>
          <w:i/>
          <w:color w:val="000000"/>
          <w:sz w:val="16"/>
          <w:szCs w:val="16"/>
          <w:lang w:eastAsia="ja-JP"/>
        </w:rPr>
        <w:t>j</w:t>
      </w:r>
      <w:r w:rsidRPr="003E332C">
        <w:rPr>
          <w:rFonts w:ascii="Times New Roman" w:hAnsi="Times New Roman"/>
          <w:color w:val="000000"/>
          <w:sz w:val="16"/>
          <w:szCs w:val="16"/>
          <w:lang w:eastAsia="ja-JP"/>
        </w:rPr>
        <w:t xml:space="preserve"> </w:t>
      </w:r>
      <w:r w:rsidRPr="003E332C">
        <w:rPr>
          <w:rFonts w:ascii="Times New Roman" w:hAnsi="Times New Roman"/>
          <w:color w:val="000000"/>
          <w:lang w:eastAsia="ja-JP"/>
        </w:rPr>
        <w:t>are used to calculate this material difference and are used in Appendix 10 providing sampling requirements for these proportions of cooking events.</w:t>
      </w:r>
    </w:p>
  </w:footnote>
  <w:footnote w:id="9">
    <w:p w14:paraId="6A290C8C" w14:textId="77777777" w:rsidR="00582FEA" w:rsidRPr="003E332C" w:rsidRDefault="00582FEA" w:rsidP="00B673C0">
      <w:pPr>
        <w:pStyle w:val="FootnoteText"/>
        <w:numPr>
          <w:ilvl w:val="0"/>
          <w:numId w:val="0"/>
        </w:numPr>
        <w:ind w:firstLine="11"/>
        <w:rPr>
          <w:rFonts w:ascii="Times New Roman" w:hAnsi="Times New Roman"/>
        </w:rPr>
      </w:pPr>
      <w:r w:rsidRPr="003E332C">
        <w:rPr>
          <w:rStyle w:val="FootnoteReference"/>
          <w:rFonts w:ascii="Times New Roman" w:hAnsi="Times New Roman"/>
        </w:rPr>
        <w:footnoteRef/>
      </w:r>
      <w:r w:rsidRPr="003E332C">
        <w:rPr>
          <w:rFonts w:ascii="Times New Roman" w:hAnsi="Times New Roman"/>
        </w:rPr>
        <w:t xml:space="preserve"> </w:t>
      </w:r>
      <w:r w:rsidRPr="003E332C">
        <w:rPr>
          <w:rFonts w:ascii="Times New Roman" w:eastAsia="Montserrat" w:hAnsi="Times New Roman"/>
          <w:lang w:val="en-US"/>
        </w:rPr>
        <w:t>If baseline energy consumption is measured at 0.050 TJ/(person*year) of wood and 0.00335 TJ/(person*year) of charcoal, the useful energy delivered would be calculated using efficiency factors of 15% for wood and 25% for charcoal. This results in 0.0075 TJ/(person*year) of useful energy from wood and 0.008375 TJ/(person*year) from charcoal, for a total of 0.015875 TJ/(person*year) of useful energy delivered. Since this results in a mixed baseline of 47.3% energy delivered from wood and 52.7% delivered from charcoal, the mixed baseline cap of 0.00295 TJ useful energy delivered/(person*year) must be applied and the useful energy must be reduced proportionally to stay within the allowable limit. The adjustment factor needed is 0.00295 / 0.015875 = 0.186. Applying this factor, the useful wood energy becomes 0.001395 TJ/(person*year), and the useful charcoal energy becomes 0.00156 TJ/(person*year). Converting these adjusted useful energy values back into total fuel consumption, the wood component would be 0.0093 TJ/(person*year), and the charcoal would be 0.00624 TJ/(person*year).</w:t>
      </w:r>
    </w:p>
  </w:footnote>
  <w:footnote w:id="10">
    <w:p w14:paraId="0A510881" w14:textId="77777777" w:rsidR="0024276B" w:rsidRPr="009447DB" w:rsidRDefault="0024276B" w:rsidP="00B673C0">
      <w:pPr>
        <w:pStyle w:val="FootnoteText"/>
        <w:numPr>
          <w:ilvl w:val="0"/>
          <w:numId w:val="0"/>
        </w:numPr>
        <w:ind w:firstLine="11"/>
        <w:rPr>
          <w:rFonts w:cs="Arial"/>
        </w:rPr>
      </w:pPr>
      <w:r w:rsidRPr="003E332C">
        <w:rPr>
          <w:rStyle w:val="FootnoteReference"/>
          <w:rFonts w:ascii="Times New Roman" w:hAnsi="Times New Roman"/>
        </w:rPr>
        <w:footnoteRef/>
      </w:r>
      <w:r w:rsidRPr="003E332C">
        <w:rPr>
          <w:rFonts w:ascii="Times New Roman" w:hAnsi="Times New Roman"/>
        </w:rPr>
        <w:t xml:space="preserve"> </w:t>
      </w:r>
      <w:r w:rsidRPr="003E332C">
        <w:rPr>
          <w:rFonts w:ascii="Times New Roman" w:eastAsia="Montserrat" w:hAnsi="Times New Roman"/>
          <w:lang w:val="en-US"/>
        </w:rPr>
        <w:t>4C will provide publicly-available guidance to VVBs and rating agencies on evaluating these justifications.</w:t>
      </w:r>
    </w:p>
  </w:footnote>
  <w:footnote w:id="11">
    <w:p w14:paraId="1D277957" w14:textId="77777777" w:rsidR="00582FEA" w:rsidRPr="003E332C" w:rsidRDefault="00582FEA" w:rsidP="00B673C0">
      <w:pPr>
        <w:pStyle w:val="FootnoteText"/>
        <w:numPr>
          <w:ilvl w:val="0"/>
          <w:numId w:val="0"/>
        </w:numPr>
        <w:rPr>
          <w:rFonts w:ascii="Times New Roman" w:hAnsi="Times New Roman"/>
        </w:rPr>
      </w:pPr>
      <w:r w:rsidRPr="003E332C">
        <w:rPr>
          <w:rStyle w:val="FootnoteReference"/>
          <w:rFonts w:ascii="Times New Roman" w:hAnsi="Times New Roman"/>
        </w:rPr>
        <w:footnoteRef/>
      </w:r>
      <w:r w:rsidRPr="003E332C">
        <w:rPr>
          <w:rFonts w:ascii="Times New Roman" w:hAnsi="Times New Roman"/>
        </w:rPr>
        <w:t xml:space="preserve"> </w:t>
      </w:r>
      <w:r w:rsidRPr="003E332C">
        <w:rPr>
          <w:rFonts w:ascii="Times New Roman" w:eastAsia="Montserrat" w:hAnsi="Times New Roman"/>
        </w:rPr>
        <w:t xml:space="preserve">In this methodology, the subscript </w:t>
      </w:r>
      <w:r w:rsidRPr="003E332C">
        <w:rPr>
          <w:rFonts w:ascii="Times New Roman" w:eastAsia="Montserrat" w:hAnsi="Times New Roman"/>
          <w:i/>
          <w:iCs/>
        </w:rPr>
        <w:t xml:space="preserve">i </w:t>
      </w:r>
      <w:r w:rsidRPr="003E332C">
        <w:rPr>
          <w:rFonts w:ascii="Times New Roman" w:eastAsia="Montserrat" w:hAnsi="Times New Roman"/>
        </w:rPr>
        <w:t xml:space="preserve">is used to represent either a fuel alone or a fuel–cookstove combination, depending on the parameter being referenced. For parameters that are fuel-specific (e.g., fNRB), </w:t>
      </w:r>
      <w:r w:rsidRPr="003E332C">
        <w:rPr>
          <w:rFonts w:ascii="Times New Roman" w:eastAsia="Montserrat" w:hAnsi="Times New Roman"/>
          <w:i/>
          <w:iCs/>
        </w:rPr>
        <w:t>i</w:t>
      </w:r>
      <w:r w:rsidRPr="003E332C">
        <w:rPr>
          <w:rFonts w:ascii="Times New Roman" w:eastAsia="Montserrat" w:hAnsi="Times New Roman"/>
        </w:rPr>
        <w:t xml:space="preserve"> refers to the fuel only (e.g., fuelwood, charcoal, LPG). For parameters that are specific to the combination of fuel and cookstove technology (e.g., thermal efficiency, emissions factors),</w:t>
      </w:r>
      <w:r w:rsidRPr="003E332C">
        <w:rPr>
          <w:rFonts w:ascii="Times New Roman" w:eastAsia="Montserrat" w:hAnsi="Times New Roman"/>
          <w:i/>
          <w:iCs/>
        </w:rPr>
        <w:t xml:space="preserve"> i</w:t>
      </w:r>
      <w:r w:rsidRPr="003E332C">
        <w:rPr>
          <w:rFonts w:ascii="Times New Roman" w:eastAsia="Montserrat" w:hAnsi="Times New Roman"/>
        </w:rPr>
        <w:t xml:space="preserve"> refers to the unique fuel–cookstove combination (e.g., fuelwood with three-stone fire, fuelwood with a high efficiency wood cookstove).</w:t>
      </w:r>
    </w:p>
  </w:footnote>
  <w:footnote w:id="12">
    <w:p w14:paraId="0E66CC3C" w14:textId="77777777" w:rsidR="00582FEA" w:rsidRDefault="00582FEA" w:rsidP="00B673C0">
      <w:pPr>
        <w:pStyle w:val="FootnoteText"/>
        <w:numPr>
          <w:ilvl w:val="0"/>
          <w:numId w:val="0"/>
        </w:numPr>
      </w:pPr>
      <w:r w:rsidRPr="003E332C">
        <w:rPr>
          <w:rStyle w:val="FootnoteReference"/>
          <w:rFonts w:ascii="Times New Roman" w:hAnsi="Times New Roman"/>
        </w:rPr>
        <w:footnoteRef/>
      </w:r>
      <w:r w:rsidRPr="003E332C">
        <w:rPr>
          <w:rFonts w:ascii="Times New Roman" w:hAnsi="Times New Roman"/>
        </w:rPr>
        <w:t xml:space="preserve"> </w:t>
      </w:r>
      <w:bookmarkStart w:id="47" w:name="footnote11"/>
      <w:r w:rsidRPr="003E332C">
        <w:rPr>
          <w:rFonts w:ascii="Times New Roman" w:eastAsia="Montserrat" w:hAnsi="Times New Roman"/>
        </w:rPr>
        <w:t>For example</w:t>
      </w:r>
      <w:bookmarkEnd w:id="47"/>
      <w:r w:rsidRPr="003E332C">
        <w:rPr>
          <w:rFonts w:ascii="Times New Roman" w:eastAsia="Montserrat" w:hAnsi="Times New Roman"/>
        </w:rPr>
        <w:t xml:space="preserve">: If a pellet fuel consists of 60% wood and 40% sugarcane bagasse (on a TJ basis), and the energy consumption for these pellets is 0.05 TJ/(person*year), then there would be two constituent fuels to sum over; </w:t>
      </w:r>
      <m:oMath>
        <m:sSub>
          <m:sSubPr>
            <m:ctrlPr>
              <w:rPr>
                <w:rFonts w:ascii="Cambria Math" w:eastAsia="Cambria Math" w:hAnsi="Cambria Math"/>
                <w:sz w:val="22"/>
                <w:szCs w:val="22"/>
              </w:rPr>
            </m:ctrlPr>
          </m:sSubPr>
          <m:e>
            <m:r>
              <w:rPr>
                <w:rFonts w:ascii="Cambria Math" w:eastAsia="Cambria Math" w:hAnsi="Cambria Math"/>
                <w:sz w:val="22"/>
                <w:szCs w:val="22"/>
              </w:rPr>
              <m:t>EC</m:t>
            </m:r>
          </m:e>
          <m:sub>
            <m:r>
              <w:rPr>
                <w:rFonts w:ascii="Cambria Math" w:eastAsia="Cambria Math" w:hAnsi="Cambria Math"/>
                <w:sz w:val="22"/>
                <w:szCs w:val="22"/>
              </w:rPr>
              <m:t>d-base,pellet-wood</m:t>
            </m:r>
          </m:sub>
        </m:sSub>
        <m:r>
          <w:rPr>
            <w:rFonts w:ascii="Cambria Math" w:eastAsia="Cambria Math" w:hAnsi="Cambria Math"/>
            <w:sz w:val="22"/>
            <w:szCs w:val="22"/>
          </w:rPr>
          <m:t xml:space="preserve"> </m:t>
        </m:r>
      </m:oMath>
      <w:r w:rsidRPr="003E332C">
        <w:rPr>
          <w:rFonts w:ascii="Times New Roman" w:eastAsia="Montserrat" w:hAnsi="Times New Roman"/>
        </w:rPr>
        <w:t xml:space="preserve">= 0.03 TJ/(person*year), and </w:t>
      </w:r>
      <m:oMath>
        <m:sSub>
          <m:sSubPr>
            <m:ctrlPr>
              <w:rPr>
                <w:rFonts w:ascii="Cambria Math" w:eastAsia="Cambria Math" w:hAnsi="Cambria Math"/>
                <w:sz w:val="22"/>
                <w:szCs w:val="22"/>
              </w:rPr>
            </m:ctrlPr>
          </m:sSubPr>
          <m:e>
            <m:r>
              <w:rPr>
                <w:rFonts w:ascii="Cambria Math" w:eastAsia="Cambria Math" w:hAnsi="Cambria Math"/>
                <w:sz w:val="22"/>
                <w:szCs w:val="22"/>
              </w:rPr>
              <m:t>EC</m:t>
            </m:r>
          </m:e>
          <m:sub>
            <m:r>
              <w:rPr>
                <w:rFonts w:ascii="Cambria Math" w:eastAsia="Cambria Math" w:hAnsi="Cambria Math"/>
                <w:sz w:val="22"/>
                <w:szCs w:val="22"/>
              </w:rPr>
              <m:t>d-base,pellet-bagasse</m:t>
            </m:r>
          </m:sub>
        </m:sSub>
        <m:r>
          <w:rPr>
            <w:rFonts w:ascii="Cambria Math" w:eastAsia="Cambria Math" w:hAnsi="Cambria Math"/>
            <w:sz w:val="22"/>
            <w:szCs w:val="22"/>
          </w:rPr>
          <m:t xml:space="preserve"> </m:t>
        </m:r>
      </m:oMath>
      <w:r w:rsidRPr="003E332C">
        <w:rPr>
          <w:rFonts w:ascii="Times New Roman" w:eastAsia="Montserrat" w:hAnsi="Times New Roman"/>
        </w:rPr>
        <w:t>= 0.02 TJ/(person-year), each with its own respective fNRB, EF, and UE.</w:t>
      </w:r>
    </w:p>
  </w:footnote>
  <w:footnote w:id="13">
    <w:p w14:paraId="2ACC8B2A" w14:textId="77777777" w:rsidR="00EF1575" w:rsidRPr="003E332C" w:rsidRDefault="00EF1575" w:rsidP="00EF1575">
      <w:pPr>
        <w:rPr>
          <w:rFonts w:ascii="Times New Roman" w:eastAsia="Montserrat" w:hAnsi="Times New Roman"/>
          <w:sz w:val="20"/>
        </w:rPr>
      </w:pPr>
      <w:r w:rsidRPr="003E332C">
        <w:rPr>
          <w:rStyle w:val="FootnoteReference"/>
          <w:rFonts w:ascii="Times New Roman" w:hAnsi="Times New Roman"/>
          <w:sz w:val="20"/>
        </w:rPr>
        <w:footnoteRef/>
      </w:r>
      <w:r w:rsidRPr="003E332C">
        <w:rPr>
          <w:rFonts w:ascii="Times New Roman" w:hAnsi="Times New Roman"/>
          <w:sz w:val="20"/>
        </w:rPr>
        <w:t xml:space="preserve"> </w:t>
      </w:r>
      <w:r w:rsidRPr="003E332C">
        <w:rPr>
          <w:rFonts w:ascii="Times New Roman" w:eastAsia="Montserrat" w:hAnsi="Times New Roman"/>
          <w:sz w:val="20"/>
        </w:rPr>
        <w:t>0.5 tonnes of air-dried fuel wood with 0.0156 TJ/tonnes NCV, and thermal efficiency of 15%.</w:t>
      </w:r>
    </w:p>
  </w:footnote>
  <w:footnote w:id="14">
    <w:p w14:paraId="0403A00E" w14:textId="77777777" w:rsidR="00EF1575" w:rsidRPr="003E332C" w:rsidRDefault="00EF1575" w:rsidP="00EF1575">
      <w:pPr>
        <w:rPr>
          <w:rFonts w:ascii="Times New Roman" w:eastAsia="Montserrat" w:hAnsi="Times New Roman"/>
          <w:sz w:val="18"/>
          <w:szCs w:val="18"/>
        </w:rPr>
      </w:pPr>
      <w:r w:rsidRPr="003E332C">
        <w:rPr>
          <w:rStyle w:val="FootnoteReference"/>
          <w:rFonts w:ascii="Times New Roman" w:hAnsi="Times New Roman"/>
          <w:sz w:val="20"/>
        </w:rPr>
        <w:footnoteRef/>
      </w:r>
      <w:r w:rsidRPr="003E332C">
        <w:rPr>
          <w:rFonts w:ascii="Times New Roman" w:eastAsia="Montserrat" w:hAnsi="Times New Roman"/>
          <w:sz w:val="20"/>
        </w:rPr>
        <w:t xml:space="preserve"> 0.1 tonnes of charcoal with 0.0295 TJ/tonnes NCV, and thermal efficiency of 25%.</w:t>
      </w:r>
      <w:r w:rsidRPr="003E332C">
        <w:rPr>
          <w:rFonts w:ascii="Times New Roman" w:eastAsia="Montserrat" w:hAnsi="Times New Roman"/>
          <w:sz w:val="18"/>
          <w:szCs w:val="18"/>
        </w:rPr>
        <w:t xml:space="preserve"> </w:t>
      </w:r>
    </w:p>
  </w:footnote>
  <w:footnote w:id="15">
    <w:p w14:paraId="1A1FEBBD" w14:textId="77777777" w:rsidR="00EF1575" w:rsidRPr="00896B0B" w:rsidRDefault="00EF1575" w:rsidP="00EF1575">
      <w:pPr>
        <w:rPr>
          <w:rFonts w:ascii="Montserrat" w:eastAsia="Montserrat" w:hAnsi="Montserrat" w:cs="Montserrat"/>
          <w:sz w:val="20"/>
        </w:rPr>
      </w:pPr>
      <w:r w:rsidRPr="003E332C">
        <w:rPr>
          <w:rStyle w:val="FootnoteReference"/>
          <w:rFonts w:ascii="Times New Roman" w:hAnsi="Times New Roman"/>
          <w:sz w:val="20"/>
        </w:rPr>
        <w:footnoteRef/>
      </w:r>
      <w:r w:rsidRPr="003E332C">
        <w:rPr>
          <w:rFonts w:ascii="Times New Roman" w:eastAsiaTheme="minorHAnsi" w:hAnsi="Times New Roman"/>
          <w:kern w:val="2"/>
          <w:sz w:val="20"/>
          <w14:ligatures w14:val="standardContextual"/>
        </w:rPr>
        <w:t xml:space="preserve"> </w:t>
      </w:r>
      <w:r w:rsidRPr="003E332C">
        <w:rPr>
          <w:rFonts w:ascii="Times New Roman" w:eastAsia="Montserrat" w:hAnsi="Times New Roman"/>
          <w:sz w:val="20"/>
        </w:rPr>
        <w:t>The energy for each fuel is estimated by applying the thermal efficiencies in Appendix 5 (e.g., 15% thermal efficiency for unimproved baseline wood cookstoves, 25% thermal efficiency for unimproved charcoal cookstoves, and 50% for gas and liquid fuelled cookstoves) to the useful energy delivered and relative amount of cooking on each fuel type. For example, if surveys indicate in the baseline that 80% of cooking events are done on wood cookstoves and 20% on LPG cookstoves, then the baseline energy consumption would be as follows: Wood consumption: (0.80*0.0012 TJ useful energy delivered/(person*year)) / 15% thermal efficiency = 0.0091 TJ useful energy delivered/(person*year of</w:t>
      </w:r>
      <w:r w:rsidRPr="00CE7E6E">
        <w:rPr>
          <w:rFonts w:eastAsia="Montserrat" w:cs="Arial"/>
          <w:sz w:val="20"/>
        </w:rPr>
        <w:t xml:space="preserve"> </w:t>
      </w:r>
      <w:r w:rsidRPr="003E332C">
        <w:rPr>
          <w:rFonts w:ascii="Times New Roman" w:eastAsia="Montserrat" w:hAnsi="Times New Roman"/>
          <w:sz w:val="20"/>
        </w:rPr>
        <w:t>wood energy; LPG 0.20*0.0012 TJ useful energy delivered/(person*year) / 50% = 0.00048 TJ useful energy delivered/(person*year) of LPG energy.</w:t>
      </w:r>
    </w:p>
  </w:footnote>
  <w:footnote w:id="16">
    <w:p w14:paraId="712E5DAD" w14:textId="518B6BCC" w:rsidR="007B30A5" w:rsidRPr="003E332C" w:rsidRDefault="007B30A5" w:rsidP="008B6C6F">
      <w:pPr>
        <w:pStyle w:val="FootnoteText"/>
        <w:numPr>
          <w:ilvl w:val="0"/>
          <w:numId w:val="0"/>
        </w:numPr>
        <w:rPr>
          <w:rFonts w:ascii="Times New Roman" w:hAnsi="Times New Roman"/>
        </w:rPr>
      </w:pPr>
      <w:r w:rsidRPr="003E332C">
        <w:rPr>
          <w:rStyle w:val="FootnoteReference"/>
          <w:rFonts w:ascii="Times New Roman" w:hAnsi="Times New Roman"/>
        </w:rPr>
        <w:footnoteRef/>
      </w:r>
      <w:r w:rsidRPr="003E332C">
        <w:rPr>
          <w:rFonts w:ascii="Times New Roman" w:hAnsi="Times New Roman"/>
        </w:rPr>
        <w:t xml:space="preserve"> </w:t>
      </w:r>
      <w:r w:rsidR="00A0079D" w:rsidRPr="003E332C">
        <w:rPr>
          <w:rFonts w:ascii="Times New Roman" w:hAnsi="Times New Roman"/>
        </w:rPr>
        <w:t>One-sided 95% confidence intervals place all uncertainty in one direction to give a bound the true mean exceeds with 95% confidence, supporting conservative downward adjustments in baseline estimates.</w:t>
      </w:r>
    </w:p>
  </w:footnote>
  <w:footnote w:id="17">
    <w:p w14:paraId="264586B8" w14:textId="77777777" w:rsidR="00E95A8F" w:rsidRPr="00E12F3C" w:rsidRDefault="00E95A8F" w:rsidP="0023088E">
      <w:pPr>
        <w:pStyle w:val="FootnoteText"/>
        <w:numPr>
          <w:ilvl w:val="0"/>
          <w:numId w:val="0"/>
        </w:numPr>
        <w:rPr>
          <w:rFonts w:ascii="Montserrat" w:hAnsi="Montserrat"/>
        </w:rPr>
      </w:pPr>
      <w:r w:rsidRPr="00F020B9">
        <w:rPr>
          <w:rStyle w:val="FootnoteReference"/>
          <w:rFonts w:cs="Arial"/>
        </w:rPr>
        <w:footnoteRef/>
      </w:r>
      <w:r w:rsidRPr="00E12F3C">
        <w:rPr>
          <w:rFonts w:ascii="Montserrat" w:hAnsi="Montserrat"/>
        </w:rPr>
        <w:t xml:space="preserve"> </w:t>
      </w:r>
      <w:r w:rsidRPr="00F020B9">
        <w:rPr>
          <w:rFonts w:cs="Arial"/>
        </w:rPr>
        <w:t>Calibrated according to manufacturer recommendations and/or relevant national requirements as applicable.</w:t>
      </w:r>
    </w:p>
  </w:footnote>
  <w:footnote w:id="18">
    <w:p w14:paraId="5B79377B" w14:textId="4C2F805B" w:rsidR="00620061" w:rsidRPr="003E332C" w:rsidRDefault="00620061" w:rsidP="008B6C6F">
      <w:pPr>
        <w:pStyle w:val="FootnoteText"/>
        <w:numPr>
          <w:ilvl w:val="0"/>
          <w:numId w:val="0"/>
        </w:numPr>
        <w:rPr>
          <w:rFonts w:ascii="Times New Roman" w:hAnsi="Times New Roman"/>
        </w:rPr>
      </w:pPr>
      <w:r w:rsidRPr="003E332C">
        <w:rPr>
          <w:rStyle w:val="FootnoteReference"/>
          <w:rFonts w:ascii="Times New Roman" w:hAnsi="Times New Roman"/>
        </w:rPr>
        <w:footnoteRef/>
      </w:r>
      <w:r w:rsidRPr="003E332C">
        <w:rPr>
          <w:rFonts w:ascii="Times New Roman" w:hAnsi="Times New Roman"/>
        </w:rPr>
        <w:t xml:space="preserve"> For example, common baseline wood cookstove types (i.e., categories) include three stone fires and sunken wood pits. For projects where both exist, project proponents would need to test one example of each type to be able to count displacement for both types in their emissions reductions. Displacement can be considered for </w:t>
      </w:r>
      <w:r w:rsidR="00541DD7">
        <w:rPr>
          <w:rFonts w:ascii="Times New Roman" w:hAnsi="Times New Roman"/>
        </w:rPr>
        <w:t>cook</w:t>
      </w:r>
      <w:r w:rsidRPr="003E332C">
        <w:rPr>
          <w:rFonts w:ascii="Times New Roman" w:hAnsi="Times New Roman"/>
        </w:rPr>
        <w:t>stove types tested.</w:t>
      </w:r>
    </w:p>
  </w:footnote>
  <w:footnote w:id="19">
    <w:p w14:paraId="5452555B" w14:textId="77777777" w:rsidR="00620061" w:rsidRPr="003E332C" w:rsidRDefault="00620061" w:rsidP="008B6C6F">
      <w:pPr>
        <w:pStyle w:val="FootnoteText"/>
        <w:numPr>
          <w:ilvl w:val="0"/>
          <w:numId w:val="0"/>
        </w:numPr>
        <w:rPr>
          <w:rFonts w:ascii="Times New Roman" w:hAnsi="Times New Roman"/>
        </w:rPr>
      </w:pPr>
      <w:r w:rsidRPr="003E332C">
        <w:rPr>
          <w:rStyle w:val="FootnoteReference"/>
          <w:rFonts w:ascii="Times New Roman" w:hAnsi="Times New Roman"/>
        </w:rPr>
        <w:footnoteRef/>
      </w:r>
      <w:r w:rsidRPr="003E332C">
        <w:rPr>
          <w:rFonts w:ascii="Times New Roman" w:hAnsi="Times New Roman"/>
        </w:rPr>
        <w:t xml:space="preserve"> </w:t>
      </w:r>
      <w:r w:rsidRPr="003E332C">
        <w:rPr>
          <w:rFonts w:ascii="Times New Roman" w:hAnsi="Times New Roman"/>
          <w:color w:val="000000"/>
        </w:rPr>
        <w:t>Of note, data analysis can be challenging for cookstoves that are frequently moved indoors and outdoors for cooking, due to solar radiation affecting heating and cooling rates, so piloting placement of temperature monitors or probes is critical for such applications.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A15E92" w14:textId="77777777" w:rsidR="00620061" w:rsidRDefault="00620061">
    <w:pPr>
      <w:pBdr>
        <w:top w:val="nil"/>
        <w:left w:val="nil"/>
        <w:bottom w:val="nil"/>
        <w:right w:val="nil"/>
        <w:between w:val="nil"/>
      </w:pBdr>
      <w:tabs>
        <w:tab w:val="center" w:pos="4419"/>
        <w:tab w:val="right" w:pos="8838"/>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496B8" w14:textId="1BAC4804" w:rsidR="0098259D" w:rsidRPr="0038630A" w:rsidRDefault="0038630A" w:rsidP="0038630A">
    <w:pPr>
      <w:pStyle w:val="SymbolForm"/>
      <w:spacing w:after="240"/>
    </w:pPr>
    <w:r>
      <w:t>A6.4</w:t>
    </w:r>
    <w:r w:rsidRPr="00CD75CB">
      <w:t>-</w:t>
    </w:r>
    <w:r>
      <w:t>FORM</w:t>
    </w:r>
    <w:r w:rsidRPr="00CD75CB">
      <w:t>-</w:t>
    </w:r>
    <w:r>
      <w:t>METH-002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604B3"/>
    <w:multiLevelType w:val="multilevel"/>
    <w:tmpl w:val="F3D6E6FA"/>
    <w:name w:val="Reg26"/>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1" w15:restartNumberingAfterBreak="0">
    <w:nsid w:val="01DF7C84"/>
    <w:multiLevelType w:val="multilevel"/>
    <w:tmpl w:val="F64666FC"/>
    <w:name w:val="Reg3"/>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3.%8"/>
      <w:lvlJc w:val="left"/>
      <w:pPr>
        <w:tabs>
          <w:tab w:val="num" w:pos="720"/>
        </w:tabs>
        <w:ind w:left="720" w:hanging="720"/>
      </w:pPr>
    </w:lvl>
    <w:lvl w:ilvl="8">
      <w:start w:val="1"/>
      <w:numFmt w:val="none"/>
      <w:lvlText w:val="[(%5)%9"/>
      <w:lvlJc w:val="left"/>
      <w:pPr>
        <w:tabs>
          <w:tab w:val="num" w:pos="1440"/>
        </w:tabs>
        <w:ind w:left="1440" w:hanging="720"/>
      </w:pPr>
    </w:lvl>
  </w:abstractNum>
  <w:abstractNum w:abstractNumId="2" w15:restartNumberingAfterBreak="0">
    <w:nsid w:val="01E8A7D6"/>
    <w:multiLevelType w:val="hybridMultilevel"/>
    <w:tmpl w:val="D82806B8"/>
    <w:lvl w:ilvl="0" w:tplc="353CC25E">
      <w:start w:val="1"/>
      <w:numFmt w:val="decimal"/>
      <w:lvlText w:val="%1."/>
      <w:lvlJc w:val="left"/>
      <w:pPr>
        <w:ind w:left="720" w:hanging="360"/>
      </w:pPr>
    </w:lvl>
    <w:lvl w:ilvl="1" w:tplc="26DE898E">
      <w:start w:val="1"/>
      <w:numFmt w:val="lowerLetter"/>
      <w:lvlText w:val="%2."/>
      <w:lvlJc w:val="left"/>
      <w:pPr>
        <w:ind w:left="1440" w:hanging="360"/>
      </w:pPr>
    </w:lvl>
    <w:lvl w:ilvl="2" w:tplc="A42E1B40">
      <w:start w:val="1"/>
      <w:numFmt w:val="lowerRoman"/>
      <w:lvlText w:val="%3."/>
      <w:lvlJc w:val="right"/>
      <w:pPr>
        <w:ind w:left="2160" w:hanging="180"/>
      </w:pPr>
    </w:lvl>
    <w:lvl w:ilvl="3" w:tplc="D430D838">
      <w:start w:val="1"/>
      <w:numFmt w:val="decimal"/>
      <w:lvlText w:val="%4."/>
      <w:lvlJc w:val="left"/>
      <w:pPr>
        <w:ind w:left="2880" w:hanging="360"/>
      </w:pPr>
    </w:lvl>
    <w:lvl w:ilvl="4" w:tplc="83F02CEC">
      <w:start w:val="1"/>
      <w:numFmt w:val="lowerLetter"/>
      <w:lvlText w:val="%5."/>
      <w:lvlJc w:val="left"/>
      <w:pPr>
        <w:ind w:left="3600" w:hanging="360"/>
      </w:pPr>
    </w:lvl>
    <w:lvl w:ilvl="5" w:tplc="B44E86D2">
      <w:start w:val="1"/>
      <w:numFmt w:val="lowerRoman"/>
      <w:lvlText w:val="%6."/>
      <w:lvlJc w:val="right"/>
      <w:pPr>
        <w:ind w:left="4320" w:hanging="180"/>
      </w:pPr>
    </w:lvl>
    <w:lvl w:ilvl="6" w:tplc="B72A6428">
      <w:start w:val="1"/>
      <w:numFmt w:val="decimal"/>
      <w:lvlText w:val="%7."/>
      <w:lvlJc w:val="left"/>
      <w:pPr>
        <w:ind w:left="5040" w:hanging="360"/>
      </w:pPr>
    </w:lvl>
    <w:lvl w:ilvl="7" w:tplc="B3D8DA3E">
      <w:start w:val="1"/>
      <w:numFmt w:val="lowerLetter"/>
      <w:lvlText w:val="%8."/>
      <w:lvlJc w:val="left"/>
      <w:pPr>
        <w:ind w:left="5760" w:hanging="360"/>
      </w:pPr>
    </w:lvl>
    <w:lvl w:ilvl="8" w:tplc="06DA2510">
      <w:start w:val="1"/>
      <w:numFmt w:val="lowerRoman"/>
      <w:lvlText w:val="%9."/>
      <w:lvlJc w:val="right"/>
      <w:pPr>
        <w:ind w:left="6480" w:hanging="180"/>
      </w:pPr>
    </w:lvl>
  </w:abstractNum>
  <w:abstractNum w:abstractNumId="3" w15:restartNumberingAfterBreak="0">
    <w:nsid w:val="03FC662A"/>
    <w:multiLevelType w:val="hybridMultilevel"/>
    <w:tmpl w:val="FFFFFFFF"/>
    <w:lvl w:ilvl="0" w:tplc="4DC2869E">
      <w:start w:val="1"/>
      <w:numFmt w:val="bullet"/>
      <w:lvlText w:val=""/>
      <w:lvlJc w:val="left"/>
      <w:pPr>
        <w:ind w:left="720" w:hanging="360"/>
      </w:pPr>
      <w:rPr>
        <w:rFonts w:ascii="Symbol" w:hAnsi="Symbol" w:hint="default"/>
      </w:rPr>
    </w:lvl>
    <w:lvl w:ilvl="1" w:tplc="D6C4C61C">
      <w:start w:val="1"/>
      <w:numFmt w:val="bullet"/>
      <w:lvlText w:val="o"/>
      <w:lvlJc w:val="left"/>
      <w:pPr>
        <w:ind w:left="1440" w:hanging="360"/>
      </w:pPr>
      <w:rPr>
        <w:rFonts w:ascii="Courier New" w:hAnsi="Courier New" w:hint="default"/>
      </w:rPr>
    </w:lvl>
    <w:lvl w:ilvl="2" w:tplc="931E4B68">
      <w:start w:val="1"/>
      <w:numFmt w:val="bullet"/>
      <w:lvlText w:val=""/>
      <w:lvlJc w:val="left"/>
      <w:pPr>
        <w:ind w:left="2160" w:hanging="360"/>
      </w:pPr>
      <w:rPr>
        <w:rFonts w:ascii="Wingdings" w:hAnsi="Wingdings" w:hint="default"/>
      </w:rPr>
    </w:lvl>
    <w:lvl w:ilvl="3" w:tplc="30D854AE">
      <w:start w:val="1"/>
      <w:numFmt w:val="bullet"/>
      <w:lvlText w:val=""/>
      <w:lvlJc w:val="left"/>
      <w:pPr>
        <w:ind w:left="2880" w:hanging="360"/>
      </w:pPr>
      <w:rPr>
        <w:rFonts w:ascii="Symbol" w:hAnsi="Symbol" w:hint="default"/>
      </w:rPr>
    </w:lvl>
    <w:lvl w:ilvl="4" w:tplc="1626321C">
      <w:start w:val="1"/>
      <w:numFmt w:val="bullet"/>
      <w:lvlText w:val="o"/>
      <w:lvlJc w:val="left"/>
      <w:pPr>
        <w:ind w:left="3600" w:hanging="360"/>
      </w:pPr>
      <w:rPr>
        <w:rFonts w:ascii="Courier New" w:hAnsi="Courier New" w:hint="default"/>
      </w:rPr>
    </w:lvl>
    <w:lvl w:ilvl="5" w:tplc="DAB4E7C0">
      <w:start w:val="1"/>
      <w:numFmt w:val="bullet"/>
      <w:lvlText w:val=""/>
      <w:lvlJc w:val="left"/>
      <w:pPr>
        <w:ind w:left="4320" w:hanging="360"/>
      </w:pPr>
      <w:rPr>
        <w:rFonts w:ascii="Wingdings" w:hAnsi="Wingdings" w:hint="default"/>
      </w:rPr>
    </w:lvl>
    <w:lvl w:ilvl="6" w:tplc="3E50CF78">
      <w:start w:val="1"/>
      <w:numFmt w:val="bullet"/>
      <w:lvlText w:val=""/>
      <w:lvlJc w:val="left"/>
      <w:pPr>
        <w:ind w:left="5040" w:hanging="360"/>
      </w:pPr>
      <w:rPr>
        <w:rFonts w:ascii="Symbol" w:hAnsi="Symbol" w:hint="default"/>
      </w:rPr>
    </w:lvl>
    <w:lvl w:ilvl="7" w:tplc="DEF4EB00">
      <w:start w:val="1"/>
      <w:numFmt w:val="bullet"/>
      <w:lvlText w:val="o"/>
      <w:lvlJc w:val="left"/>
      <w:pPr>
        <w:ind w:left="5760" w:hanging="360"/>
      </w:pPr>
      <w:rPr>
        <w:rFonts w:ascii="Courier New" w:hAnsi="Courier New" w:hint="default"/>
      </w:rPr>
    </w:lvl>
    <w:lvl w:ilvl="8" w:tplc="1EF2A90A">
      <w:start w:val="1"/>
      <w:numFmt w:val="bullet"/>
      <w:lvlText w:val=""/>
      <w:lvlJc w:val="left"/>
      <w:pPr>
        <w:ind w:left="6480" w:hanging="360"/>
      </w:pPr>
      <w:rPr>
        <w:rFonts w:ascii="Wingdings" w:hAnsi="Wingdings" w:hint="default"/>
      </w:rPr>
    </w:lvl>
  </w:abstractNum>
  <w:abstractNum w:abstractNumId="4" w15:restartNumberingAfterBreak="0">
    <w:nsid w:val="03FD296B"/>
    <w:multiLevelType w:val="multilevel"/>
    <w:tmpl w:val="6C5A1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4611A94"/>
    <w:multiLevelType w:val="multilevel"/>
    <w:tmpl w:val="8DCEB8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5705AAA"/>
    <w:multiLevelType w:val="hybridMultilevel"/>
    <w:tmpl w:val="EF844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417693"/>
    <w:multiLevelType w:val="multilevel"/>
    <w:tmpl w:val="648A687A"/>
    <w:styleLink w:val="SDMTableBoxParaNumberedList"/>
    <w:lvl w:ilvl="0">
      <w:start w:val="1"/>
      <w:numFmt w:val="none"/>
      <w:pStyle w:val="SDMTableBoxParaNumbered"/>
      <w:lvlText w:val="%1"/>
      <w:lvlJc w:val="left"/>
      <w:pPr>
        <w:tabs>
          <w:tab w:val="num" w:pos="0"/>
        </w:tabs>
        <w:ind w:left="0" w:firstLine="0"/>
      </w:pPr>
      <w:rPr>
        <w:rFonts w:hint="default"/>
      </w:rPr>
    </w:lvl>
    <w:lvl w:ilvl="1">
      <w:start w:val="1"/>
      <w:numFmt w:val="decimal"/>
      <w:lvlText w:val="%2."/>
      <w:lvlJc w:val="left"/>
      <w:pPr>
        <w:tabs>
          <w:tab w:val="num" w:pos="397"/>
        </w:tabs>
        <w:ind w:left="397" w:hanging="397"/>
      </w:pPr>
      <w:rPr>
        <w:rFonts w:hint="default"/>
      </w:rPr>
    </w:lvl>
    <w:lvl w:ilvl="2">
      <w:start w:val="1"/>
      <w:numFmt w:val="lowerLetter"/>
      <w:lvlText w:val="(%3)"/>
      <w:lvlJc w:val="left"/>
      <w:pPr>
        <w:tabs>
          <w:tab w:val="num" w:pos="851"/>
        </w:tabs>
        <w:ind w:left="851" w:hanging="454"/>
      </w:pPr>
      <w:rPr>
        <w:rFonts w:hint="default"/>
      </w:rPr>
    </w:lvl>
    <w:lvl w:ilvl="3">
      <w:start w:val="1"/>
      <w:numFmt w:val="lowerRoman"/>
      <w:lvlText w:val="(%4)"/>
      <w:lvlJc w:val="left"/>
      <w:pPr>
        <w:tabs>
          <w:tab w:val="num" w:pos="1304"/>
        </w:tabs>
        <w:ind w:left="1304" w:hanging="453"/>
      </w:pPr>
      <w:rPr>
        <w:rFonts w:hint="default"/>
      </w:rPr>
    </w:lvl>
    <w:lvl w:ilvl="4">
      <w:start w:val="1"/>
      <w:numFmt w:val="lowerLetter"/>
      <w:lvlText w:val="%5."/>
      <w:lvlJc w:val="left"/>
      <w:pPr>
        <w:tabs>
          <w:tab w:val="num" w:pos="1644"/>
        </w:tabs>
        <w:ind w:left="1644" w:hanging="340"/>
      </w:pPr>
      <w:rPr>
        <w:rFonts w:hint="default"/>
      </w:rPr>
    </w:lvl>
    <w:lvl w:ilvl="5">
      <w:start w:val="1"/>
      <w:numFmt w:val="lowerRoman"/>
      <w:lvlText w:val="%6."/>
      <w:lvlJc w:val="left"/>
      <w:pPr>
        <w:tabs>
          <w:tab w:val="num" w:pos="1956"/>
        </w:tabs>
        <w:ind w:left="1956" w:hanging="312"/>
      </w:pPr>
      <w:rPr>
        <w:rFonts w:hint="default"/>
      </w:rPr>
    </w:lvl>
    <w:lvl w:ilvl="6">
      <w:start w:val="1"/>
      <w:numFmt w:val="none"/>
      <w:lvlText w:val="%7"/>
      <w:lvlJc w:val="left"/>
      <w:pPr>
        <w:ind w:left="0" w:firstLine="0"/>
      </w:pPr>
      <w:rPr>
        <w:rFonts w:hint="default"/>
      </w:rPr>
    </w:lvl>
    <w:lvl w:ilvl="7">
      <w:start w:val="1"/>
      <w:numFmt w:val="none"/>
      <w:lvlText w:val="%8"/>
      <w:lvlJc w:val="left"/>
      <w:pPr>
        <w:tabs>
          <w:tab w:val="num" w:pos="0"/>
        </w:tabs>
        <w:ind w:left="0" w:firstLine="0"/>
      </w:pPr>
      <w:rPr>
        <w:rFonts w:hint="default"/>
      </w:rPr>
    </w:lvl>
    <w:lvl w:ilvl="8">
      <w:start w:val="1"/>
      <w:numFmt w:val="none"/>
      <w:lvlText w:val="%9"/>
      <w:lvlJc w:val="left"/>
      <w:pPr>
        <w:ind w:left="0" w:firstLine="0"/>
      </w:pPr>
      <w:rPr>
        <w:rFonts w:hint="default"/>
      </w:rPr>
    </w:lvl>
  </w:abstractNum>
  <w:abstractNum w:abstractNumId="8" w15:restartNumberingAfterBreak="0">
    <w:nsid w:val="07B67F78"/>
    <w:multiLevelType w:val="multilevel"/>
    <w:tmpl w:val="CECC14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7EA8553"/>
    <w:multiLevelType w:val="hybridMultilevel"/>
    <w:tmpl w:val="AEE29F46"/>
    <w:lvl w:ilvl="0" w:tplc="E8AEFF2A">
      <w:start w:val="1"/>
      <w:numFmt w:val="bullet"/>
      <w:lvlText w:val="-"/>
      <w:lvlJc w:val="left"/>
      <w:pPr>
        <w:ind w:left="720" w:hanging="360"/>
      </w:pPr>
      <w:rPr>
        <w:rFonts w:ascii="Aptos" w:hAnsi="Aptos" w:hint="default"/>
      </w:rPr>
    </w:lvl>
    <w:lvl w:ilvl="1" w:tplc="71009CC4">
      <w:start w:val="1"/>
      <w:numFmt w:val="bullet"/>
      <w:lvlText w:val="o"/>
      <w:lvlJc w:val="left"/>
      <w:pPr>
        <w:ind w:left="1440" w:hanging="360"/>
      </w:pPr>
      <w:rPr>
        <w:rFonts w:ascii="Courier New" w:hAnsi="Courier New" w:hint="default"/>
      </w:rPr>
    </w:lvl>
    <w:lvl w:ilvl="2" w:tplc="BAAA98E4">
      <w:start w:val="1"/>
      <w:numFmt w:val="bullet"/>
      <w:lvlText w:val=""/>
      <w:lvlJc w:val="left"/>
      <w:pPr>
        <w:ind w:left="2160" w:hanging="360"/>
      </w:pPr>
      <w:rPr>
        <w:rFonts w:ascii="Wingdings" w:hAnsi="Wingdings" w:hint="default"/>
      </w:rPr>
    </w:lvl>
    <w:lvl w:ilvl="3" w:tplc="F296FB1A">
      <w:start w:val="1"/>
      <w:numFmt w:val="bullet"/>
      <w:lvlText w:val=""/>
      <w:lvlJc w:val="left"/>
      <w:pPr>
        <w:ind w:left="2880" w:hanging="360"/>
      </w:pPr>
      <w:rPr>
        <w:rFonts w:ascii="Symbol" w:hAnsi="Symbol" w:hint="default"/>
      </w:rPr>
    </w:lvl>
    <w:lvl w:ilvl="4" w:tplc="D436B526">
      <w:start w:val="1"/>
      <w:numFmt w:val="bullet"/>
      <w:lvlText w:val="o"/>
      <w:lvlJc w:val="left"/>
      <w:pPr>
        <w:ind w:left="3600" w:hanging="360"/>
      </w:pPr>
      <w:rPr>
        <w:rFonts w:ascii="Courier New" w:hAnsi="Courier New" w:hint="default"/>
      </w:rPr>
    </w:lvl>
    <w:lvl w:ilvl="5" w:tplc="FE468F20">
      <w:start w:val="1"/>
      <w:numFmt w:val="bullet"/>
      <w:lvlText w:val=""/>
      <w:lvlJc w:val="left"/>
      <w:pPr>
        <w:ind w:left="4320" w:hanging="360"/>
      </w:pPr>
      <w:rPr>
        <w:rFonts w:ascii="Wingdings" w:hAnsi="Wingdings" w:hint="default"/>
      </w:rPr>
    </w:lvl>
    <w:lvl w:ilvl="6" w:tplc="3B72DA44">
      <w:start w:val="1"/>
      <w:numFmt w:val="bullet"/>
      <w:lvlText w:val=""/>
      <w:lvlJc w:val="left"/>
      <w:pPr>
        <w:ind w:left="5040" w:hanging="360"/>
      </w:pPr>
      <w:rPr>
        <w:rFonts w:ascii="Symbol" w:hAnsi="Symbol" w:hint="default"/>
      </w:rPr>
    </w:lvl>
    <w:lvl w:ilvl="7" w:tplc="07326A30">
      <w:start w:val="1"/>
      <w:numFmt w:val="bullet"/>
      <w:lvlText w:val="o"/>
      <w:lvlJc w:val="left"/>
      <w:pPr>
        <w:ind w:left="5760" w:hanging="360"/>
      </w:pPr>
      <w:rPr>
        <w:rFonts w:ascii="Courier New" w:hAnsi="Courier New" w:hint="default"/>
      </w:rPr>
    </w:lvl>
    <w:lvl w:ilvl="8" w:tplc="4FDAEFD0">
      <w:start w:val="1"/>
      <w:numFmt w:val="bullet"/>
      <w:lvlText w:val=""/>
      <w:lvlJc w:val="left"/>
      <w:pPr>
        <w:ind w:left="6480" w:hanging="360"/>
      </w:pPr>
      <w:rPr>
        <w:rFonts w:ascii="Wingdings" w:hAnsi="Wingdings" w:hint="default"/>
      </w:rPr>
    </w:lvl>
  </w:abstractNum>
  <w:abstractNum w:abstractNumId="10" w15:restartNumberingAfterBreak="0">
    <w:nsid w:val="085D17D4"/>
    <w:multiLevelType w:val="multilevel"/>
    <w:tmpl w:val="8A2AF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8CC27FB"/>
    <w:multiLevelType w:val="hybridMultilevel"/>
    <w:tmpl w:val="FFFFFFFF"/>
    <w:lvl w:ilvl="0" w:tplc="0FBAAEDE">
      <w:start w:val="1"/>
      <w:numFmt w:val="decimal"/>
      <w:lvlText w:val="%1."/>
      <w:lvlJc w:val="left"/>
      <w:pPr>
        <w:ind w:left="720" w:hanging="360"/>
      </w:pPr>
    </w:lvl>
    <w:lvl w:ilvl="1" w:tplc="055AC296">
      <w:start w:val="1"/>
      <w:numFmt w:val="lowerLetter"/>
      <w:lvlText w:val="%2."/>
      <w:lvlJc w:val="left"/>
      <w:pPr>
        <w:ind w:left="1440" w:hanging="360"/>
      </w:pPr>
    </w:lvl>
    <w:lvl w:ilvl="2" w:tplc="9F5AE21C">
      <w:start w:val="1"/>
      <w:numFmt w:val="lowerRoman"/>
      <w:lvlText w:val="%3."/>
      <w:lvlJc w:val="right"/>
      <w:pPr>
        <w:ind w:left="2160" w:hanging="180"/>
      </w:pPr>
    </w:lvl>
    <w:lvl w:ilvl="3" w:tplc="D9D088B6">
      <w:start w:val="1"/>
      <w:numFmt w:val="decimal"/>
      <w:lvlText w:val="%4."/>
      <w:lvlJc w:val="left"/>
      <w:pPr>
        <w:ind w:left="2880" w:hanging="360"/>
      </w:pPr>
    </w:lvl>
    <w:lvl w:ilvl="4" w:tplc="1CFC33B6">
      <w:start w:val="1"/>
      <w:numFmt w:val="lowerLetter"/>
      <w:lvlText w:val="%5."/>
      <w:lvlJc w:val="left"/>
      <w:pPr>
        <w:ind w:left="3600" w:hanging="360"/>
      </w:pPr>
    </w:lvl>
    <w:lvl w:ilvl="5" w:tplc="4D366F82">
      <w:start w:val="1"/>
      <w:numFmt w:val="lowerRoman"/>
      <w:lvlText w:val="%6."/>
      <w:lvlJc w:val="right"/>
      <w:pPr>
        <w:ind w:left="4320" w:hanging="180"/>
      </w:pPr>
    </w:lvl>
    <w:lvl w:ilvl="6" w:tplc="67908890">
      <w:start w:val="1"/>
      <w:numFmt w:val="decimal"/>
      <w:lvlText w:val="%7."/>
      <w:lvlJc w:val="left"/>
      <w:pPr>
        <w:ind w:left="5040" w:hanging="360"/>
      </w:pPr>
    </w:lvl>
    <w:lvl w:ilvl="7" w:tplc="9DCC3540">
      <w:start w:val="1"/>
      <w:numFmt w:val="lowerLetter"/>
      <w:lvlText w:val="%8."/>
      <w:lvlJc w:val="left"/>
      <w:pPr>
        <w:ind w:left="5760" w:hanging="360"/>
      </w:pPr>
    </w:lvl>
    <w:lvl w:ilvl="8" w:tplc="3910967E">
      <w:start w:val="1"/>
      <w:numFmt w:val="lowerRoman"/>
      <w:lvlText w:val="%9."/>
      <w:lvlJc w:val="right"/>
      <w:pPr>
        <w:ind w:left="6480" w:hanging="180"/>
      </w:pPr>
    </w:lvl>
  </w:abstractNum>
  <w:abstractNum w:abstractNumId="12" w15:restartNumberingAfterBreak="0">
    <w:nsid w:val="097C1821"/>
    <w:multiLevelType w:val="multilevel"/>
    <w:tmpl w:val="B3BE1B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AAC1DEE"/>
    <w:multiLevelType w:val="multilevel"/>
    <w:tmpl w:val="EBF238F8"/>
    <w:name w:val="Reg7"/>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3.%8"/>
      <w:lvlJc w:val="left"/>
      <w:pPr>
        <w:tabs>
          <w:tab w:val="num" w:pos="720"/>
        </w:tabs>
        <w:ind w:left="720" w:hanging="720"/>
      </w:pPr>
    </w:lvl>
    <w:lvl w:ilvl="8">
      <w:start w:val="1"/>
      <w:numFmt w:val="none"/>
      <w:lvlText w:val="[(%5)%9"/>
      <w:lvlJc w:val="left"/>
      <w:pPr>
        <w:tabs>
          <w:tab w:val="num" w:pos="1440"/>
        </w:tabs>
        <w:ind w:left="1440" w:hanging="720"/>
      </w:pPr>
    </w:lvl>
  </w:abstractNum>
  <w:abstractNum w:abstractNumId="14" w15:restartNumberingAfterBreak="0">
    <w:nsid w:val="0BAA3794"/>
    <w:multiLevelType w:val="hybridMultilevel"/>
    <w:tmpl w:val="D766E7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BD21D4D"/>
    <w:multiLevelType w:val="multilevel"/>
    <w:tmpl w:val="81E46A44"/>
    <w:lvl w:ilvl="0">
      <w:start w:val="1"/>
      <w:numFmt w:val="decimal"/>
      <w:lvlText w:val="%1."/>
      <w:lvlJc w:val="left"/>
      <w:pPr>
        <w:tabs>
          <w:tab w:val="num" w:pos="709"/>
        </w:tabs>
        <w:ind w:left="709" w:hanging="709"/>
      </w:pPr>
      <w:rPr>
        <w:rFonts w:hint="default"/>
      </w:rPr>
    </w:lvl>
    <w:lvl w:ilvl="1">
      <w:start w:val="1"/>
      <w:numFmt w:val="decimal"/>
      <w:pStyle w:val="SDMHead2"/>
      <w:lvlText w:val="%1.%2."/>
      <w:lvlJc w:val="left"/>
      <w:pPr>
        <w:tabs>
          <w:tab w:val="num" w:pos="709"/>
        </w:tabs>
        <w:ind w:left="709" w:hanging="709"/>
      </w:pPr>
      <w:rPr>
        <w:rFonts w:hint="default"/>
      </w:rPr>
    </w:lvl>
    <w:lvl w:ilvl="2">
      <w:start w:val="1"/>
      <w:numFmt w:val="decimal"/>
      <w:pStyle w:val="SDMHead3"/>
      <w:lvlText w:val="%1.%2.%3."/>
      <w:lvlJc w:val="left"/>
      <w:pPr>
        <w:tabs>
          <w:tab w:val="num" w:pos="709"/>
        </w:tabs>
        <w:ind w:left="709" w:hanging="709"/>
      </w:pPr>
      <w:rPr>
        <w:rFonts w:hint="default"/>
      </w:rPr>
    </w:lvl>
    <w:lvl w:ilvl="3">
      <w:start w:val="1"/>
      <w:numFmt w:val="decimal"/>
      <w:pStyle w:val="SDMHead4"/>
      <w:lvlText w:val="%1.%2.%3.%4."/>
      <w:lvlJc w:val="left"/>
      <w:pPr>
        <w:tabs>
          <w:tab w:val="num" w:pos="1418"/>
        </w:tabs>
        <w:ind w:left="1418" w:hanging="1418"/>
      </w:pPr>
      <w:rPr>
        <w:rFonts w:hint="default"/>
      </w:rPr>
    </w:lvl>
    <w:lvl w:ilvl="4">
      <w:start w:val="1"/>
      <w:numFmt w:val="decimal"/>
      <w:pStyle w:val="SDMHead5"/>
      <w:lvlText w:val="%1.%2.%3.%4.%5."/>
      <w:lvlJc w:val="left"/>
      <w:pPr>
        <w:tabs>
          <w:tab w:val="num" w:pos="1418"/>
        </w:tabs>
        <w:ind w:left="1418" w:hanging="1418"/>
      </w:pPr>
      <w:rPr>
        <w:rFonts w:hint="default"/>
        <w:b/>
        <w:i w:val="0"/>
      </w:rPr>
    </w:lvl>
    <w:lvl w:ilvl="5">
      <w:start w:val="1"/>
      <w:numFmt w:val="none"/>
      <w:suff w:val="nothing"/>
      <w:lvlText w:val=""/>
      <w:lvlJc w:val="left"/>
      <w:pPr>
        <w:ind w:left="-32767" w:firstLine="0"/>
      </w:pPr>
      <w:rPr>
        <w:rFonts w:hint="default"/>
      </w:rPr>
    </w:lvl>
    <w:lvl w:ilvl="6">
      <w:start w:val="1"/>
      <w:numFmt w:val="none"/>
      <w:suff w:val="nothing"/>
      <w:lvlText w:val=""/>
      <w:lvlJc w:val="left"/>
      <w:pPr>
        <w:ind w:left="-32767" w:firstLine="0"/>
      </w:pPr>
      <w:rPr>
        <w:rFonts w:hint="default"/>
      </w:rPr>
    </w:lvl>
    <w:lvl w:ilvl="7">
      <w:start w:val="1"/>
      <w:numFmt w:val="none"/>
      <w:suff w:val="nothing"/>
      <w:lvlText w:val=""/>
      <w:lvlJc w:val="left"/>
      <w:pPr>
        <w:ind w:left="-32767" w:firstLine="0"/>
      </w:pPr>
      <w:rPr>
        <w:rFonts w:hint="default"/>
      </w:rPr>
    </w:lvl>
    <w:lvl w:ilvl="8">
      <w:start w:val="1"/>
      <w:numFmt w:val="none"/>
      <w:suff w:val="nothing"/>
      <w:lvlText w:val=""/>
      <w:lvlJc w:val="left"/>
      <w:pPr>
        <w:ind w:left="-32767" w:firstLine="0"/>
      </w:pPr>
      <w:rPr>
        <w:rFonts w:hint="default"/>
      </w:rPr>
    </w:lvl>
  </w:abstractNum>
  <w:abstractNum w:abstractNumId="16" w15:restartNumberingAfterBreak="0">
    <w:nsid w:val="0F527D05"/>
    <w:multiLevelType w:val="hybridMultilevel"/>
    <w:tmpl w:val="D66CAEE6"/>
    <w:lvl w:ilvl="0" w:tplc="04090001">
      <w:start w:val="1"/>
      <w:numFmt w:val="bullet"/>
      <w:pStyle w:val="TOCHeading"/>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FAC7D50"/>
    <w:multiLevelType w:val="multilevel"/>
    <w:tmpl w:val="8C1235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FB12BA1"/>
    <w:multiLevelType w:val="multilevel"/>
    <w:tmpl w:val="45C27C68"/>
    <w:styleLink w:val="SDMFootnoteList"/>
    <w:lvl w:ilvl="0">
      <w:start w:val="1"/>
      <w:numFmt w:val="none"/>
      <w:pStyle w:val="FootnoteText"/>
      <w:suff w:val="nothing"/>
      <w:lvlText w:val=""/>
      <w:lvlJc w:val="left"/>
      <w:pPr>
        <w:ind w:left="227" w:hanging="227"/>
      </w:pPr>
      <w:rPr>
        <w:rFonts w:hint="default"/>
      </w:rPr>
    </w:lvl>
    <w:lvl w:ilvl="1">
      <w:start w:val="1"/>
      <w:numFmt w:val="lowerLetter"/>
      <w:lvlText w:val="(%2)"/>
      <w:lvlJc w:val="left"/>
      <w:pPr>
        <w:ind w:left="624" w:hanging="397"/>
      </w:pPr>
      <w:rPr>
        <w:rFonts w:hint="default"/>
      </w:rPr>
    </w:lvl>
    <w:lvl w:ilvl="2">
      <w:start w:val="1"/>
      <w:numFmt w:val="lowerRoman"/>
      <w:lvlText w:val="(%3)"/>
      <w:lvlJc w:val="left"/>
      <w:pPr>
        <w:ind w:left="1021" w:hanging="397"/>
      </w:pPr>
      <w:rPr>
        <w:rFonts w:hint="default"/>
      </w:rPr>
    </w:lvl>
    <w:lvl w:ilvl="3">
      <w:start w:val="1"/>
      <w:numFmt w:val="lowerLetter"/>
      <w:lvlText w:val="%4."/>
      <w:lvlJc w:val="left"/>
      <w:pPr>
        <w:ind w:left="1418" w:hanging="397"/>
      </w:pPr>
      <w:rPr>
        <w:rFonts w:hint="default"/>
      </w:rPr>
    </w:lvl>
    <w:lvl w:ilvl="4">
      <w:start w:val="1"/>
      <w:numFmt w:val="lowerRoman"/>
      <w:lvlText w:val="%5."/>
      <w:lvlJc w:val="left"/>
      <w:pPr>
        <w:ind w:left="1814" w:hanging="396"/>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9" w15:restartNumberingAfterBreak="0">
    <w:nsid w:val="0FD52077"/>
    <w:multiLevelType w:val="multilevel"/>
    <w:tmpl w:val="A28EC812"/>
    <w:styleLink w:val="SDMMethEquationNrList"/>
    <w:lvl w:ilvl="0">
      <w:start w:val="1"/>
      <w:numFmt w:val="decimal"/>
      <w:suff w:val="nothing"/>
      <w:lvlText w:val="Equation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0" w15:restartNumberingAfterBreak="0">
    <w:nsid w:val="10BF2A88"/>
    <w:multiLevelType w:val="multilevel"/>
    <w:tmpl w:val="87F2B1A4"/>
    <w:name w:val="Reg5"/>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3.%8"/>
      <w:lvlJc w:val="left"/>
      <w:pPr>
        <w:tabs>
          <w:tab w:val="num" w:pos="720"/>
        </w:tabs>
        <w:ind w:left="720" w:hanging="720"/>
      </w:pPr>
    </w:lvl>
    <w:lvl w:ilvl="8">
      <w:start w:val="1"/>
      <w:numFmt w:val="none"/>
      <w:lvlText w:val="[(%5)%9"/>
      <w:lvlJc w:val="left"/>
      <w:pPr>
        <w:tabs>
          <w:tab w:val="num" w:pos="1440"/>
        </w:tabs>
        <w:ind w:left="1440" w:hanging="720"/>
      </w:pPr>
    </w:lvl>
  </w:abstractNum>
  <w:abstractNum w:abstractNumId="21" w15:restartNumberingAfterBreak="0">
    <w:nsid w:val="11D728A7"/>
    <w:multiLevelType w:val="hybridMultilevel"/>
    <w:tmpl w:val="42484956"/>
    <w:lvl w:ilvl="0" w:tplc="08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22" w15:restartNumberingAfterBreak="0">
    <w:nsid w:val="14233F79"/>
    <w:multiLevelType w:val="multilevel"/>
    <w:tmpl w:val="C60EC370"/>
    <w:name w:val="Reg23"/>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23" w15:restartNumberingAfterBreak="0">
    <w:nsid w:val="14357087"/>
    <w:multiLevelType w:val="multilevel"/>
    <w:tmpl w:val="3CC81634"/>
    <w:styleLink w:val="SDMTableBoxFigureFootnoteFullPageList"/>
    <w:lvl w:ilvl="0">
      <w:start w:val="1"/>
      <w:numFmt w:val="lowerLetter"/>
      <w:pStyle w:val="SDMTableBoxFigureFootnoteFullPage"/>
      <w:lvlText w:val="(%1)"/>
      <w:lvlJc w:val="left"/>
      <w:pPr>
        <w:ind w:left="142" w:hanging="255"/>
      </w:pPr>
      <w:rPr>
        <w:rFonts w:hint="default"/>
        <w:vertAlign w:val="superscript"/>
      </w:rPr>
    </w:lvl>
    <w:lvl w:ilvl="1">
      <w:start w:val="1"/>
      <w:numFmt w:val="decimal"/>
      <w:pStyle w:val="SDMTableBoxFigureFootnoteSL1FullPage"/>
      <w:lvlText w:val="%2."/>
      <w:lvlJc w:val="left"/>
      <w:pPr>
        <w:ind w:left="454" w:hanging="312"/>
      </w:pPr>
      <w:rPr>
        <w:rFonts w:hint="default"/>
      </w:rPr>
    </w:lvl>
    <w:lvl w:ilvl="2">
      <w:start w:val="1"/>
      <w:numFmt w:val="lowerLetter"/>
      <w:pStyle w:val="SDMTableBoxFigureFootnoteSL2FullPage"/>
      <w:lvlText w:val="(%3)"/>
      <w:lvlJc w:val="left"/>
      <w:pPr>
        <w:ind w:left="851" w:hanging="397"/>
      </w:pPr>
      <w:rPr>
        <w:rFonts w:hint="default"/>
      </w:rPr>
    </w:lvl>
    <w:lvl w:ilvl="3">
      <w:start w:val="1"/>
      <w:numFmt w:val="lowerRoman"/>
      <w:pStyle w:val="SDMTableBoxFigureFootnoteSL3FullPage"/>
      <w:lvlText w:val="(%4)"/>
      <w:lvlJc w:val="left"/>
      <w:pPr>
        <w:ind w:left="1247" w:hanging="396"/>
      </w:pPr>
      <w:rPr>
        <w:rFonts w:hint="default"/>
      </w:rPr>
    </w:lvl>
    <w:lvl w:ilvl="4">
      <w:start w:val="1"/>
      <w:numFmt w:val="lowerLetter"/>
      <w:pStyle w:val="SDMTableBoxFigureFootnoteSL4FullPage"/>
      <w:lvlText w:val="%5."/>
      <w:lvlJc w:val="left"/>
      <w:pPr>
        <w:ind w:left="1588" w:hanging="341"/>
      </w:pPr>
      <w:rPr>
        <w:rFonts w:hint="default"/>
      </w:rPr>
    </w:lvl>
    <w:lvl w:ilvl="5">
      <w:start w:val="1"/>
      <w:numFmt w:val="lowerRoman"/>
      <w:pStyle w:val="SDMTableBoxFigureFootnoteSL5FullPage"/>
      <w:lvlText w:val="%6."/>
      <w:lvlJc w:val="left"/>
      <w:pPr>
        <w:ind w:left="2041" w:hanging="453"/>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4" w15:restartNumberingAfterBreak="0">
    <w:nsid w:val="145420C1"/>
    <w:multiLevelType w:val="multilevel"/>
    <w:tmpl w:val="A17458AC"/>
    <w:name w:val="Reg19"/>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25" w15:restartNumberingAfterBreak="0">
    <w:nsid w:val="155523F4"/>
    <w:multiLevelType w:val="multilevel"/>
    <w:tmpl w:val="A6C8D0E2"/>
    <w:name w:val="Reg30"/>
    <w:lvl w:ilvl="0">
      <w:start w:val="1"/>
      <w:numFmt w:val="upperRoman"/>
      <w:suff w:val="space"/>
      <w:lvlText w:val="%1. "/>
      <w:lvlJc w:val="center"/>
      <w:pPr>
        <w:ind w:left="0" w:firstLine="0"/>
      </w:pPr>
      <w:rPr>
        <w:rFonts w:ascii="Times New Roman" w:hAnsi="Times New Roman" w:hint="default"/>
        <w:b/>
        <w:i w:val="0"/>
        <w:sz w:val="22"/>
      </w:rPr>
    </w:lvl>
    <w:lvl w:ilvl="1">
      <w:start w:val="1"/>
      <w:numFmt w:val="upperLetter"/>
      <w:suff w:val="space"/>
      <w:lvlText w:val="%2. "/>
      <w:lvlJc w:val="center"/>
      <w:pPr>
        <w:ind w:left="0" w:firstLine="0"/>
      </w:pPr>
      <w:rPr>
        <w:rFonts w:hint="default"/>
        <w:b/>
        <w:sz w:val="22"/>
        <w:u w:val="none"/>
      </w:rPr>
    </w:lvl>
    <w:lvl w:ilvl="2">
      <w:start w:val="1"/>
      <w:numFmt w:val="decimal"/>
      <w:suff w:val="space"/>
      <w:lvlText w:val="%3. "/>
      <w:lvlJc w:val="center"/>
      <w:pPr>
        <w:ind w:left="0" w:firstLine="0"/>
      </w:pPr>
      <w:rPr>
        <w:rFonts w:hint="default"/>
        <w:b w:val="0"/>
        <w:sz w:val="22"/>
        <w:u w:val="none"/>
      </w:rPr>
    </w:lvl>
    <w:lvl w:ilvl="3">
      <w:start w:val="1"/>
      <w:numFmt w:val="decimal"/>
      <w:lvlRestart w:val="0"/>
      <w:lvlText w:val="%4."/>
      <w:lvlJc w:val="left"/>
      <w:pPr>
        <w:tabs>
          <w:tab w:val="num" w:pos="720"/>
        </w:tabs>
        <w:ind w:left="0" w:firstLine="0"/>
      </w:pPr>
      <w:rPr>
        <w:rFonts w:hint="default"/>
        <w:b w:val="0"/>
        <w:sz w:val="22"/>
      </w:rPr>
    </w:lvl>
    <w:lvl w:ilvl="4">
      <w:start w:val="1"/>
      <w:numFmt w:val="lowerLetter"/>
      <w:lvlText w:val="(%5)"/>
      <w:lvlJc w:val="left"/>
      <w:pPr>
        <w:tabs>
          <w:tab w:val="num" w:pos="1440"/>
        </w:tabs>
        <w:ind w:left="1440" w:hanging="720"/>
      </w:pPr>
      <w:rPr>
        <w:rFonts w:hint="default"/>
        <w:b w:val="0"/>
        <w:sz w:val="22"/>
      </w:rPr>
    </w:lvl>
    <w:lvl w:ilvl="5">
      <w:start w:val="1"/>
      <w:numFmt w:val="lowerRoman"/>
      <w:lvlText w:val="(%6)"/>
      <w:lvlJc w:val="right"/>
      <w:pPr>
        <w:tabs>
          <w:tab w:val="num" w:pos="2160"/>
        </w:tabs>
        <w:ind w:left="2160" w:hanging="573"/>
      </w:pPr>
      <w:rPr>
        <w:rFonts w:hint="default"/>
      </w:r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rPr>
        <w:rFonts w:hint="default"/>
      </w:rPr>
    </w:lvl>
    <w:lvl w:ilvl="8">
      <w:start w:val="1"/>
      <w:numFmt w:val="none"/>
      <w:lvlText w:val="[(%5)%9"/>
      <w:lvlJc w:val="left"/>
      <w:pPr>
        <w:tabs>
          <w:tab w:val="num" w:pos="1440"/>
        </w:tabs>
        <w:ind w:left="1440" w:hanging="720"/>
      </w:pPr>
      <w:rPr>
        <w:rFonts w:hint="default"/>
      </w:rPr>
    </w:lvl>
  </w:abstractNum>
  <w:abstractNum w:abstractNumId="26" w15:restartNumberingAfterBreak="0">
    <w:nsid w:val="15EB1E20"/>
    <w:multiLevelType w:val="multilevel"/>
    <w:tmpl w:val="4F9ED6BC"/>
    <w:styleLink w:val="SDMCovNoteHeadList"/>
    <w:lvl w:ilvl="0">
      <w:start w:val="1"/>
      <w:numFmt w:val="decimal"/>
      <w:pStyle w:val="SDMCovNoteHead1"/>
      <w:lvlText w:val="%1."/>
      <w:lvlJc w:val="left"/>
      <w:pPr>
        <w:tabs>
          <w:tab w:val="num" w:pos="709"/>
        </w:tabs>
        <w:ind w:left="709" w:hanging="709"/>
      </w:pPr>
      <w:rPr>
        <w:rFonts w:hint="default"/>
      </w:rPr>
    </w:lvl>
    <w:lvl w:ilvl="1">
      <w:start w:val="1"/>
      <w:numFmt w:val="decimal"/>
      <w:pStyle w:val="SDMCovNoteHead2"/>
      <w:lvlText w:val="%1.%2."/>
      <w:lvlJc w:val="left"/>
      <w:pPr>
        <w:tabs>
          <w:tab w:val="num" w:pos="709"/>
        </w:tabs>
        <w:ind w:left="794" w:hanging="794"/>
      </w:pPr>
      <w:rPr>
        <w:rFonts w:hint="default"/>
      </w:rPr>
    </w:lvl>
    <w:lvl w:ilvl="2">
      <w:start w:val="1"/>
      <w:numFmt w:val="decimal"/>
      <w:pStyle w:val="SDMCovNoteHead3"/>
      <w:lvlText w:val="%1.%2.%3."/>
      <w:lvlJc w:val="left"/>
      <w:pPr>
        <w:tabs>
          <w:tab w:val="num" w:pos="709"/>
        </w:tabs>
        <w:ind w:left="1191" w:hanging="1191"/>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7" w15:restartNumberingAfterBreak="0">
    <w:nsid w:val="162C4AFF"/>
    <w:multiLevelType w:val="multilevel"/>
    <w:tmpl w:val="4F9ED6BC"/>
    <w:numStyleLink w:val="SDMCovNoteHeadList"/>
  </w:abstractNum>
  <w:abstractNum w:abstractNumId="28" w15:restartNumberingAfterBreak="0">
    <w:nsid w:val="16404ED9"/>
    <w:multiLevelType w:val="multilevel"/>
    <w:tmpl w:val="3CC81634"/>
    <w:numStyleLink w:val="SDMTableBoxFigureFootnoteFullPageList"/>
  </w:abstractNum>
  <w:abstractNum w:abstractNumId="29" w15:restartNumberingAfterBreak="0">
    <w:nsid w:val="1728147F"/>
    <w:multiLevelType w:val="multilevel"/>
    <w:tmpl w:val="7B8621E0"/>
    <w:name w:val="Reg9"/>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3.%8"/>
      <w:lvlJc w:val="left"/>
      <w:pPr>
        <w:tabs>
          <w:tab w:val="num" w:pos="720"/>
        </w:tabs>
        <w:ind w:left="720" w:hanging="720"/>
      </w:pPr>
    </w:lvl>
    <w:lvl w:ilvl="8">
      <w:start w:val="1"/>
      <w:numFmt w:val="none"/>
      <w:lvlText w:val="[(%5)%9"/>
      <w:lvlJc w:val="left"/>
      <w:pPr>
        <w:tabs>
          <w:tab w:val="num" w:pos="1440"/>
        </w:tabs>
        <w:ind w:left="1440" w:hanging="720"/>
      </w:pPr>
    </w:lvl>
  </w:abstractNum>
  <w:abstractNum w:abstractNumId="30" w15:restartNumberingAfterBreak="0">
    <w:nsid w:val="17293D9F"/>
    <w:multiLevelType w:val="multilevel"/>
    <w:tmpl w:val="75CED8F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18C15861"/>
    <w:multiLevelType w:val="multilevel"/>
    <w:tmpl w:val="5EDE06C6"/>
    <w:styleLink w:val="SDMParaList"/>
    <w:lvl w:ilvl="0">
      <w:start w:val="1"/>
      <w:numFmt w:val="decimal"/>
      <w:lvlText w:val="%1."/>
      <w:lvlJc w:val="left"/>
      <w:pPr>
        <w:tabs>
          <w:tab w:val="num" w:pos="709"/>
        </w:tabs>
        <w:ind w:left="709" w:hanging="709"/>
      </w:pPr>
      <w:rPr>
        <w:rFonts w:hint="default"/>
      </w:rPr>
    </w:lvl>
    <w:lvl w:ilvl="1">
      <w:start w:val="1"/>
      <w:numFmt w:val="lowerLetter"/>
      <w:lvlText w:val="(%2)"/>
      <w:lvlJc w:val="left"/>
      <w:pPr>
        <w:tabs>
          <w:tab w:val="num" w:pos="709"/>
        </w:tabs>
        <w:ind w:left="1418" w:hanging="709"/>
      </w:pPr>
      <w:rPr>
        <w:rFonts w:hint="default"/>
      </w:rPr>
    </w:lvl>
    <w:lvl w:ilvl="2">
      <w:start w:val="1"/>
      <w:numFmt w:val="lowerRoman"/>
      <w:lvlText w:val="(%3)"/>
      <w:lvlJc w:val="left"/>
      <w:pPr>
        <w:tabs>
          <w:tab w:val="num" w:pos="709"/>
        </w:tabs>
        <w:ind w:left="1985" w:hanging="567"/>
      </w:pPr>
      <w:rPr>
        <w:rFonts w:hint="default"/>
      </w:rPr>
    </w:lvl>
    <w:lvl w:ilvl="3">
      <w:start w:val="1"/>
      <w:numFmt w:val="lowerLetter"/>
      <w:lvlText w:val="%4."/>
      <w:lvlJc w:val="left"/>
      <w:pPr>
        <w:tabs>
          <w:tab w:val="num" w:pos="709"/>
        </w:tabs>
        <w:ind w:left="2722" w:hanging="596"/>
      </w:pPr>
      <w:rPr>
        <w:rFonts w:hint="default"/>
      </w:rPr>
    </w:lvl>
    <w:lvl w:ilvl="4">
      <w:start w:val="1"/>
      <w:numFmt w:val="lowerRoman"/>
      <w:lvlText w:val="%5."/>
      <w:lvlJc w:val="left"/>
      <w:pPr>
        <w:tabs>
          <w:tab w:val="num" w:pos="709"/>
        </w:tabs>
        <w:ind w:left="3232" w:hanging="397"/>
      </w:pPr>
      <w:rPr>
        <w:rFonts w:hint="default"/>
      </w:rPr>
    </w:lvl>
    <w:lvl w:ilvl="5">
      <w:start w:val="1"/>
      <w:numFmt w:val="none"/>
      <w:lvlText w:val=""/>
      <w:lvlJc w:val="left"/>
      <w:pPr>
        <w:tabs>
          <w:tab w:val="num" w:pos="0"/>
        </w:tabs>
        <w:ind w:left="0" w:firstLine="0"/>
      </w:pPr>
      <w:rPr>
        <w:rFonts w:hint="default"/>
      </w:rPr>
    </w:lvl>
    <w:lvl w:ilvl="6">
      <w:start w:val="1"/>
      <w:numFmt w:val="none"/>
      <w:lvlText w:val="%7"/>
      <w:lvlJc w:val="left"/>
      <w:pPr>
        <w:tabs>
          <w:tab w:val="num" w:pos="0"/>
        </w:tabs>
        <w:ind w:left="0" w:firstLine="0"/>
      </w:pPr>
      <w:rPr>
        <w:rFonts w:hint="default"/>
      </w:rPr>
    </w:lvl>
    <w:lvl w:ilvl="7">
      <w:start w:val="1"/>
      <w:numFmt w:val="none"/>
      <w:lvlText w:val="%8"/>
      <w:lvlJc w:val="left"/>
      <w:pPr>
        <w:tabs>
          <w:tab w:val="num" w:pos="0"/>
        </w:tabs>
        <w:ind w:left="0" w:firstLine="0"/>
      </w:pPr>
      <w:rPr>
        <w:rFonts w:hint="default"/>
      </w:rPr>
    </w:lvl>
    <w:lvl w:ilvl="8">
      <w:start w:val="1"/>
      <w:numFmt w:val="none"/>
      <w:lvlText w:val="%9"/>
      <w:lvlJc w:val="left"/>
      <w:pPr>
        <w:tabs>
          <w:tab w:val="num" w:pos="0"/>
        </w:tabs>
        <w:ind w:left="0" w:firstLine="0"/>
      </w:pPr>
      <w:rPr>
        <w:rFonts w:hint="default"/>
      </w:rPr>
    </w:lvl>
  </w:abstractNum>
  <w:abstractNum w:abstractNumId="32" w15:restartNumberingAfterBreak="0">
    <w:nsid w:val="1AFF55CC"/>
    <w:multiLevelType w:val="multilevel"/>
    <w:tmpl w:val="A22614FA"/>
    <w:name w:val="Reg8"/>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3.%8"/>
      <w:lvlJc w:val="left"/>
      <w:pPr>
        <w:tabs>
          <w:tab w:val="num" w:pos="720"/>
        </w:tabs>
        <w:ind w:left="720" w:hanging="720"/>
      </w:pPr>
    </w:lvl>
    <w:lvl w:ilvl="8">
      <w:start w:val="1"/>
      <w:numFmt w:val="none"/>
      <w:lvlText w:val="[(%5)%9"/>
      <w:lvlJc w:val="left"/>
      <w:pPr>
        <w:tabs>
          <w:tab w:val="num" w:pos="1440"/>
        </w:tabs>
        <w:ind w:left="1440" w:hanging="720"/>
      </w:pPr>
    </w:lvl>
  </w:abstractNum>
  <w:abstractNum w:abstractNumId="33" w15:restartNumberingAfterBreak="0">
    <w:nsid w:val="1B897AAA"/>
    <w:multiLevelType w:val="multilevel"/>
    <w:tmpl w:val="FD2ACF66"/>
    <w:name w:val="Reg24"/>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34" w15:restartNumberingAfterBreak="0">
    <w:nsid w:val="1BB5186F"/>
    <w:multiLevelType w:val="multilevel"/>
    <w:tmpl w:val="C182385A"/>
    <w:styleLink w:val="SDMAppHeadList"/>
    <w:lvl w:ilvl="0">
      <w:start w:val="1"/>
      <w:numFmt w:val="decimal"/>
      <w:pStyle w:val="SDMAppTitle"/>
      <w:lvlText w:val="Appendix %1."/>
      <w:lvlJc w:val="left"/>
      <w:pPr>
        <w:ind w:left="2126" w:hanging="2126"/>
      </w:pPr>
      <w:rPr>
        <w:rFonts w:hint="default"/>
      </w:rPr>
    </w:lvl>
    <w:lvl w:ilvl="1">
      <w:start w:val="1"/>
      <w:numFmt w:val="decimal"/>
      <w:pStyle w:val="SDMApp1"/>
      <w:lvlText w:val="%2."/>
      <w:lvlJc w:val="left"/>
      <w:pPr>
        <w:tabs>
          <w:tab w:val="num" w:pos="709"/>
        </w:tabs>
        <w:ind w:left="680" w:hanging="680"/>
      </w:pPr>
      <w:rPr>
        <w:rFonts w:hint="default"/>
      </w:rPr>
    </w:lvl>
    <w:lvl w:ilvl="2">
      <w:start w:val="1"/>
      <w:numFmt w:val="decimal"/>
      <w:pStyle w:val="SDMApp2"/>
      <w:lvlText w:val="%2.%3."/>
      <w:lvlJc w:val="left"/>
      <w:pPr>
        <w:tabs>
          <w:tab w:val="num" w:pos="709"/>
        </w:tabs>
        <w:ind w:left="851" w:hanging="851"/>
      </w:pPr>
      <w:rPr>
        <w:rFonts w:hint="default"/>
      </w:rPr>
    </w:lvl>
    <w:lvl w:ilvl="3">
      <w:start w:val="1"/>
      <w:numFmt w:val="decimal"/>
      <w:pStyle w:val="SDMApp3"/>
      <w:lvlText w:val="%2.%3.%4."/>
      <w:lvlJc w:val="left"/>
      <w:pPr>
        <w:tabs>
          <w:tab w:val="num" w:pos="709"/>
        </w:tabs>
        <w:ind w:left="1191" w:hanging="1191"/>
      </w:pPr>
      <w:rPr>
        <w:rFonts w:hint="default"/>
      </w:rPr>
    </w:lvl>
    <w:lvl w:ilvl="4">
      <w:start w:val="1"/>
      <w:numFmt w:val="decimal"/>
      <w:pStyle w:val="SDMApp4"/>
      <w:lvlText w:val="%2.%3.%4.%5."/>
      <w:lvlJc w:val="left"/>
      <w:pPr>
        <w:tabs>
          <w:tab w:val="num" w:pos="1418"/>
        </w:tabs>
        <w:ind w:left="1588" w:hanging="1588"/>
      </w:pPr>
      <w:rPr>
        <w:rFonts w:hint="default"/>
      </w:rPr>
    </w:lvl>
    <w:lvl w:ilvl="5">
      <w:start w:val="1"/>
      <w:numFmt w:val="decimal"/>
      <w:pStyle w:val="SDMApp5"/>
      <w:lvlText w:val="%2.%3.%4.%5.%6."/>
      <w:lvlJc w:val="left"/>
      <w:pPr>
        <w:ind w:left="1985" w:hanging="1985"/>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5" w15:restartNumberingAfterBreak="0">
    <w:nsid w:val="1BC515BF"/>
    <w:multiLevelType w:val="multilevel"/>
    <w:tmpl w:val="02D64298"/>
    <w:name w:val="Reg31"/>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36" w15:restartNumberingAfterBreak="0">
    <w:nsid w:val="1BDF5EAC"/>
    <w:multiLevelType w:val="multilevel"/>
    <w:tmpl w:val="BDBEB61A"/>
    <w:lvl w:ilvl="0">
      <w:start w:val="1"/>
      <w:numFmt w:val="bullet"/>
      <w:lvlText w:val=""/>
      <w:lvlJc w:val="left"/>
      <w:pPr>
        <w:ind w:left="360" w:hanging="360"/>
      </w:pPr>
      <w:rPr>
        <w:rFonts w:ascii="Symbol" w:hAnsi="Symbol" w:hint="default"/>
        <w:b w:val="0"/>
        <w:color w:val="000000"/>
        <w:u w:val="none"/>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15:restartNumberingAfterBreak="0">
    <w:nsid w:val="1FBD4EC0"/>
    <w:multiLevelType w:val="hybridMultilevel"/>
    <w:tmpl w:val="A1C231CA"/>
    <w:lvl w:ilvl="0" w:tplc="B204C0EE">
      <w:start w:val="1"/>
      <w:numFmt w:val="bullet"/>
      <w:lvlText w:val=""/>
      <w:lvlJc w:val="left"/>
      <w:pPr>
        <w:ind w:left="720" w:hanging="360"/>
      </w:pPr>
      <w:rPr>
        <w:rFonts w:ascii="Symbol" w:hAnsi="Symbol" w:hint="default"/>
      </w:rPr>
    </w:lvl>
    <w:lvl w:ilvl="1" w:tplc="E772A5C0" w:tentative="1">
      <w:start w:val="1"/>
      <w:numFmt w:val="bullet"/>
      <w:lvlText w:val="o"/>
      <w:lvlJc w:val="left"/>
      <w:pPr>
        <w:ind w:left="1440" w:hanging="360"/>
      </w:pPr>
      <w:rPr>
        <w:rFonts w:ascii="Courier New" w:hAnsi="Courier New" w:hint="default"/>
      </w:rPr>
    </w:lvl>
    <w:lvl w:ilvl="2" w:tplc="58A2DBE4" w:tentative="1">
      <w:start w:val="1"/>
      <w:numFmt w:val="bullet"/>
      <w:lvlText w:val=""/>
      <w:lvlJc w:val="left"/>
      <w:pPr>
        <w:ind w:left="2160" w:hanging="360"/>
      </w:pPr>
      <w:rPr>
        <w:rFonts w:ascii="Wingdings" w:hAnsi="Wingdings" w:hint="default"/>
      </w:rPr>
    </w:lvl>
    <w:lvl w:ilvl="3" w:tplc="6060C53A" w:tentative="1">
      <w:start w:val="1"/>
      <w:numFmt w:val="bullet"/>
      <w:lvlText w:val=""/>
      <w:lvlJc w:val="left"/>
      <w:pPr>
        <w:ind w:left="2880" w:hanging="360"/>
      </w:pPr>
      <w:rPr>
        <w:rFonts w:ascii="Symbol" w:hAnsi="Symbol" w:hint="default"/>
      </w:rPr>
    </w:lvl>
    <w:lvl w:ilvl="4" w:tplc="E35AAF14" w:tentative="1">
      <w:start w:val="1"/>
      <w:numFmt w:val="bullet"/>
      <w:lvlText w:val="o"/>
      <w:lvlJc w:val="left"/>
      <w:pPr>
        <w:ind w:left="3600" w:hanging="360"/>
      </w:pPr>
      <w:rPr>
        <w:rFonts w:ascii="Courier New" w:hAnsi="Courier New" w:hint="default"/>
      </w:rPr>
    </w:lvl>
    <w:lvl w:ilvl="5" w:tplc="4008CAD8" w:tentative="1">
      <w:start w:val="1"/>
      <w:numFmt w:val="bullet"/>
      <w:lvlText w:val=""/>
      <w:lvlJc w:val="left"/>
      <w:pPr>
        <w:ind w:left="4320" w:hanging="360"/>
      </w:pPr>
      <w:rPr>
        <w:rFonts w:ascii="Wingdings" w:hAnsi="Wingdings" w:hint="default"/>
      </w:rPr>
    </w:lvl>
    <w:lvl w:ilvl="6" w:tplc="58DED1F0" w:tentative="1">
      <w:start w:val="1"/>
      <w:numFmt w:val="bullet"/>
      <w:lvlText w:val=""/>
      <w:lvlJc w:val="left"/>
      <w:pPr>
        <w:ind w:left="5040" w:hanging="360"/>
      </w:pPr>
      <w:rPr>
        <w:rFonts w:ascii="Symbol" w:hAnsi="Symbol" w:hint="default"/>
      </w:rPr>
    </w:lvl>
    <w:lvl w:ilvl="7" w:tplc="7A102BC8" w:tentative="1">
      <w:start w:val="1"/>
      <w:numFmt w:val="bullet"/>
      <w:lvlText w:val="o"/>
      <w:lvlJc w:val="left"/>
      <w:pPr>
        <w:ind w:left="5760" w:hanging="360"/>
      </w:pPr>
      <w:rPr>
        <w:rFonts w:ascii="Courier New" w:hAnsi="Courier New" w:hint="default"/>
      </w:rPr>
    </w:lvl>
    <w:lvl w:ilvl="8" w:tplc="E082909A" w:tentative="1">
      <w:start w:val="1"/>
      <w:numFmt w:val="bullet"/>
      <w:lvlText w:val=""/>
      <w:lvlJc w:val="left"/>
      <w:pPr>
        <w:ind w:left="6480" w:hanging="360"/>
      </w:pPr>
      <w:rPr>
        <w:rFonts w:ascii="Wingdings" w:hAnsi="Wingdings" w:hint="default"/>
      </w:rPr>
    </w:lvl>
  </w:abstractNum>
  <w:abstractNum w:abstractNumId="38" w15:restartNumberingAfterBreak="0">
    <w:nsid w:val="20B44A9E"/>
    <w:multiLevelType w:val="multilevel"/>
    <w:tmpl w:val="9F76D84C"/>
    <w:lvl w:ilvl="0">
      <w:start w:val="1"/>
      <w:numFmt w:val="upperRoman"/>
      <w:pStyle w:val="PartTitleBox"/>
      <w:suff w:val="space"/>
      <w:lvlText w:val="PART %1. "/>
      <w:lvlJc w:val="left"/>
      <w:pPr>
        <w:ind w:left="0" w:firstLine="0"/>
      </w:pPr>
      <w:rPr>
        <w:rFonts w:hint="default"/>
      </w:rPr>
    </w:lvl>
    <w:lvl w:ilvl="1">
      <w:start w:val="1"/>
      <w:numFmt w:val="upperLetter"/>
      <w:pStyle w:val="RegSectionLevel1"/>
      <w:suff w:val="space"/>
      <w:lvlText w:val="SECTION %2."/>
      <w:lvlJc w:val="left"/>
      <w:pPr>
        <w:ind w:left="0" w:firstLine="0"/>
      </w:pPr>
      <w:rPr>
        <w:rFonts w:hint="default"/>
        <w:smallCaps/>
      </w:rPr>
    </w:lvl>
    <w:lvl w:ilvl="2">
      <w:start w:val="1"/>
      <w:numFmt w:val="decimal"/>
      <w:pStyle w:val="RegSectionLevel2"/>
      <w:suff w:val="space"/>
      <w:lvlText w:val="%2.%3."/>
      <w:lvlJc w:val="left"/>
      <w:pPr>
        <w:ind w:left="0" w:firstLine="0"/>
      </w:pPr>
      <w:rPr>
        <w:rFonts w:hint="default"/>
        <w:i w:val="0"/>
      </w:rPr>
    </w:lvl>
    <w:lvl w:ilvl="3">
      <w:start w:val="1"/>
      <w:numFmt w:val="decimal"/>
      <w:pStyle w:val="RegSectionLevel3"/>
      <w:suff w:val="space"/>
      <w:lvlText w:val="%2.%3.%4."/>
      <w:lvlJc w:val="left"/>
      <w:pPr>
        <w:ind w:left="0" w:firstLine="0"/>
      </w:pPr>
      <w:rPr>
        <w:rFonts w:hint="default"/>
      </w:rPr>
    </w:lvl>
    <w:lvl w:ilvl="4">
      <w:start w:val="1"/>
      <w:numFmt w:val="decimal"/>
      <w:pStyle w:val="RegSectionLevel4"/>
      <w:suff w:val="space"/>
      <w:lvlText w:val="%2.%3.%4.%5."/>
      <w:lvlJc w:val="left"/>
      <w:pPr>
        <w:ind w:left="1702" w:firstLine="0"/>
      </w:pPr>
      <w:rPr>
        <w:rFonts w:hint="default"/>
      </w:rPr>
    </w:lvl>
    <w:lvl w:ilvl="5">
      <w:start w:val="1"/>
      <w:numFmt w:val="decimal"/>
      <w:pStyle w:val="RegSectionLevel5"/>
      <w:suff w:val="space"/>
      <w:lvlText w:val="%2.%3.%4.%5.%6."/>
      <w:lvlJc w:val="left"/>
      <w:pPr>
        <w:ind w:left="0" w:firstLine="0"/>
      </w:pPr>
      <w:rPr>
        <w:rFonts w:hint="default"/>
      </w:rPr>
    </w:lvl>
    <w:lvl w:ilvl="6">
      <w:start w:val="1"/>
      <w:numFmt w:val="decimal"/>
      <w:pStyle w:val="RegSectionLevel6"/>
      <w:suff w:val="space"/>
      <w:lvlText w:val="%2.%3.%4.%5.%6.%7."/>
      <w:lvlJc w:val="left"/>
      <w:pPr>
        <w:ind w:left="1296" w:hanging="1296"/>
      </w:pPr>
      <w:rPr>
        <w:rFonts w:hint="default"/>
      </w:rPr>
    </w:lvl>
    <w:lvl w:ilvl="7">
      <w:start w:val="1"/>
      <w:numFmt w:val="decimal"/>
      <w:pStyle w:val="RegSectionLevel7"/>
      <w:suff w:val="space"/>
      <w:lvlText w:val="%2.%3.%4.%5.%6.%7.%8."/>
      <w:lvlJc w:val="left"/>
      <w:pPr>
        <w:ind w:left="0" w:firstLine="0"/>
      </w:pPr>
      <w:rPr>
        <w:rFonts w:hint="default"/>
      </w:rPr>
    </w:lvl>
    <w:lvl w:ilvl="8">
      <w:start w:val="1"/>
      <w:numFmt w:val="decimal"/>
      <w:pStyle w:val="RegSectionLevel8"/>
      <w:suff w:val="space"/>
      <w:lvlText w:val="%2.%3.%4.%5.%6.%7.%8.%9."/>
      <w:lvlJc w:val="left"/>
      <w:pPr>
        <w:ind w:left="0" w:firstLine="0"/>
      </w:pPr>
      <w:rPr>
        <w:rFonts w:hint="default"/>
      </w:rPr>
    </w:lvl>
  </w:abstractNum>
  <w:abstractNum w:abstractNumId="39" w15:restartNumberingAfterBreak="0">
    <w:nsid w:val="21364769"/>
    <w:multiLevelType w:val="multilevel"/>
    <w:tmpl w:val="C172A2B4"/>
    <w:name w:val="Reg22"/>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40" w15:restartNumberingAfterBreak="0">
    <w:nsid w:val="26566C45"/>
    <w:multiLevelType w:val="multilevel"/>
    <w:tmpl w:val="4858EB8E"/>
    <w:numStyleLink w:val="SDMTableBoxFigureFootnoteList"/>
  </w:abstractNum>
  <w:abstractNum w:abstractNumId="41" w15:restartNumberingAfterBreak="0">
    <w:nsid w:val="2B2037D9"/>
    <w:multiLevelType w:val="multilevel"/>
    <w:tmpl w:val="C182385A"/>
    <w:numStyleLink w:val="SDMAppHeadList"/>
  </w:abstractNum>
  <w:abstractNum w:abstractNumId="42" w15:restartNumberingAfterBreak="0">
    <w:nsid w:val="2B9D6702"/>
    <w:multiLevelType w:val="hybridMultilevel"/>
    <w:tmpl w:val="EFB0BE02"/>
    <w:lvl w:ilvl="0" w:tplc="0924EDD8">
      <w:start w:val="1"/>
      <w:numFmt w:val="bullet"/>
      <w:lvlText w:val=""/>
      <w:lvlJc w:val="left"/>
      <w:pPr>
        <w:ind w:left="777" w:hanging="360"/>
      </w:pPr>
      <w:rPr>
        <w:rFonts w:ascii="Symbol" w:hAnsi="Symbol" w:hint="default"/>
      </w:rPr>
    </w:lvl>
    <w:lvl w:ilvl="1" w:tplc="3DD8EBB6" w:tentative="1">
      <w:start w:val="1"/>
      <w:numFmt w:val="bullet"/>
      <w:lvlText w:val="o"/>
      <w:lvlJc w:val="left"/>
      <w:pPr>
        <w:ind w:left="1497" w:hanging="360"/>
      </w:pPr>
      <w:rPr>
        <w:rFonts w:ascii="Courier New" w:hAnsi="Courier New" w:hint="default"/>
      </w:rPr>
    </w:lvl>
    <w:lvl w:ilvl="2" w:tplc="3ABA39C6" w:tentative="1">
      <w:start w:val="1"/>
      <w:numFmt w:val="bullet"/>
      <w:lvlText w:val=""/>
      <w:lvlJc w:val="left"/>
      <w:pPr>
        <w:ind w:left="2217" w:hanging="360"/>
      </w:pPr>
      <w:rPr>
        <w:rFonts w:ascii="Wingdings" w:hAnsi="Wingdings" w:hint="default"/>
      </w:rPr>
    </w:lvl>
    <w:lvl w:ilvl="3" w:tplc="E6B0A5AA" w:tentative="1">
      <w:start w:val="1"/>
      <w:numFmt w:val="bullet"/>
      <w:lvlText w:val=""/>
      <w:lvlJc w:val="left"/>
      <w:pPr>
        <w:ind w:left="2937" w:hanging="360"/>
      </w:pPr>
      <w:rPr>
        <w:rFonts w:ascii="Symbol" w:hAnsi="Symbol" w:hint="default"/>
      </w:rPr>
    </w:lvl>
    <w:lvl w:ilvl="4" w:tplc="F3361E84" w:tentative="1">
      <w:start w:val="1"/>
      <w:numFmt w:val="bullet"/>
      <w:lvlText w:val="o"/>
      <w:lvlJc w:val="left"/>
      <w:pPr>
        <w:ind w:left="3657" w:hanging="360"/>
      </w:pPr>
      <w:rPr>
        <w:rFonts w:ascii="Courier New" w:hAnsi="Courier New" w:hint="default"/>
      </w:rPr>
    </w:lvl>
    <w:lvl w:ilvl="5" w:tplc="3454DCDA" w:tentative="1">
      <w:start w:val="1"/>
      <w:numFmt w:val="bullet"/>
      <w:lvlText w:val=""/>
      <w:lvlJc w:val="left"/>
      <w:pPr>
        <w:ind w:left="4377" w:hanging="360"/>
      </w:pPr>
      <w:rPr>
        <w:rFonts w:ascii="Wingdings" w:hAnsi="Wingdings" w:hint="default"/>
      </w:rPr>
    </w:lvl>
    <w:lvl w:ilvl="6" w:tplc="1B3AFB28" w:tentative="1">
      <w:start w:val="1"/>
      <w:numFmt w:val="bullet"/>
      <w:lvlText w:val=""/>
      <w:lvlJc w:val="left"/>
      <w:pPr>
        <w:ind w:left="5097" w:hanging="360"/>
      </w:pPr>
      <w:rPr>
        <w:rFonts w:ascii="Symbol" w:hAnsi="Symbol" w:hint="default"/>
      </w:rPr>
    </w:lvl>
    <w:lvl w:ilvl="7" w:tplc="B0F43052" w:tentative="1">
      <w:start w:val="1"/>
      <w:numFmt w:val="bullet"/>
      <w:lvlText w:val="o"/>
      <w:lvlJc w:val="left"/>
      <w:pPr>
        <w:ind w:left="5817" w:hanging="360"/>
      </w:pPr>
      <w:rPr>
        <w:rFonts w:ascii="Courier New" w:hAnsi="Courier New" w:hint="default"/>
      </w:rPr>
    </w:lvl>
    <w:lvl w:ilvl="8" w:tplc="1C2C2E10" w:tentative="1">
      <w:start w:val="1"/>
      <w:numFmt w:val="bullet"/>
      <w:lvlText w:val=""/>
      <w:lvlJc w:val="left"/>
      <w:pPr>
        <w:ind w:left="6537" w:hanging="360"/>
      </w:pPr>
      <w:rPr>
        <w:rFonts w:ascii="Wingdings" w:hAnsi="Wingdings" w:hint="default"/>
      </w:rPr>
    </w:lvl>
  </w:abstractNum>
  <w:abstractNum w:abstractNumId="43" w15:restartNumberingAfterBreak="0">
    <w:nsid w:val="2D6E1A00"/>
    <w:multiLevelType w:val="multilevel"/>
    <w:tmpl w:val="568476D8"/>
    <w:name w:val="Reg"/>
    <w:lvl w:ilvl="0">
      <w:start w:val="1"/>
      <w:numFmt w:val="upperRoman"/>
      <w:suff w:val="space"/>
      <w:lvlText w:val="%1. "/>
      <w:lvlJc w:val="right"/>
      <w:pPr>
        <w:ind w:left="0" w:firstLine="0"/>
      </w:pPr>
    </w:lvl>
    <w:lvl w:ilvl="1">
      <w:start w:val="1"/>
      <w:numFmt w:val="upperLetter"/>
      <w:suff w:val="space"/>
      <w:lvlText w:val="%2. "/>
      <w:lvlJc w:val="left"/>
      <w:pPr>
        <w:ind w:left="0" w:firstLine="0"/>
      </w:pPr>
      <w:rPr>
        <w:b/>
        <w:u w:val="none"/>
      </w:rPr>
    </w:lvl>
    <w:lvl w:ilvl="2">
      <w:start w:val="1"/>
      <w:numFmt w:val="decimal"/>
      <w:lvlRestart w:val="0"/>
      <w:lvlText w:val="%3."/>
      <w:lvlJc w:val="left"/>
      <w:pPr>
        <w:tabs>
          <w:tab w:val="num" w:pos="720"/>
        </w:tabs>
        <w:ind w:left="0" w:firstLine="0"/>
      </w:pPr>
      <w:rPr>
        <w:b w:val="0"/>
      </w:rPr>
    </w:lvl>
    <w:lvl w:ilvl="3">
      <w:start w:val="1"/>
      <w:numFmt w:val="lowerLetter"/>
      <w:lvlText w:val="(%4)"/>
      <w:lvlJc w:val="left"/>
      <w:pPr>
        <w:tabs>
          <w:tab w:val="num" w:pos="1440"/>
        </w:tabs>
        <w:ind w:left="0" w:firstLine="720"/>
      </w:pPr>
      <w:rPr>
        <w:b w:val="0"/>
      </w:rPr>
    </w:lvl>
    <w:lvl w:ilvl="4">
      <w:start w:val="1"/>
      <w:numFmt w:val="lowerRoman"/>
      <w:lvlText w:val="(%5)"/>
      <w:lvlJc w:val="right"/>
      <w:pPr>
        <w:tabs>
          <w:tab w:val="num" w:pos="2160"/>
        </w:tabs>
        <w:ind w:left="2160" w:hanging="573"/>
      </w:pPr>
    </w:lvl>
    <w:lvl w:ilvl="5">
      <w:start w:val="1"/>
      <w:numFmt w:val="lowerLetter"/>
      <w:lvlText w:val=""/>
      <w:lvlJc w:val="left"/>
      <w:pPr>
        <w:tabs>
          <w:tab w:val="num" w:pos="2880"/>
        </w:tabs>
        <w:ind w:left="2880" w:hanging="720"/>
      </w:pPr>
      <w:rPr>
        <w:rFonts w:ascii="Symbol" w:hAnsi="Symbol" w:hint="default"/>
      </w:rPr>
    </w:lvl>
    <w:lvl w:ilvl="6">
      <w:start w:val="1"/>
      <w:numFmt w:val="none"/>
      <w:lvlText w:val="[%3.%7"/>
      <w:lvlJc w:val="left"/>
      <w:pPr>
        <w:tabs>
          <w:tab w:val="num" w:pos="720"/>
        </w:tabs>
        <w:ind w:left="0" w:firstLine="0"/>
      </w:pPr>
    </w:lvl>
    <w:lvl w:ilvl="7">
      <w:start w:val="1"/>
      <w:numFmt w:val="none"/>
      <w:lvlText w:val="[(%4)%8"/>
      <w:lvlJc w:val="left"/>
      <w:pPr>
        <w:tabs>
          <w:tab w:val="num" w:pos="1440"/>
        </w:tabs>
        <w:ind w:left="0" w:firstLine="720"/>
      </w:pPr>
    </w:lvl>
    <w:lvl w:ilvl="8">
      <w:start w:val="1"/>
      <w:numFmt w:val="none"/>
      <w:lvlText w:val="[(%5)%9"/>
      <w:lvlJc w:val="right"/>
      <w:pPr>
        <w:tabs>
          <w:tab w:val="num" w:pos="2160"/>
        </w:tabs>
        <w:ind w:left="0" w:firstLine="1587"/>
      </w:pPr>
    </w:lvl>
  </w:abstractNum>
  <w:abstractNum w:abstractNumId="44" w15:restartNumberingAfterBreak="0">
    <w:nsid w:val="2DA67A65"/>
    <w:multiLevelType w:val="hybridMultilevel"/>
    <w:tmpl w:val="2ED647E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2FA03A21"/>
    <w:multiLevelType w:val="multilevel"/>
    <w:tmpl w:val="40EAA4EC"/>
    <w:name w:val="Reg34"/>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46" w15:restartNumberingAfterBreak="0">
    <w:nsid w:val="30403243"/>
    <w:multiLevelType w:val="multilevel"/>
    <w:tmpl w:val="D0E80C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307B1BD9"/>
    <w:multiLevelType w:val="multilevel"/>
    <w:tmpl w:val="075A6334"/>
    <w:name w:val="Reg2"/>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3.%8"/>
      <w:lvlJc w:val="left"/>
      <w:pPr>
        <w:tabs>
          <w:tab w:val="num" w:pos="720"/>
        </w:tabs>
        <w:ind w:left="720" w:hanging="720"/>
      </w:pPr>
    </w:lvl>
    <w:lvl w:ilvl="8">
      <w:start w:val="1"/>
      <w:numFmt w:val="none"/>
      <w:lvlText w:val="[(%5)%9"/>
      <w:lvlJc w:val="left"/>
      <w:pPr>
        <w:tabs>
          <w:tab w:val="num" w:pos="1440"/>
        </w:tabs>
        <w:ind w:left="1440" w:hanging="720"/>
      </w:pPr>
    </w:lvl>
  </w:abstractNum>
  <w:abstractNum w:abstractNumId="48" w15:restartNumberingAfterBreak="0">
    <w:nsid w:val="318031D1"/>
    <w:multiLevelType w:val="multilevel"/>
    <w:tmpl w:val="E2A427E0"/>
    <w:name w:val="Toc13"/>
    <w:lvl w:ilvl="0">
      <w:start w:val="1"/>
      <w:numFmt w:val="upperRoman"/>
      <w:suff w:val="space"/>
      <w:lvlText w:val="%1. "/>
      <w:lvlJc w:val="center"/>
      <w:pPr>
        <w:ind w:left="0" w:firstLine="0"/>
      </w:pPr>
      <w:rPr>
        <w:sz w:val="22"/>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
      <w:lvlJc w:val="left"/>
      <w:pPr>
        <w:tabs>
          <w:tab w:val="num" w:pos="720"/>
        </w:tabs>
        <w:ind w:left="0" w:firstLine="0"/>
      </w:pPr>
      <w:rPr>
        <w:b w:val="0"/>
        <w:sz w:val="22"/>
      </w:rPr>
    </w:lvl>
    <w:lvl w:ilvl="4">
      <w:start w:val="1"/>
      <w:numFmt w:val="lowerLetter"/>
      <w:lvlText w:val="(%5)"/>
      <w:lvlJc w:val="left"/>
      <w:pPr>
        <w:tabs>
          <w:tab w:val="num" w:pos="1440"/>
        </w:tabs>
        <w:ind w:left="0" w:firstLine="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3.%8"/>
      <w:lvlJc w:val="left"/>
      <w:pPr>
        <w:tabs>
          <w:tab w:val="num" w:pos="720"/>
        </w:tabs>
        <w:ind w:left="0" w:firstLine="0"/>
      </w:pPr>
    </w:lvl>
    <w:lvl w:ilvl="8">
      <w:start w:val="1"/>
      <w:numFmt w:val="none"/>
      <w:lvlText w:val="[(%5)%9"/>
      <w:lvlJc w:val="left"/>
      <w:pPr>
        <w:tabs>
          <w:tab w:val="num" w:pos="1440"/>
        </w:tabs>
        <w:ind w:left="0" w:firstLine="720"/>
      </w:pPr>
    </w:lvl>
  </w:abstractNum>
  <w:abstractNum w:abstractNumId="49" w15:restartNumberingAfterBreak="0">
    <w:nsid w:val="31A3680B"/>
    <w:multiLevelType w:val="multilevel"/>
    <w:tmpl w:val="DEEC8B6A"/>
    <w:name w:val="Reg6"/>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3.%8"/>
      <w:lvlJc w:val="left"/>
      <w:pPr>
        <w:tabs>
          <w:tab w:val="num" w:pos="720"/>
        </w:tabs>
        <w:ind w:left="720" w:hanging="720"/>
      </w:pPr>
    </w:lvl>
    <w:lvl w:ilvl="8">
      <w:start w:val="1"/>
      <w:numFmt w:val="none"/>
      <w:lvlText w:val="[(%5)%9"/>
      <w:lvlJc w:val="left"/>
      <w:pPr>
        <w:tabs>
          <w:tab w:val="num" w:pos="1440"/>
        </w:tabs>
        <w:ind w:left="1440" w:hanging="720"/>
      </w:pPr>
    </w:lvl>
  </w:abstractNum>
  <w:abstractNum w:abstractNumId="50" w15:restartNumberingAfterBreak="0">
    <w:nsid w:val="358D2A30"/>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36854508"/>
    <w:multiLevelType w:val="multilevel"/>
    <w:tmpl w:val="C18A5072"/>
    <w:lvl w:ilvl="0">
      <w:start w:val="1"/>
      <w:numFmt w:val="none"/>
      <w:pStyle w:val="SDMDocInfoText"/>
      <w:suff w:val="nothing"/>
      <w:lvlText w:val=""/>
      <w:lvlJc w:val="left"/>
      <w:pPr>
        <w:ind w:left="0" w:firstLine="0"/>
      </w:pPr>
      <w:rPr>
        <w:rFonts w:hint="default"/>
      </w:rPr>
    </w:lvl>
    <w:lvl w:ilvl="1">
      <w:start w:val="1"/>
      <w:numFmt w:val="bullet"/>
      <w:lvlText w:val=""/>
      <w:lvlJc w:val="left"/>
      <w:pPr>
        <w:ind w:left="397" w:hanging="227"/>
      </w:pPr>
      <w:rPr>
        <w:rFonts w:ascii="Symbol" w:hAnsi="Symbol" w:hint="default"/>
      </w:rPr>
    </w:lvl>
    <w:lvl w:ilvl="2">
      <w:start w:val="1"/>
      <w:numFmt w:val="lowerLetter"/>
      <w:lvlText w:val="(%3)"/>
      <w:lvlJc w:val="left"/>
      <w:pPr>
        <w:ind w:left="737" w:hanging="340"/>
      </w:pPr>
      <w:rPr>
        <w:rFonts w:hint="default"/>
      </w:rPr>
    </w:lvl>
    <w:lvl w:ilvl="3">
      <w:start w:val="1"/>
      <w:numFmt w:val="lowerRoman"/>
      <w:lvlText w:val="(%4)"/>
      <w:lvlJc w:val="left"/>
      <w:pPr>
        <w:tabs>
          <w:tab w:val="num" w:pos="737"/>
        </w:tabs>
        <w:ind w:left="1049" w:hanging="312"/>
      </w:pPr>
      <w:rPr>
        <w:rFonts w:hint="default"/>
      </w:rPr>
    </w:lvl>
    <w:lvl w:ilvl="4">
      <w:start w:val="1"/>
      <w:numFmt w:val="lowerLetter"/>
      <w:lvlText w:val="%5."/>
      <w:lvlJc w:val="left"/>
      <w:pPr>
        <w:tabs>
          <w:tab w:val="num" w:pos="1077"/>
        </w:tabs>
        <w:ind w:left="1332" w:hanging="283"/>
      </w:pPr>
      <w:rPr>
        <w:rFonts w:hint="default"/>
      </w:rPr>
    </w:lvl>
    <w:lvl w:ilvl="5">
      <w:start w:val="1"/>
      <w:numFmt w:val="lowerRoman"/>
      <w:lvlText w:val="%6."/>
      <w:lvlJc w:val="left"/>
      <w:pPr>
        <w:tabs>
          <w:tab w:val="num" w:pos="1361"/>
        </w:tabs>
        <w:ind w:left="1559" w:hanging="227"/>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52" w15:restartNumberingAfterBreak="0">
    <w:nsid w:val="36924865"/>
    <w:multiLevelType w:val="multilevel"/>
    <w:tmpl w:val="AE6881FE"/>
    <w:name w:val="Reg21"/>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53" w15:restartNumberingAfterBreak="0">
    <w:nsid w:val="37CC57F2"/>
    <w:multiLevelType w:val="hybridMultilevel"/>
    <w:tmpl w:val="3E4A3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9D70A51"/>
    <w:multiLevelType w:val="hybridMultilevel"/>
    <w:tmpl w:val="FFFFFFFF"/>
    <w:lvl w:ilvl="0" w:tplc="A762F054">
      <w:start w:val="1"/>
      <w:numFmt w:val="bullet"/>
      <w:lvlText w:val=""/>
      <w:lvlJc w:val="left"/>
      <w:pPr>
        <w:ind w:left="720" w:hanging="360"/>
      </w:pPr>
      <w:rPr>
        <w:rFonts w:ascii="Symbol" w:hAnsi="Symbol" w:hint="default"/>
      </w:rPr>
    </w:lvl>
    <w:lvl w:ilvl="1" w:tplc="7C38F7BC">
      <w:start w:val="1"/>
      <w:numFmt w:val="bullet"/>
      <w:lvlText w:val="o"/>
      <w:lvlJc w:val="left"/>
      <w:pPr>
        <w:ind w:left="1440" w:hanging="360"/>
      </w:pPr>
      <w:rPr>
        <w:rFonts w:ascii="Courier New" w:hAnsi="Courier New" w:hint="default"/>
      </w:rPr>
    </w:lvl>
    <w:lvl w:ilvl="2" w:tplc="7BA00680">
      <w:start w:val="1"/>
      <w:numFmt w:val="bullet"/>
      <w:lvlText w:val=""/>
      <w:lvlJc w:val="left"/>
      <w:pPr>
        <w:ind w:left="2160" w:hanging="360"/>
      </w:pPr>
      <w:rPr>
        <w:rFonts w:ascii="Wingdings" w:hAnsi="Wingdings" w:hint="default"/>
      </w:rPr>
    </w:lvl>
    <w:lvl w:ilvl="3" w:tplc="9C38AB8E">
      <w:start w:val="1"/>
      <w:numFmt w:val="bullet"/>
      <w:lvlText w:val=""/>
      <w:lvlJc w:val="left"/>
      <w:pPr>
        <w:ind w:left="2880" w:hanging="360"/>
      </w:pPr>
      <w:rPr>
        <w:rFonts w:ascii="Symbol" w:hAnsi="Symbol" w:hint="default"/>
      </w:rPr>
    </w:lvl>
    <w:lvl w:ilvl="4" w:tplc="D7383FE2">
      <w:start w:val="1"/>
      <w:numFmt w:val="bullet"/>
      <w:lvlText w:val="o"/>
      <w:lvlJc w:val="left"/>
      <w:pPr>
        <w:ind w:left="3600" w:hanging="360"/>
      </w:pPr>
      <w:rPr>
        <w:rFonts w:ascii="Courier New" w:hAnsi="Courier New" w:hint="default"/>
      </w:rPr>
    </w:lvl>
    <w:lvl w:ilvl="5" w:tplc="37C60ED0">
      <w:start w:val="1"/>
      <w:numFmt w:val="bullet"/>
      <w:lvlText w:val=""/>
      <w:lvlJc w:val="left"/>
      <w:pPr>
        <w:ind w:left="4320" w:hanging="360"/>
      </w:pPr>
      <w:rPr>
        <w:rFonts w:ascii="Wingdings" w:hAnsi="Wingdings" w:hint="default"/>
      </w:rPr>
    </w:lvl>
    <w:lvl w:ilvl="6" w:tplc="82881A7A">
      <w:start w:val="1"/>
      <w:numFmt w:val="bullet"/>
      <w:lvlText w:val=""/>
      <w:lvlJc w:val="left"/>
      <w:pPr>
        <w:ind w:left="5040" w:hanging="360"/>
      </w:pPr>
      <w:rPr>
        <w:rFonts w:ascii="Symbol" w:hAnsi="Symbol" w:hint="default"/>
      </w:rPr>
    </w:lvl>
    <w:lvl w:ilvl="7" w:tplc="328A4442">
      <w:start w:val="1"/>
      <w:numFmt w:val="bullet"/>
      <w:lvlText w:val="o"/>
      <w:lvlJc w:val="left"/>
      <w:pPr>
        <w:ind w:left="5760" w:hanging="360"/>
      </w:pPr>
      <w:rPr>
        <w:rFonts w:ascii="Courier New" w:hAnsi="Courier New" w:hint="default"/>
      </w:rPr>
    </w:lvl>
    <w:lvl w:ilvl="8" w:tplc="0B64392C">
      <w:start w:val="1"/>
      <w:numFmt w:val="bullet"/>
      <w:lvlText w:val=""/>
      <w:lvlJc w:val="left"/>
      <w:pPr>
        <w:ind w:left="6480" w:hanging="360"/>
      </w:pPr>
      <w:rPr>
        <w:rFonts w:ascii="Wingdings" w:hAnsi="Wingdings" w:hint="default"/>
      </w:rPr>
    </w:lvl>
  </w:abstractNum>
  <w:abstractNum w:abstractNumId="55" w15:restartNumberingAfterBreak="0">
    <w:nsid w:val="3C792321"/>
    <w:multiLevelType w:val="multilevel"/>
    <w:tmpl w:val="54D600CE"/>
    <w:name w:val="Reg20"/>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56" w15:restartNumberingAfterBreak="0">
    <w:nsid w:val="3CFD042E"/>
    <w:multiLevelType w:val="multilevel"/>
    <w:tmpl w:val="C694A2DA"/>
    <w:name w:val="Reg15"/>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57" w15:restartNumberingAfterBreak="0">
    <w:nsid w:val="3DC16119"/>
    <w:multiLevelType w:val="multilevel"/>
    <w:tmpl w:val="BCBAC81C"/>
    <w:name w:val="Reg112"/>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58" w15:restartNumberingAfterBreak="0">
    <w:nsid w:val="3FDA42F1"/>
    <w:multiLevelType w:val="multilevel"/>
    <w:tmpl w:val="AE709A9A"/>
    <w:name w:val="Reg13"/>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59" w15:restartNumberingAfterBreak="0">
    <w:nsid w:val="4161579C"/>
    <w:multiLevelType w:val="multilevel"/>
    <w:tmpl w:val="83FE30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42365518"/>
    <w:multiLevelType w:val="multilevel"/>
    <w:tmpl w:val="6FB4C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428120B6"/>
    <w:multiLevelType w:val="multilevel"/>
    <w:tmpl w:val="23DC3AAA"/>
    <w:name w:val="Reg32"/>
    <w:lvl w:ilvl="0">
      <w:start w:val="1"/>
      <w:numFmt w:val="upperRoman"/>
      <w:suff w:val="space"/>
      <w:lvlText w:val="%1. "/>
      <w:lvlJc w:val="right"/>
      <w:pPr>
        <w:ind w:left="0" w:firstLine="244"/>
      </w:pPr>
      <w:rPr>
        <w:sz w:val="28"/>
      </w:rPr>
    </w:lvl>
    <w:lvl w:ilvl="1">
      <w:start w:val="1"/>
      <w:numFmt w:val="decimal"/>
      <w:suff w:val="space"/>
      <w:lvlText w:val="%2. "/>
      <w:lvlJc w:val="left"/>
      <w:pPr>
        <w:ind w:left="0" w:firstLine="0"/>
      </w:pPr>
      <w:rPr>
        <w:b/>
        <w:sz w:val="22"/>
        <w:u w:val="none"/>
      </w:rPr>
    </w:lvl>
    <w:lvl w:ilvl="2">
      <w:start w:val="1"/>
      <w:numFmt w:val="lowerLetter"/>
      <w:lvlText w:val="(%3)"/>
      <w:lvlJc w:val="left"/>
      <w:pPr>
        <w:tabs>
          <w:tab w:val="num" w:pos="720"/>
        </w:tabs>
        <w:ind w:left="720" w:hanging="720"/>
      </w:pPr>
      <w:rPr>
        <w:b w:val="0"/>
        <w:sz w:val="22"/>
        <w:u w:val="none"/>
      </w:rPr>
    </w:lvl>
    <w:lvl w:ilvl="3">
      <w:start w:val="1"/>
      <w:numFmt w:val="lowerRoman"/>
      <w:lvlText w:val="(%4)"/>
      <w:lvlJc w:val="right"/>
      <w:pPr>
        <w:tabs>
          <w:tab w:val="num" w:pos="1440"/>
        </w:tabs>
        <w:ind w:left="1440" w:hanging="533"/>
      </w:pPr>
      <w:rPr>
        <w:rFonts w:ascii="Times New Roman" w:hAnsi="Times New Roman"/>
        <w:b w:val="0"/>
        <w:sz w:val="22"/>
        <w:u w:val="none"/>
      </w:rPr>
    </w:lvl>
    <w:lvl w:ilvl="4">
      <w:start w:val="1"/>
      <w:numFmt w:val="decimal"/>
      <w:lvlText w:val="%5."/>
      <w:lvlJc w:val="left"/>
      <w:pPr>
        <w:tabs>
          <w:tab w:val="num" w:pos="720"/>
        </w:tabs>
        <w:ind w:left="720" w:hanging="720"/>
      </w:pPr>
      <w:rPr>
        <w:rFonts w:ascii="Times New Roman" w:hAnsi="Times New Roman"/>
        <w:b w:val="0"/>
        <w:sz w:val="22"/>
        <w:u w:val="none"/>
      </w:rPr>
    </w:lvl>
    <w:lvl w:ilvl="5">
      <w:start w:val="1"/>
      <w:numFmt w:val="lowerLetter"/>
      <w:lvlText w:val="(%6)"/>
      <w:lvlJc w:val="left"/>
      <w:pPr>
        <w:tabs>
          <w:tab w:val="num" w:pos="1440"/>
        </w:tabs>
        <w:ind w:left="1440" w:hanging="720"/>
      </w:pPr>
      <w:rPr>
        <w:sz w:val="22"/>
        <w:u w:val="none"/>
      </w:rPr>
    </w:lvl>
    <w:lvl w:ilvl="6">
      <w:start w:val="1"/>
      <w:numFmt w:val="decimal"/>
      <w:lvlText w:val="%7."/>
      <w:lvlJc w:val="left"/>
      <w:pPr>
        <w:tabs>
          <w:tab w:val="num" w:pos="1440"/>
        </w:tabs>
        <w:ind w:left="1440" w:hanging="720"/>
      </w:pPr>
      <w:rPr>
        <w:rFonts w:ascii="Symbol" w:hAnsi="Symbol" w:hint="default"/>
        <w:sz w:val="22"/>
        <w:u w:val="none"/>
      </w:rPr>
    </w:lvl>
    <w:lvl w:ilvl="7">
      <w:start w:val="1"/>
      <w:numFmt w:val="lowerLetter"/>
      <w:lvlText w:val="(%8)"/>
      <w:lvlJc w:val="left"/>
      <w:pPr>
        <w:tabs>
          <w:tab w:val="num" w:pos="2160"/>
        </w:tabs>
        <w:ind w:left="2160" w:hanging="720"/>
      </w:pPr>
      <w:rPr>
        <w:sz w:val="22"/>
        <w:u w:val="none"/>
      </w:rPr>
    </w:lvl>
    <w:lvl w:ilvl="8">
      <w:start w:val="1"/>
      <w:numFmt w:val="lowerLetter"/>
      <w:lvlText w:val=""/>
      <w:lvlJc w:val="left"/>
      <w:pPr>
        <w:tabs>
          <w:tab w:val="num" w:pos="2880"/>
        </w:tabs>
        <w:ind w:left="2880" w:hanging="720"/>
      </w:pPr>
      <w:rPr>
        <w:rFonts w:ascii="Symbol" w:hAnsi="Symbol" w:hint="default"/>
        <w:u w:val="none"/>
      </w:rPr>
    </w:lvl>
  </w:abstractNum>
  <w:abstractNum w:abstractNumId="62" w15:restartNumberingAfterBreak="0">
    <w:nsid w:val="431962DF"/>
    <w:multiLevelType w:val="multilevel"/>
    <w:tmpl w:val="AD2E3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440D5809"/>
    <w:multiLevelType w:val="multilevel"/>
    <w:tmpl w:val="1B062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44DD21EC"/>
    <w:multiLevelType w:val="multilevel"/>
    <w:tmpl w:val="49967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44DD2567"/>
    <w:multiLevelType w:val="hybridMultilevel"/>
    <w:tmpl w:val="69263994"/>
    <w:lvl w:ilvl="0" w:tplc="024A307C">
      <w:start w:val="1"/>
      <w:numFmt w:val="bullet"/>
      <w:lvlText w:val=""/>
      <w:lvlJc w:val="left"/>
      <w:pPr>
        <w:ind w:left="720" w:hanging="360"/>
      </w:pPr>
      <w:rPr>
        <w:rFonts w:ascii="Symbol" w:hAnsi="Symbol" w:hint="default"/>
      </w:rPr>
    </w:lvl>
    <w:lvl w:ilvl="1" w:tplc="5C64EB5C" w:tentative="1">
      <w:start w:val="1"/>
      <w:numFmt w:val="bullet"/>
      <w:lvlText w:val="o"/>
      <w:lvlJc w:val="left"/>
      <w:pPr>
        <w:ind w:left="1440" w:hanging="360"/>
      </w:pPr>
      <w:rPr>
        <w:rFonts w:ascii="Courier New" w:hAnsi="Courier New" w:hint="default"/>
      </w:rPr>
    </w:lvl>
    <w:lvl w:ilvl="2" w:tplc="D6BCA45C" w:tentative="1">
      <w:start w:val="1"/>
      <w:numFmt w:val="bullet"/>
      <w:lvlText w:val=""/>
      <w:lvlJc w:val="left"/>
      <w:pPr>
        <w:ind w:left="2160" w:hanging="360"/>
      </w:pPr>
      <w:rPr>
        <w:rFonts w:ascii="Wingdings" w:hAnsi="Wingdings" w:hint="default"/>
      </w:rPr>
    </w:lvl>
    <w:lvl w:ilvl="3" w:tplc="F892B976" w:tentative="1">
      <w:start w:val="1"/>
      <w:numFmt w:val="bullet"/>
      <w:lvlText w:val=""/>
      <w:lvlJc w:val="left"/>
      <w:pPr>
        <w:ind w:left="2880" w:hanging="360"/>
      </w:pPr>
      <w:rPr>
        <w:rFonts w:ascii="Symbol" w:hAnsi="Symbol" w:hint="default"/>
      </w:rPr>
    </w:lvl>
    <w:lvl w:ilvl="4" w:tplc="782822B4" w:tentative="1">
      <w:start w:val="1"/>
      <w:numFmt w:val="bullet"/>
      <w:lvlText w:val="o"/>
      <w:lvlJc w:val="left"/>
      <w:pPr>
        <w:ind w:left="3600" w:hanging="360"/>
      </w:pPr>
      <w:rPr>
        <w:rFonts w:ascii="Courier New" w:hAnsi="Courier New" w:hint="default"/>
      </w:rPr>
    </w:lvl>
    <w:lvl w:ilvl="5" w:tplc="B5C278F0" w:tentative="1">
      <w:start w:val="1"/>
      <w:numFmt w:val="bullet"/>
      <w:lvlText w:val=""/>
      <w:lvlJc w:val="left"/>
      <w:pPr>
        <w:ind w:left="4320" w:hanging="360"/>
      </w:pPr>
      <w:rPr>
        <w:rFonts w:ascii="Wingdings" w:hAnsi="Wingdings" w:hint="default"/>
      </w:rPr>
    </w:lvl>
    <w:lvl w:ilvl="6" w:tplc="07E66AB0" w:tentative="1">
      <w:start w:val="1"/>
      <w:numFmt w:val="bullet"/>
      <w:lvlText w:val=""/>
      <w:lvlJc w:val="left"/>
      <w:pPr>
        <w:ind w:left="5040" w:hanging="360"/>
      </w:pPr>
      <w:rPr>
        <w:rFonts w:ascii="Symbol" w:hAnsi="Symbol" w:hint="default"/>
      </w:rPr>
    </w:lvl>
    <w:lvl w:ilvl="7" w:tplc="4A005888" w:tentative="1">
      <w:start w:val="1"/>
      <w:numFmt w:val="bullet"/>
      <w:lvlText w:val="o"/>
      <w:lvlJc w:val="left"/>
      <w:pPr>
        <w:ind w:left="5760" w:hanging="360"/>
      </w:pPr>
      <w:rPr>
        <w:rFonts w:ascii="Courier New" w:hAnsi="Courier New" w:hint="default"/>
      </w:rPr>
    </w:lvl>
    <w:lvl w:ilvl="8" w:tplc="E98423E8" w:tentative="1">
      <w:start w:val="1"/>
      <w:numFmt w:val="bullet"/>
      <w:lvlText w:val=""/>
      <w:lvlJc w:val="left"/>
      <w:pPr>
        <w:ind w:left="6480" w:hanging="360"/>
      </w:pPr>
      <w:rPr>
        <w:rFonts w:ascii="Wingdings" w:hAnsi="Wingdings" w:hint="default"/>
      </w:rPr>
    </w:lvl>
  </w:abstractNum>
  <w:abstractNum w:abstractNumId="66" w15:restartNumberingAfterBreak="0">
    <w:nsid w:val="45062DDD"/>
    <w:multiLevelType w:val="multilevel"/>
    <w:tmpl w:val="5F2E05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45E052B9"/>
    <w:multiLevelType w:val="multilevel"/>
    <w:tmpl w:val="BAB8CCD8"/>
    <w:name w:val="Dec"/>
    <w:lvl w:ilvl="0">
      <w:start w:val="1"/>
      <w:numFmt w:val="upperRoman"/>
      <w:suff w:val="space"/>
      <w:lvlText w:val="%1. "/>
      <w:lvlJc w:val="right"/>
      <w:pPr>
        <w:ind w:left="0" w:firstLine="0"/>
      </w:pPr>
      <w:rPr>
        <w:rFonts w:hint="default"/>
        <w:sz w:val="24"/>
        <w:szCs w:val="24"/>
      </w:rPr>
    </w:lvl>
    <w:lvl w:ilvl="1">
      <w:start w:val="1"/>
      <w:numFmt w:val="decimal"/>
      <w:suff w:val="space"/>
      <w:lvlText w:val="%2. "/>
      <w:lvlJc w:val="left"/>
      <w:pPr>
        <w:ind w:left="0" w:firstLine="0"/>
      </w:pPr>
      <w:rPr>
        <w:rFonts w:hint="default"/>
        <w:u w:val="none"/>
      </w:rPr>
    </w:lvl>
    <w:lvl w:ilvl="2">
      <w:start w:val="1"/>
      <w:numFmt w:val="lowerLetter"/>
      <w:lvlText w:val="(%3)"/>
      <w:lvlJc w:val="left"/>
      <w:pPr>
        <w:tabs>
          <w:tab w:val="num" w:pos="360"/>
        </w:tabs>
        <w:ind w:left="0" w:firstLine="0"/>
      </w:pPr>
      <w:rPr>
        <w:rFonts w:hint="default"/>
        <w:b w:val="0"/>
        <w:i w:val="0"/>
        <w:u w:val="none"/>
      </w:rPr>
    </w:lvl>
    <w:lvl w:ilvl="3">
      <w:start w:val="1"/>
      <w:numFmt w:val="lowerRoman"/>
      <w:lvlText w:val="(%4)"/>
      <w:lvlJc w:val="right"/>
      <w:pPr>
        <w:tabs>
          <w:tab w:val="num" w:pos="1440"/>
        </w:tabs>
        <w:ind w:left="1440" w:hanging="533"/>
      </w:pPr>
      <w:rPr>
        <w:rFonts w:ascii="Times New Roman" w:hAnsi="Times New Roman" w:hint="default"/>
        <w:b w:val="0"/>
      </w:rPr>
    </w:lvl>
    <w:lvl w:ilvl="4">
      <w:start w:val="1"/>
      <w:numFmt w:val="decimal"/>
      <w:lvlRestart w:val="0"/>
      <w:lvlText w:val="%5."/>
      <w:lvlJc w:val="left"/>
      <w:pPr>
        <w:tabs>
          <w:tab w:val="num" w:pos="720"/>
        </w:tabs>
        <w:ind w:left="0" w:firstLine="0"/>
      </w:pPr>
      <w:rPr>
        <w:rFonts w:ascii="Times New Roman" w:hAnsi="Times New Roman" w:hint="default"/>
      </w:rPr>
    </w:lvl>
    <w:lvl w:ilvl="5">
      <w:start w:val="1"/>
      <w:numFmt w:val="lowerLetter"/>
      <w:lvlText w:val="(%6)"/>
      <w:lvlJc w:val="left"/>
      <w:pPr>
        <w:tabs>
          <w:tab w:val="num" w:pos="1440"/>
        </w:tabs>
        <w:ind w:left="0" w:firstLine="720"/>
      </w:pPr>
      <w:rPr>
        <w:rFonts w:hint="default"/>
      </w:rPr>
    </w:lvl>
    <w:lvl w:ilvl="6">
      <w:start w:val="1"/>
      <w:numFmt w:val="decimal"/>
      <w:lvlText w:val="%7."/>
      <w:lvlJc w:val="left"/>
      <w:pPr>
        <w:tabs>
          <w:tab w:val="num" w:pos="1440"/>
        </w:tabs>
        <w:ind w:left="1440" w:hanging="720"/>
      </w:pPr>
      <w:rPr>
        <w:rFonts w:hint="default"/>
      </w:rPr>
    </w:lvl>
    <w:lvl w:ilvl="7">
      <w:start w:val="1"/>
      <w:numFmt w:val="lowerLetter"/>
      <w:lvlText w:val="(%8)"/>
      <w:lvlJc w:val="left"/>
      <w:pPr>
        <w:tabs>
          <w:tab w:val="num" w:pos="2160"/>
        </w:tabs>
        <w:ind w:left="2160" w:hanging="720"/>
      </w:pPr>
      <w:rPr>
        <w:rFonts w:hint="default"/>
      </w:rPr>
    </w:lvl>
    <w:lvl w:ilvl="8">
      <w:start w:val="1"/>
      <w:numFmt w:val="lowerLetter"/>
      <w:lvlText w:val=""/>
      <w:lvlJc w:val="left"/>
      <w:pPr>
        <w:tabs>
          <w:tab w:val="num" w:pos="2880"/>
        </w:tabs>
        <w:ind w:left="2880" w:hanging="720"/>
      </w:pPr>
      <w:rPr>
        <w:rFonts w:ascii="Symbol" w:hAnsi="Symbol" w:hint="default"/>
      </w:rPr>
    </w:lvl>
  </w:abstractNum>
  <w:abstractNum w:abstractNumId="68" w15:restartNumberingAfterBreak="0">
    <w:nsid w:val="476B292B"/>
    <w:multiLevelType w:val="multilevel"/>
    <w:tmpl w:val="4858EB8E"/>
    <w:styleLink w:val="SDMTableBoxFigureFootnoteList"/>
    <w:lvl w:ilvl="0">
      <w:start w:val="1"/>
      <w:numFmt w:val="lowerLetter"/>
      <w:pStyle w:val="SDMTableBoxFigureFootnote"/>
      <w:lvlText w:val="(%1)"/>
      <w:lvlJc w:val="left"/>
      <w:pPr>
        <w:ind w:left="964" w:hanging="255"/>
      </w:pPr>
      <w:rPr>
        <w:rFonts w:hint="default"/>
        <w:b w:val="0"/>
        <w:i w:val="0"/>
        <w:vertAlign w:val="superscript"/>
      </w:rPr>
    </w:lvl>
    <w:lvl w:ilvl="1">
      <w:start w:val="1"/>
      <w:numFmt w:val="decimal"/>
      <w:pStyle w:val="SDMTableBoxFigureFootnoteSL1"/>
      <w:lvlText w:val="%2."/>
      <w:lvlJc w:val="left"/>
      <w:pPr>
        <w:ind w:left="1276" w:hanging="312"/>
      </w:pPr>
      <w:rPr>
        <w:rFonts w:hint="default"/>
      </w:rPr>
    </w:lvl>
    <w:lvl w:ilvl="2">
      <w:start w:val="1"/>
      <w:numFmt w:val="lowerLetter"/>
      <w:pStyle w:val="SDMTableBoxFigureFootnoteSL2"/>
      <w:lvlText w:val="(%3)"/>
      <w:lvlJc w:val="left"/>
      <w:pPr>
        <w:ind w:left="1673" w:hanging="397"/>
      </w:pPr>
      <w:rPr>
        <w:rFonts w:hint="default"/>
      </w:rPr>
    </w:lvl>
    <w:lvl w:ilvl="3">
      <w:start w:val="1"/>
      <w:numFmt w:val="lowerRoman"/>
      <w:pStyle w:val="SDMTableBoxFigureFootnoteSL3"/>
      <w:lvlText w:val="(%4)"/>
      <w:lvlJc w:val="left"/>
      <w:pPr>
        <w:ind w:left="2070" w:hanging="397"/>
      </w:pPr>
      <w:rPr>
        <w:rFonts w:hint="default"/>
      </w:rPr>
    </w:lvl>
    <w:lvl w:ilvl="4">
      <w:start w:val="1"/>
      <w:numFmt w:val="lowerLetter"/>
      <w:pStyle w:val="SDMTableBoxFigureFootnoteSL4"/>
      <w:lvlText w:val="%5."/>
      <w:lvlJc w:val="left"/>
      <w:pPr>
        <w:ind w:left="2410" w:hanging="340"/>
      </w:pPr>
      <w:rPr>
        <w:rFonts w:hint="default"/>
      </w:rPr>
    </w:lvl>
    <w:lvl w:ilvl="5">
      <w:start w:val="1"/>
      <w:numFmt w:val="lowerRoman"/>
      <w:pStyle w:val="SDMTableBoxFigureFootnoteSL5"/>
      <w:lvlText w:val="%6."/>
      <w:lvlJc w:val="left"/>
      <w:pPr>
        <w:ind w:left="2750" w:hanging="34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9" w15:restartNumberingAfterBreak="0">
    <w:nsid w:val="47832837"/>
    <w:multiLevelType w:val="hybridMultilevel"/>
    <w:tmpl w:val="F30484C4"/>
    <w:lvl w:ilvl="0" w:tplc="05BAFB8A">
      <w:start w:val="1"/>
      <w:numFmt w:val="bullet"/>
      <w:lvlText w:val=""/>
      <w:lvlJc w:val="left"/>
      <w:pPr>
        <w:ind w:left="720" w:hanging="360"/>
      </w:pPr>
      <w:rPr>
        <w:rFonts w:ascii="Symbol" w:hAnsi="Symbol" w:hint="default"/>
      </w:rPr>
    </w:lvl>
    <w:lvl w:ilvl="1" w:tplc="786083C2" w:tentative="1">
      <w:start w:val="1"/>
      <w:numFmt w:val="bullet"/>
      <w:lvlText w:val="o"/>
      <w:lvlJc w:val="left"/>
      <w:pPr>
        <w:ind w:left="1440" w:hanging="360"/>
      </w:pPr>
      <w:rPr>
        <w:rFonts w:ascii="Courier New" w:hAnsi="Courier New" w:hint="default"/>
      </w:rPr>
    </w:lvl>
    <w:lvl w:ilvl="2" w:tplc="345CFB3E" w:tentative="1">
      <w:start w:val="1"/>
      <w:numFmt w:val="bullet"/>
      <w:lvlText w:val=""/>
      <w:lvlJc w:val="left"/>
      <w:pPr>
        <w:ind w:left="2160" w:hanging="360"/>
      </w:pPr>
      <w:rPr>
        <w:rFonts w:ascii="Wingdings" w:hAnsi="Wingdings" w:hint="default"/>
      </w:rPr>
    </w:lvl>
    <w:lvl w:ilvl="3" w:tplc="1F185D44" w:tentative="1">
      <w:start w:val="1"/>
      <w:numFmt w:val="bullet"/>
      <w:lvlText w:val=""/>
      <w:lvlJc w:val="left"/>
      <w:pPr>
        <w:ind w:left="2880" w:hanging="360"/>
      </w:pPr>
      <w:rPr>
        <w:rFonts w:ascii="Symbol" w:hAnsi="Symbol" w:hint="default"/>
      </w:rPr>
    </w:lvl>
    <w:lvl w:ilvl="4" w:tplc="7F963D90" w:tentative="1">
      <w:start w:val="1"/>
      <w:numFmt w:val="bullet"/>
      <w:lvlText w:val="o"/>
      <w:lvlJc w:val="left"/>
      <w:pPr>
        <w:ind w:left="3600" w:hanging="360"/>
      </w:pPr>
      <w:rPr>
        <w:rFonts w:ascii="Courier New" w:hAnsi="Courier New" w:hint="default"/>
      </w:rPr>
    </w:lvl>
    <w:lvl w:ilvl="5" w:tplc="18FE2DB6" w:tentative="1">
      <w:start w:val="1"/>
      <w:numFmt w:val="bullet"/>
      <w:lvlText w:val=""/>
      <w:lvlJc w:val="left"/>
      <w:pPr>
        <w:ind w:left="4320" w:hanging="360"/>
      </w:pPr>
      <w:rPr>
        <w:rFonts w:ascii="Wingdings" w:hAnsi="Wingdings" w:hint="default"/>
      </w:rPr>
    </w:lvl>
    <w:lvl w:ilvl="6" w:tplc="F2CABD16" w:tentative="1">
      <w:start w:val="1"/>
      <w:numFmt w:val="bullet"/>
      <w:lvlText w:val=""/>
      <w:lvlJc w:val="left"/>
      <w:pPr>
        <w:ind w:left="5040" w:hanging="360"/>
      </w:pPr>
      <w:rPr>
        <w:rFonts w:ascii="Symbol" w:hAnsi="Symbol" w:hint="default"/>
      </w:rPr>
    </w:lvl>
    <w:lvl w:ilvl="7" w:tplc="9490FA32" w:tentative="1">
      <w:start w:val="1"/>
      <w:numFmt w:val="bullet"/>
      <w:lvlText w:val="o"/>
      <w:lvlJc w:val="left"/>
      <w:pPr>
        <w:ind w:left="5760" w:hanging="360"/>
      </w:pPr>
      <w:rPr>
        <w:rFonts w:ascii="Courier New" w:hAnsi="Courier New" w:hint="default"/>
      </w:rPr>
    </w:lvl>
    <w:lvl w:ilvl="8" w:tplc="F9721240" w:tentative="1">
      <w:start w:val="1"/>
      <w:numFmt w:val="bullet"/>
      <w:lvlText w:val=""/>
      <w:lvlJc w:val="left"/>
      <w:pPr>
        <w:ind w:left="6480" w:hanging="360"/>
      </w:pPr>
      <w:rPr>
        <w:rFonts w:ascii="Wingdings" w:hAnsi="Wingdings" w:hint="default"/>
      </w:rPr>
    </w:lvl>
  </w:abstractNum>
  <w:abstractNum w:abstractNumId="70" w15:restartNumberingAfterBreak="0">
    <w:nsid w:val="4884445D"/>
    <w:multiLevelType w:val="hybridMultilevel"/>
    <w:tmpl w:val="D6EE1884"/>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71" w15:restartNumberingAfterBreak="0">
    <w:nsid w:val="4AC52DB2"/>
    <w:multiLevelType w:val="multilevel"/>
    <w:tmpl w:val="C694A2DA"/>
    <w:name w:val="Reg17"/>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3.%8"/>
      <w:lvlJc w:val="left"/>
      <w:pPr>
        <w:tabs>
          <w:tab w:val="num" w:pos="720"/>
        </w:tabs>
        <w:ind w:left="720" w:hanging="720"/>
      </w:pPr>
    </w:lvl>
    <w:lvl w:ilvl="8">
      <w:start w:val="1"/>
      <w:numFmt w:val="none"/>
      <w:lvlText w:val="[(%5)%9"/>
      <w:lvlJc w:val="left"/>
      <w:pPr>
        <w:tabs>
          <w:tab w:val="num" w:pos="1440"/>
        </w:tabs>
        <w:ind w:left="1440" w:hanging="720"/>
      </w:pPr>
    </w:lvl>
  </w:abstractNum>
  <w:abstractNum w:abstractNumId="72" w15:restartNumberingAfterBreak="0">
    <w:nsid w:val="4B55483B"/>
    <w:multiLevelType w:val="multilevel"/>
    <w:tmpl w:val="BBA2A6C6"/>
    <w:name w:val="Reg10"/>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73" w15:restartNumberingAfterBreak="0">
    <w:nsid w:val="4DF0353F"/>
    <w:multiLevelType w:val="multilevel"/>
    <w:tmpl w:val="7C72A55E"/>
    <w:name w:val="Reg16"/>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74" w15:restartNumberingAfterBreak="0">
    <w:nsid w:val="5205474D"/>
    <w:multiLevelType w:val="hybridMultilevel"/>
    <w:tmpl w:val="4E86BB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524561C4"/>
    <w:multiLevelType w:val="multilevel"/>
    <w:tmpl w:val="A26A24AE"/>
    <w:name w:val="Reg18"/>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76" w15:restartNumberingAfterBreak="0">
    <w:nsid w:val="52B95C31"/>
    <w:multiLevelType w:val="multilevel"/>
    <w:tmpl w:val="E9805184"/>
    <w:lvl w:ilvl="0">
      <w:start w:val="1"/>
      <w:numFmt w:val="decimal"/>
      <w:lvlText w:val="%1-"/>
      <w:lvlJc w:val="left"/>
      <w:pPr>
        <w:ind w:left="360" w:hanging="360"/>
      </w:pPr>
      <w:rPr>
        <w:rFonts w:ascii="Arial" w:hAnsi="Arial" w:cs="Arial" w:hint="default"/>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7" w15:restartNumberingAfterBreak="0">
    <w:nsid w:val="53117E39"/>
    <w:multiLevelType w:val="hybridMultilevel"/>
    <w:tmpl w:val="FFFFFFFF"/>
    <w:lvl w:ilvl="0" w:tplc="50621AA2">
      <w:start w:val="1"/>
      <w:numFmt w:val="bullet"/>
      <w:lvlText w:val=""/>
      <w:lvlJc w:val="left"/>
      <w:pPr>
        <w:ind w:left="720" w:hanging="360"/>
      </w:pPr>
      <w:rPr>
        <w:rFonts w:ascii="Symbol" w:hAnsi="Symbol" w:hint="default"/>
      </w:rPr>
    </w:lvl>
    <w:lvl w:ilvl="1" w:tplc="1B8C0FAC">
      <w:start w:val="1"/>
      <w:numFmt w:val="bullet"/>
      <w:lvlText w:val="o"/>
      <w:lvlJc w:val="left"/>
      <w:pPr>
        <w:ind w:left="1440" w:hanging="360"/>
      </w:pPr>
      <w:rPr>
        <w:rFonts w:ascii="Courier New" w:hAnsi="Courier New" w:hint="default"/>
      </w:rPr>
    </w:lvl>
    <w:lvl w:ilvl="2" w:tplc="AB463F5A">
      <w:start w:val="1"/>
      <w:numFmt w:val="bullet"/>
      <w:lvlText w:val=""/>
      <w:lvlJc w:val="left"/>
      <w:pPr>
        <w:ind w:left="2160" w:hanging="360"/>
      </w:pPr>
      <w:rPr>
        <w:rFonts w:ascii="Wingdings" w:hAnsi="Wingdings" w:hint="default"/>
      </w:rPr>
    </w:lvl>
    <w:lvl w:ilvl="3" w:tplc="D3FAD65A">
      <w:start w:val="1"/>
      <w:numFmt w:val="bullet"/>
      <w:lvlText w:val=""/>
      <w:lvlJc w:val="left"/>
      <w:pPr>
        <w:ind w:left="2880" w:hanging="360"/>
      </w:pPr>
      <w:rPr>
        <w:rFonts w:ascii="Symbol" w:hAnsi="Symbol" w:hint="default"/>
      </w:rPr>
    </w:lvl>
    <w:lvl w:ilvl="4" w:tplc="E27C4054">
      <w:start w:val="1"/>
      <w:numFmt w:val="bullet"/>
      <w:lvlText w:val="o"/>
      <w:lvlJc w:val="left"/>
      <w:pPr>
        <w:ind w:left="3600" w:hanging="360"/>
      </w:pPr>
      <w:rPr>
        <w:rFonts w:ascii="Courier New" w:hAnsi="Courier New" w:hint="default"/>
      </w:rPr>
    </w:lvl>
    <w:lvl w:ilvl="5" w:tplc="3CCE15B4">
      <w:start w:val="1"/>
      <w:numFmt w:val="bullet"/>
      <w:lvlText w:val=""/>
      <w:lvlJc w:val="left"/>
      <w:pPr>
        <w:ind w:left="4320" w:hanging="360"/>
      </w:pPr>
      <w:rPr>
        <w:rFonts w:ascii="Wingdings" w:hAnsi="Wingdings" w:hint="default"/>
      </w:rPr>
    </w:lvl>
    <w:lvl w:ilvl="6" w:tplc="E2A68D00">
      <w:start w:val="1"/>
      <w:numFmt w:val="bullet"/>
      <w:lvlText w:val=""/>
      <w:lvlJc w:val="left"/>
      <w:pPr>
        <w:ind w:left="5040" w:hanging="360"/>
      </w:pPr>
      <w:rPr>
        <w:rFonts w:ascii="Symbol" w:hAnsi="Symbol" w:hint="default"/>
      </w:rPr>
    </w:lvl>
    <w:lvl w:ilvl="7" w:tplc="ADC26170">
      <w:start w:val="1"/>
      <w:numFmt w:val="bullet"/>
      <w:lvlText w:val="o"/>
      <w:lvlJc w:val="left"/>
      <w:pPr>
        <w:ind w:left="5760" w:hanging="360"/>
      </w:pPr>
      <w:rPr>
        <w:rFonts w:ascii="Courier New" w:hAnsi="Courier New" w:hint="default"/>
      </w:rPr>
    </w:lvl>
    <w:lvl w:ilvl="8" w:tplc="71041674">
      <w:start w:val="1"/>
      <w:numFmt w:val="bullet"/>
      <w:lvlText w:val=""/>
      <w:lvlJc w:val="left"/>
      <w:pPr>
        <w:ind w:left="6480" w:hanging="360"/>
      </w:pPr>
      <w:rPr>
        <w:rFonts w:ascii="Wingdings" w:hAnsi="Wingdings" w:hint="default"/>
      </w:rPr>
    </w:lvl>
  </w:abstractNum>
  <w:abstractNum w:abstractNumId="78" w15:restartNumberingAfterBreak="0">
    <w:nsid w:val="54DB18C3"/>
    <w:multiLevelType w:val="hybridMultilevel"/>
    <w:tmpl w:val="2CECD372"/>
    <w:lvl w:ilvl="0" w:tplc="EEBC6B2A">
      <w:start w:val="1"/>
      <w:numFmt w:val="bullet"/>
      <w:lvlText w:val=""/>
      <w:lvlJc w:val="left"/>
      <w:pPr>
        <w:ind w:left="720" w:hanging="360"/>
      </w:pPr>
      <w:rPr>
        <w:rFonts w:ascii="Symbol" w:hAnsi="Symbol" w:hint="default"/>
      </w:rPr>
    </w:lvl>
    <w:lvl w:ilvl="1" w:tplc="9EC6845A" w:tentative="1">
      <w:start w:val="1"/>
      <w:numFmt w:val="bullet"/>
      <w:lvlText w:val="o"/>
      <w:lvlJc w:val="left"/>
      <w:pPr>
        <w:ind w:left="1440" w:hanging="360"/>
      </w:pPr>
      <w:rPr>
        <w:rFonts w:ascii="Courier New" w:hAnsi="Courier New" w:hint="default"/>
      </w:rPr>
    </w:lvl>
    <w:lvl w:ilvl="2" w:tplc="08F044E0" w:tentative="1">
      <w:start w:val="1"/>
      <w:numFmt w:val="bullet"/>
      <w:lvlText w:val=""/>
      <w:lvlJc w:val="left"/>
      <w:pPr>
        <w:ind w:left="2160" w:hanging="360"/>
      </w:pPr>
      <w:rPr>
        <w:rFonts w:ascii="Wingdings" w:hAnsi="Wingdings" w:hint="default"/>
      </w:rPr>
    </w:lvl>
    <w:lvl w:ilvl="3" w:tplc="957EA198" w:tentative="1">
      <w:start w:val="1"/>
      <w:numFmt w:val="bullet"/>
      <w:lvlText w:val=""/>
      <w:lvlJc w:val="left"/>
      <w:pPr>
        <w:ind w:left="2880" w:hanging="360"/>
      </w:pPr>
      <w:rPr>
        <w:rFonts w:ascii="Symbol" w:hAnsi="Symbol" w:hint="default"/>
      </w:rPr>
    </w:lvl>
    <w:lvl w:ilvl="4" w:tplc="D5D03104" w:tentative="1">
      <w:start w:val="1"/>
      <w:numFmt w:val="bullet"/>
      <w:lvlText w:val="o"/>
      <w:lvlJc w:val="left"/>
      <w:pPr>
        <w:ind w:left="3600" w:hanging="360"/>
      </w:pPr>
      <w:rPr>
        <w:rFonts w:ascii="Courier New" w:hAnsi="Courier New" w:hint="default"/>
      </w:rPr>
    </w:lvl>
    <w:lvl w:ilvl="5" w:tplc="AFACF8FA" w:tentative="1">
      <w:start w:val="1"/>
      <w:numFmt w:val="bullet"/>
      <w:lvlText w:val=""/>
      <w:lvlJc w:val="left"/>
      <w:pPr>
        <w:ind w:left="4320" w:hanging="360"/>
      </w:pPr>
      <w:rPr>
        <w:rFonts w:ascii="Wingdings" w:hAnsi="Wingdings" w:hint="default"/>
      </w:rPr>
    </w:lvl>
    <w:lvl w:ilvl="6" w:tplc="49C0ACCE" w:tentative="1">
      <w:start w:val="1"/>
      <w:numFmt w:val="bullet"/>
      <w:lvlText w:val=""/>
      <w:lvlJc w:val="left"/>
      <w:pPr>
        <w:ind w:left="5040" w:hanging="360"/>
      </w:pPr>
      <w:rPr>
        <w:rFonts w:ascii="Symbol" w:hAnsi="Symbol" w:hint="default"/>
      </w:rPr>
    </w:lvl>
    <w:lvl w:ilvl="7" w:tplc="DDCC9268" w:tentative="1">
      <w:start w:val="1"/>
      <w:numFmt w:val="bullet"/>
      <w:lvlText w:val="o"/>
      <w:lvlJc w:val="left"/>
      <w:pPr>
        <w:ind w:left="5760" w:hanging="360"/>
      </w:pPr>
      <w:rPr>
        <w:rFonts w:ascii="Courier New" w:hAnsi="Courier New" w:hint="default"/>
      </w:rPr>
    </w:lvl>
    <w:lvl w:ilvl="8" w:tplc="34FAC5CE" w:tentative="1">
      <w:start w:val="1"/>
      <w:numFmt w:val="bullet"/>
      <w:lvlText w:val=""/>
      <w:lvlJc w:val="left"/>
      <w:pPr>
        <w:ind w:left="6480" w:hanging="360"/>
      </w:pPr>
      <w:rPr>
        <w:rFonts w:ascii="Wingdings" w:hAnsi="Wingdings" w:hint="default"/>
      </w:rPr>
    </w:lvl>
  </w:abstractNum>
  <w:abstractNum w:abstractNumId="79" w15:restartNumberingAfterBreak="0">
    <w:nsid w:val="56BC3722"/>
    <w:multiLevelType w:val="hybridMultilevel"/>
    <w:tmpl w:val="864ECD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7163833"/>
    <w:multiLevelType w:val="multilevel"/>
    <w:tmpl w:val="78AE4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580D39BD"/>
    <w:multiLevelType w:val="multilevel"/>
    <w:tmpl w:val="6DAA85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589B685A"/>
    <w:multiLevelType w:val="multilevel"/>
    <w:tmpl w:val="BDBEB61A"/>
    <w:lvl w:ilvl="0">
      <w:start w:val="1"/>
      <w:numFmt w:val="bullet"/>
      <w:lvlText w:val=""/>
      <w:lvlJc w:val="left"/>
      <w:pPr>
        <w:ind w:left="360" w:hanging="360"/>
      </w:pPr>
      <w:rPr>
        <w:rFonts w:ascii="Symbol" w:hAnsi="Symbol" w:hint="default"/>
        <w:b w:val="0"/>
        <w:color w:val="000000"/>
        <w:u w:val="none"/>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3" w15:restartNumberingAfterBreak="0">
    <w:nsid w:val="597D6A2A"/>
    <w:multiLevelType w:val="multilevel"/>
    <w:tmpl w:val="50CAEF6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5A025951"/>
    <w:multiLevelType w:val="multilevel"/>
    <w:tmpl w:val="9A0C3FF0"/>
    <w:lvl w:ilvl="0">
      <w:start w:val="1"/>
      <w:numFmt w:val="decimal"/>
      <w:lvlText w:val="%1."/>
      <w:lvlJc w:val="left"/>
      <w:pPr>
        <w:tabs>
          <w:tab w:val="num" w:pos="360"/>
        </w:tabs>
        <w:ind w:left="360" w:hanging="360"/>
      </w:p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85" w15:restartNumberingAfterBreak="0">
    <w:nsid w:val="5BCE3790"/>
    <w:multiLevelType w:val="hybridMultilevel"/>
    <w:tmpl w:val="903002E4"/>
    <w:lvl w:ilvl="0" w:tplc="0D8E7020">
      <w:start w:val="1"/>
      <w:numFmt w:val="bullet"/>
      <w:lvlText w:val=""/>
      <w:lvlJc w:val="left"/>
      <w:pPr>
        <w:ind w:left="720" w:hanging="360"/>
      </w:pPr>
      <w:rPr>
        <w:rFonts w:ascii="Symbol" w:hAnsi="Symbol" w:hint="default"/>
      </w:rPr>
    </w:lvl>
    <w:lvl w:ilvl="1" w:tplc="1C86B584" w:tentative="1">
      <w:start w:val="1"/>
      <w:numFmt w:val="bullet"/>
      <w:lvlText w:val="o"/>
      <w:lvlJc w:val="left"/>
      <w:pPr>
        <w:ind w:left="1440" w:hanging="360"/>
      </w:pPr>
      <w:rPr>
        <w:rFonts w:ascii="Courier New" w:hAnsi="Courier New" w:hint="default"/>
      </w:rPr>
    </w:lvl>
    <w:lvl w:ilvl="2" w:tplc="131A441E" w:tentative="1">
      <w:start w:val="1"/>
      <w:numFmt w:val="bullet"/>
      <w:lvlText w:val=""/>
      <w:lvlJc w:val="left"/>
      <w:pPr>
        <w:ind w:left="2160" w:hanging="360"/>
      </w:pPr>
      <w:rPr>
        <w:rFonts w:ascii="Wingdings" w:hAnsi="Wingdings" w:hint="default"/>
      </w:rPr>
    </w:lvl>
    <w:lvl w:ilvl="3" w:tplc="AC84E88A" w:tentative="1">
      <w:start w:val="1"/>
      <w:numFmt w:val="bullet"/>
      <w:lvlText w:val=""/>
      <w:lvlJc w:val="left"/>
      <w:pPr>
        <w:ind w:left="2880" w:hanging="360"/>
      </w:pPr>
      <w:rPr>
        <w:rFonts w:ascii="Symbol" w:hAnsi="Symbol" w:hint="default"/>
      </w:rPr>
    </w:lvl>
    <w:lvl w:ilvl="4" w:tplc="B84EFCA8" w:tentative="1">
      <w:start w:val="1"/>
      <w:numFmt w:val="bullet"/>
      <w:lvlText w:val="o"/>
      <w:lvlJc w:val="left"/>
      <w:pPr>
        <w:ind w:left="3600" w:hanging="360"/>
      </w:pPr>
      <w:rPr>
        <w:rFonts w:ascii="Courier New" w:hAnsi="Courier New" w:hint="default"/>
      </w:rPr>
    </w:lvl>
    <w:lvl w:ilvl="5" w:tplc="56321626" w:tentative="1">
      <w:start w:val="1"/>
      <w:numFmt w:val="bullet"/>
      <w:lvlText w:val=""/>
      <w:lvlJc w:val="left"/>
      <w:pPr>
        <w:ind w:left="4320" w:hanging="360"/>
      </w:pPr>
      <w:rPr>
        <w:rFonts w:ascii="Wingdings" w:hAnsi="Wingdings" w:hint="default"/>
      </w:rPr>
    </w:lvl>
    <w:lvl w:ilvl="6" w:tplc="EDA69E0A" w:tentative="1">
      <w:start w:val="1"/>
      <w:numFmt w:val="bullet"/>
      <w:lvlText w:val=""/>
      <w:lvlJc w:val="left"/>
      <w:pPr>
        <w:ind w:left="5040" w:hanging="360"/>
      </w:pPr>
      <w:rPr>
        <w:rFonts w:ascii="Symbol" w:hAnsi="Symbol" w:hint="default"/>
      </w:rPr>
    </w:lvl>
    <w:lvl w:ilvl="7" w:tplc="582AADD4" w:tentative="1">
      <w:start w:val="1"/>
      <w:numFmt w:val="bullet"/>
      <w:lvlText w:val="o"/>
      <w:lvlJc w:val="left"/>
      <w:pPr>
        <w:ind w:left="5760" w:hanging="360"/>
      </w:pPr>
      <w:rPr>
        <w:rFonts w:ascii="Courier New" w:hAnsi="Courier New" w:hint="default"/>
      </w:rPr>
    </w:lvl>
    <w:lvl w:ilvl="8" w:tplc="4F886B44" w:tentative="1">
      <w:start w:val="1"/>
      <w:numFmt w:val="bullet"/>
      <w:lvlText w:val=""/>
      <w:lvlJc w:val="left"/>
      <w:pPr>
        <w:ind w:left="6480" w:hanging="360"/>
      </w:pPr>
      <w:rPr>
        <w:rFonts w:ascii="Wingdings" w:hAnsi="Wingdings" w:hint="default"/>
      </w:rPr>
    </w:lvl>
  </w:abstractNum>
  <w:abstractNum w:abstractNumId="86" w15:restartNumberingAfterBreak="0">
    <w:nsid w:val="5D76384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5DE75318"/>
    <w:multiLevelType w:val="hybridMultilevel"/>
    <w:tmpl w:val="82E28D16"/>
    <w:lvl w:ilvl="0" w:tplc="31D40400">
      <w:start w:val="1"/>
      <w:numFmt w:val="bullet"/>
      <w:lvlText w:val="-"/>
      <w:lvlJc w:val="left"/>
      <w:pPr>
        <w:ind w:left="720" w:hanging="360"/>
      </w:pPr>
      <w:rPr>
        <w:rFonts w:ascii="Aptos" w:hAnsi="Aptos" w:hint="default"/>
      </w:rPr>
    </w:lvl>
    <w:lvl w:ilvl="1" w:tplc="B0ECC386">
      <w:start w:val="1"/>
      <w:numFmt w:val="bullet"/>
      <w:lvlText w:val="o"/>
      <w:lvlJc w:val="left"/>
      <w:pPr>
        <w:ind w:left="1440" w:hanging="360"/>
      </w:pPr>
      <w:rPr>
        <w:rFonts w:ascii="Courier New" w:hAnsi="Courier New" w:hint="default"/>
      </w:rPr>
    </w:lvl>
    <w:lvl w:ilvl="2" w:tplc="9F4CCB34">
      <w:start w:val="1"/>
      <w:numFmt w:val="bullet"/>
      <w:lvlText w:val=""/>
      <w:lvlJc w:val="left"/>
      <w:pPr>
        <w:ind w:left="2160" w:hanging="360"/>
      </w:pPr>
      <w:rPr>
        <w:rFonts w:ascii="Wingdings" w:hAnsi="Wingdings" w:hint="default"/>
      </w:rPr>
    </w:lvl>
    <w:lvl w:ilvl="3" w:tplc="05EC67C0">
      <w:start w:val="1"/>
      <w:numFmt w:val="bullet"/>
      <w:lvlText w:val=""/>
      <w:lvlJc w:val="left"/>
      <w:pPr>
        <w:ind w:left="2880" w:hanging="360"/>
      </w:pPr>
      <w:rPr>
        <w:rFonts w:ascii="Symbol" w:hAnsi="Symbol" w:hint="default"/>
      </w:rPr>
    </w:lvl>
    <w:lvl w:ilvl="4" w:tplc="902208EE">
      <w:start w:val="1"/>
      <w:numFmt w:val="bullet"/>
      <w:lvlText w:val="o"/>
      <w:lvlJc w:val="left"/>
      <w:pPr>
        <w:ind w:left="3600" w:hanging="360"/>
      </w:pPr>
      <w:rPr>
        <w:rFonts w:ascii="Courier New" w:hAnsi="Courier New" w:hint="default"/>
      </w:rPr>
    </w:lvl>
    <w:lvl w:ilvl="5" w:tplc="DD84B478">
      <w:start w:val="1"/>
      <w:numFmt w:val="bullet"/>
      <w:lvlText w:val=""/>
      <w:lvlJc w:val="left"/>
      <w:pPr>
        <w:ind w:left="4320" w:hanging="360"/>
      </w:pPr>
      <w:rPr>
        <w:rFonts w:ascii="Wingdings" w:hAnsi="Wingdings" w:hint="default"/>
      </w:rPr>
    </w:lvl>
    <w:lvl w:ilvl="6" w:tplc="E4DC9340">
      <w:start w:val="1"/>
      <w:numFmt w:val="bullet"/>
      <w:lvlText w:val=""/>
      <w:lvlJc w:val="left"/>
      <w:pPr>
        <w:ind w:left="5040" w:hanging="360"/>
      </w:pPr>
      <w:rPr>
        <w:rFonts w:ascii="Symbol" w:hAnsi="Symbol" w:hint="default"/>
      </w:rPr>
    </w:lvl>
    <w:lvl w:ilvl="7" w:tplc="9ACAB312">
      <w:start w:val="1"/>
      <w:numFmt w:val="bullet"/>
      <w:lvlText w:val="o"/>
      <w:lvlJc w:val="left"/>
      <w:pPr>
        <w:ind w:left="5760" w:hanging="360"/>
      </w:pPr>
      <w:rPr>
        <w:rFonts w:ascii="Courier New" w:hAnsi="Courier New" w:hint="default"/>
      </w:rPr>
    </w:lvl>
    <w:lvl w:ilvl="8" w:tplc="2CC6FE6C">
      <w:start w:val="1"/>
      <w:numFmt w:val="bullet"/>
      <w:lvlText w:val=""/>
      <w:lvlJc w:val="left"/>
      <w:pPr>
        <w:ind w:left="6480" w:hanging="360"/>
      </w:pPr>
      <w:rPr>
        <w:rFonts w:ascii="Wingdings" w:hAnsi="Wingdings" w:hint="default"/>
      </w:rPr>
    </w:lvl>
  </w:abstractNum>
  <w:abstractNum w:abstractNumId="88" w15:restartNumberingAfterBreak="0">
    <w:nsid w:val="5E145F32"/>
    <w:multiLevelType w:val="multilevel"/>
    <w:tmpl w:val="386252A4"/>
    <w:styleLink w:val="CurrentList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9" w15:restartNumberingAfterBreak="0">
    <w:nsid w:val="5E430B4D"/>
    <w:multiLevelType w:val="hybridMultilevel"/>
    <w:tmpl w:val="FFFFFFFF"/>
    <w:lvl w:ilvl="0" w:tplc="0EBCB4D4">
      <w:start w:val="1"/>
      <w:numFmt w:val="bullet"/>
      <w:lvlText w:val=""/>
      <w:lvlJc w:val="left"/>
      <w:pPr>
        <w:ind w:left="720" w:hanging="360"/>
      </w:pPr>
      <w:rPr>
        <w:rFonts w:ascii="Symbol" w:hAnsi="Symbol" w:hint="default"/>
      </w:rPr>
    </w:lvl>
    <w:lvl w:ilvl="1" w:tplc="B17A4332">
      <w:start w:val="1"/>
      <w:numFmt w:val="bullet"/>
      <w:lvlText w:val="o"/>
      <w:lvlJc w:val="left"/>
      <w:pPr>
        <w:ind w:left="1440" w:hanging="360"/>
      </w:pPr>
      <w:rPr>
        <w:rFonts w:ascii="Courier New" w:hAnsi="Courier New" w:hint="default"/>
      </w:rPr>
    </w:lvl>
    <w:lvl w:ilvl="2" w:tplc="56207E9A">
      <w:start w:val="1"/>
      <w:numFmt w:val="bullet"/>
      <w:lvlText w:val=""/>
      <w:lvlJc w:val="left"/>
      <w:pPr>
        <w:ind w:left="2160" w:hanging="360"/>
      </w:pPr>
      <w:rPr>
        <w:rFonts w:ascii="Wingdings" w:hAnsi="Wingdings" w:hint="default"/>
      </w:rPr>
    </w:lvl>
    <w:lvl w:ilvl="3" w:tplc="59CA1EA2">
      <w:start w:val="1"/>
      <w:numFmt w:val="bullet"/>
      <w:lvlText w:val=""/>
      <w:lvlJc w:val="left"/>
      <w:pPr>
        <w:ind w:left="2880" w:hanging="360"/>
      </w:pPr>
      <w:rPr>
        <w:rFonts w:ascii="Symbol" w:hAnsi="Symbol" w:hint="default"/>
      </w:rPr>
    </w:lvl>
    <w:lvl w:ilvl="4" w:tplc="7126314E">
      <w:start w:val="1"/>
      <w:numFmt w:val="bullet"/>
      <w:lvlText w:val="o"/>
      <w:lvlJc w:val="left"/>
      <w:pPr>
        <w:ind w:left="3600" w:hanging="360"/>
      </w:pPr>
      <w:rPr>
        <w:rFonts w:ascii="Courier New" w:hAnsi="Courier New" w:hint="default"/>
      </w:rPr>
    </w:lvl>
    <w:lvl w:ilvl="5" w:tplc="F63883BC">
      <w:start w:val="1"/>
      <w:numFmt w:val="bullet"/>
      <w:lvlText w:val=""/>
      <w:lvlJc w:val="left"/>
      <w:pPr>
        <w:ind w:left="4320" w:hanging="360"/>
      </w:pPr>
      <w:rPr>
        <w:rFonts w:ascii="Wingdings" w:hAnsi="Wingdings" w:hint="default"/>
      </w:rPr>
    </w:lvl>
    <w:lvl w:ilvl="6" w:tplc="5344D666">
      <w:start w:val="1"/>
      <w:numFmt w:val="bullet"/>
      <w:lvlText w:val=""/>
      <w:lvlJc w:val="left"/>
      <w:pPr>
        <w:ind w:left="5040" w:hanging="360"/>
      </w:pPr>
      <w:rPr>
        <w:rFonts w:ascii="Symbol" w:hAnsi="Symbol" w:hint="default"/>
      </w:rPr>
    </w:lvl>
    <w:lvl w:ilvl="7" w:tplc="7ECCCC8E">
      <w:start w:val="1"/>
      <w:numFmt w:val="bullet"/>
      <w:lvlText w:val="o"/>
      <w:lvlJc w:val="left"/>
      <w:pPr>
        <w:ind w:left="5760" w:hanging="360"/>
      </w:pPr>
      <w:rPr>
        <w:rFonts w:ascii="Courier New" w:hAnsi="Courier New" w:hint="default"/>
      </w:rPr>
    </w:lvl>
    <w:lvl w:ilvl="8" w:tplc="F1C0F740">
      <w:start w:val="1"/>
      <w:numFmt w:val="bullet"/>
      <w:lvlText w:val=""/>
      <w:lvlJc w:val="left"/>
      <w:pPr>
        <w:ind w:left="6480" w:hanging="360"/>
      </w:pPr>
      <w:rPr>
        <w:rFonts w:ascii="Wingdings" w:hAnsi="Wingdings" w:hint="default"/>
      </w:rPr>
    </w:lvl>
  </w:abstractNum>
  <w:abstractNum w:abstractNumId="90" w15:restartNumberingAfterBreak="0">
    <w:nsid w:val="5E65057A"/>
    <w:multiLevelType w:val="multilevel"/>
    <w:tmpl w:val="50041812"/>
    <w:name w:val="Reg14"/>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91" w15:restartNumberingAfterBreak="0">
    <w:nsid w:val="63160487"/>
    <w:multiLevelType w:val="multilevel"/>
    <w:tmpl w:val="F0663A86"/>
    <w:lvl w:ilvl="0">
      <w:start w:val="1"/>
      <w:numFmt w:val="bullet"/>
      <w:lvlText w:val=""/>
      <w:lvlJc w:val="left"/>
      <w:pPr>
        <w:tabs>
          <w:tab w:val="num" w:pos="709"/>
        </w:tabs>
        <w:ind w:left="709" w:hanging="709"/>
      </w:pPr>
      <w:rPr>
        <w:rFonts w:ascii="Symbol" w:hAnsi="Symbol" w:hint="default"/>
      </w:rPr>
    </w:lvl>
    <w:lvl w:ilvl="1">
      <w:start w:val="1"/>
      <w:numFmt w:val="lowerLetter"/>
      <w:lvlText w:val="(%2)"/>
      <w:lvlJc w:val="left"/>
      <w:pPr>
        <w:tabs>
          <w:tab w:val="num" w:pos="709"/>
        </w:tabs>
        <w:ind w:left="1418" w:hanging="709"/>
      </w:pPr>
      <w:rPr>
        <w:rFonts w:hint="default"/>
      </w:rPr>
    </w:lvl>
    <w:lvl w:ilvl="2">
      <w:start w:val="1"/>
      <w:numFmt w:val="lowerRoman"/>
      <w:lvlText w:val="(%3)"/>
      <w:lvlJc w:val="left"/>
      <w:pPr>
        <w:tabs>
          <w:tab w:val="num" w:pos="709"/>
        </w:tabs>
        <w:ind w:left="1985" w:hanging="567"/>
      </w:pPr>
      <w:rPr>
        <w:rFonts w:hint="default"/>
      </w:rPr>
    </w:lvl>
    <w:lvl w:ilvl="3">
      <w:start w:val="1"/>
      <w:numFmt w:val="lowerLetter"/>
      <w:lvlText w:val="%4."/>
      <w:lvlJc w:val="left"/>
      <w:pPr>
        <w:tabs>
          <w:tab w:val="num" w:pos="709"/>
        </w:tabs>
        <w:ind w:left="2722" w:hanging="596"/>
      </w:pPr>
      <w:rPr>
        <w:rFonts w:hint="default"/>
      </w:rPr>
    </w:lvl>
    <w:lvl w:ilvl="4">
      <w:start w:val="1"/>
      <w:numFmt w:val="lowerRoman"/>
      <w:lvlText w:val="%5."/>
      <w:lvlJc w:val="left"/>
      <w:pPr>
        <w:tabs>
          <w:tab w:val="num" w:pos="709"/>
        </w:tabs>
        <w:ind w:left="3232" w:hanging="397"/>
      </w:pPr>
      <w:rPr>
        <w:rFonts w:hint="default"/>
      </w:rPr>
    </w:lvl>
    <w:lvl w:ilvl="5">
      <w:start w:val="1"/>
      <w:numFmt w:val="none"/>
      <w:lvlText w:val=""/>
      <w:lvlJc w:val="left"/>
      <w:pPr>
        <w:tabs>
          <w:tab w:val="num" w:pos="0"/>
        </w:tabs>
        <w:ind w:left="0" w:firstLine="0"/>
      </w:pPr>
      <w:rPr>
        <w:rFonts w:hint="default"/>
      </w:rPr>
    </w:lvl>
    <w:lvl w:ilvl="6">
      <w:start w:val="1"/>
      <w:numFmt w:val="none"/>
      <w:lvlText w:val="%7"/>
      <w:lvlJc w:val="left"/>
      <w:pPr>
        <w:tabs>
          <w:tab w:val="num" w:pos="0"/>
        </w:tabs>
        <w:ind w:left="0" w:firstLine="0"/>
      </w:pPr>
      <w:rPr>
        <w:rFonts w:hint="default"/>
      </w:rPr>
    </w:lvl>
    <w:lvl w:ilvl="7">
      <w:start w:val="1"/>
      <w:numFmt w:val="none"/>
      <w:lvlText w:val="%8"/>
      <w:lvlJc w:val="left"/>
      <w:pPr>
        <w:tabs>
          <w:tab w:val="num" w:pos="0"/>
        </w:tabs>
        <w:ind w:left="0" w:firstLine="0"/>
      </w:pPr>
      <w:rPr>
        <w:rFonts w:hint="default"/>
      </w:rPr>
    </w:lvl>
    <w:lvl w:ilvl="8">
      <w:start w:val="1"/>
      <w:numFmt w:val="none"/>
      <w:lvlText w:val="%9"/>
      <w:lvlJc w:val="left"/>
      <w:pPr>
        <w:tabs>
          <w:tab w:val="num" w:pos="0"/>
        </w:tabs>
        <w:ind w:left="0" w:firstLine="0"/>
      </w:pPr>
      <w:rPr>
        <w:rFonts w:hint="default"/>
      </w:rPr>
    </w:lvl>
  </w:abstractNum>
  <w:abstractNum w:abstractNumId="92" w15:restartNumberingAfterBreak="0">
    <w:nsid w:val="639E5E02"/>
    <w:multiLevelType w:val="multilevel"/>
    <w:tmpl w:val="E9BEC3F6"/>
    <w:name w:val="Reg12"/>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3.%8"/>
      <w:lvlJc w:val="left"/>
      <w:pPr>
        <w:tabs>
          <w:tab w:val="num" w:pos="720"/>
        </w:tabs>
        <w:ind w:left="720" w:hanging="720"/>
      </w:pPr>
    </w:lvl>
    <w:lvl w:ilvl="8">
      <w:start w:val="1"/>
      <w:numFmt w:val="none"/>
      <w:lvlText w:val="[(%5)%9"/>
      <w:lvlJc w:val="left"/>
      <w:pPr>
        <w:tabs>
          <w:tab w:val="num" w:pos="1440"/>
        </w:tabs>
        <w:ind w:left="1440" w:hanging="720"/>
      </w:pPr>
    </w:lvl>
  </w:abstractNum>
  <w:abstractNum w:abstractNumId="93" w15:restartNumberingAfterBreak="0">
    <w:nsid w:val="64D345AC"/>
    <w:multiLevelType w:val="multilevel"/>
    <w:tmpl w:val="12C0BDFA"/>
    <w:name w:val="Reg4"/>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94" w15:restartNumberingAfterBreak="0">
    <w:nsid w:val="65C46E1B"/>
    <w:multiLevelType w:val="multilevel"/>
    <w:tmpl w:val="9968B9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67D3452E"/>
    <w:multiLevelType w:val="multilevel"/>
    <w:tmpl w:val="5CE67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69F82464"/>
    <w:multiLevelType w:val="multilevel"/>
    <w:tmpl w:val="7E6EB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6A6C0D00"/>
    <w:multiLevelType w:val="multilevel"/>
    <w:tmpl w:val="B082F66C"/>
    <w:lvl w:ilvl="0">
      <w:start w:val="1"/>
      <w:numFmt w:val="decimal"/>
      <w:lvlText w:val="%1."/>
      <w:lvlJc w:val="left"/>
      <w:pPr>
        <w:tabs>
          <w:tab w:val="num" w:pos="360"/>
        </w:tabs>
        <w:ind w:left="360" w:hanging="360"/>
      </w:p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98" w15:restartNumberingAfterBreak="0">
    <w:nsid w:val="6B392DA7"/>
    <w:multiLevelType w:val="multilevel"/>
    <w:tmpl w:val="5EDE06C6"/>
    <w:styleLink w:val="SDMDocInfoTextBullets"/>
    <w:lvl w:ilvl="0">
      <w:start w:val="1"/>
      <w:numFmt w:val="decimal"/>
      <w:pStyle w:val="SDMPara"/>
      <w:lvlText w:val="%1."/>
      <w:lvlJc w:val="left"/>
      <w:pPr>
        <w:tabs>
          <w:tab w:val="num" w:pos="709"/>
        </w:tabs>
        <w:ind w:left="709" w:hanging="709"/>
      </w:pPr>
      <w:rPr>
        <w:rFonts w:hint="default"/>
      </w:rPr>
    </w:lvl>
    <w:lvl w:ilvl="1">
      <w:start w:val="1"/>
      <w:numFmt w:val="lowerLetter"/>
      <w:pStyle w:val="SDMSubPara1"/>
      <w:lvlText w:val="(%2)"/>
      <w:lvlJc w:val="left"/>
      <w:pPr>
        <w:tabs>
          <w:tab w:val="num" w:pos="709"/>
        </w:tabs>
        <w:ind w:left="1418" w:hanging="709"/>
      </w:pPr>
      <w:rPr>
        <w:rFonts w:hint="default"/>
      </w:rPr>
    </w:lvl>
    <w:lvl w:ilvl="2">
      <w:start w:val="1"/>
      <w:numFmt w:val="lowerRoman"/>
      <w:pStyle w:val="SDMSubPara2"/>
      <w:lvlText w:val="(%3)"/>
      <w:lvlJc w:val="left"/>
      <w:pPr>
        <w:tabs>
          <w:tab w:val="num" w:pos="709"/>
        </w:tabs>
        <w:ind w:left="1985" w:hanging="567"/>
      </w:pPr>
      <w:rPr>
        <w:rFonts w:hint="default"/>
      </w:rPr>
    </w:lvl>
    <w:lvl w:ilvl="3">
      <w:start w:val="1"/>
      <w:numFmt w:val="lowerLetter"/>
      <w:pStyle w:val="SDMSubPara3"/>
      <w:lvlText w:val="%4."/>
      <w:lvlJc w:val="left"/>
      <w:pPr>
        <w:tabs>
          <w:tab w:val="num" w:pos="709"/>
        </w:tabs>
        <w:ind w:left="2722" w:hanging="596"/>
      </w:pPr>
      <w:rPr>
        <w:rFonts w:hint="default"/>
      </w:rPr>
    </w:lvl>
    <w:lvl w:ilvl="4">
      <w:start w:val="1"/>
      <w:numFmt w:val="lowerRoman"/>
      <w:pStyle w:val="SDMSubPara4"/>
      <w:lvlText w:val="%5."/>
      <w:lvlJc w:val="left"/>
      <w:pPr>
        <w:tabs>
          <w:tab w:val="num" w:pos="709"/>
        </w:tabs>
        <w:ind w:left="3232" w:hanging="397"/>
      </w:pPr>
      <w:rPr>
        <w:rFonts w:hint="default"/>
      </w:rPr>
    </w:lvl>
    <w:lvl w:ilvl="5">
      <w:start w:val="1"/>
      <w:numFmt w:val="none"/>
      <w:lvlText w:val=""/>
      <w:lvlJc w:val="left"/>
      <w:pPr>
        <w:tabs>
          <w:tab w:val="num" w:pos="0"/>
        </w:tabs>
        <w:ind w:left="0" w:firstLine="0"/>
      </w:pPr>
      <w:rPr>
        <w:rFonts w:hint="default"/>
      </w:rPr>
    </w:lvl>
    <w:lvl w:ilvl="6">
      <w:start w:val="1"/>
      <w:numFmt w:val="none"/>
      <w:lvlText w:val="%7"/>
      <w:lvlJc w:val="left"/>
      <w:pPr>
        <w:tabs>
          <w:tab w:val="num" w:pos="0"/>
        </w:tabs>
        <w:ind w:left="0" w:firstLine="0"/>
      </w:pPr>
      <w:rPr>
        <w:rFonts w:hint="default"/>
      </w:rPr>
    </w:lvl>
    <w:lvl w:ilvl="7">
      <w:start w:val="1"/>
      <w:numFmt w:val="none"/>
      <w:lvlText w:val="%8"/>
      <w:lvlJc w:val="left"/>
      <w:pPr>
        <w:tabs>
          <w:tab w:val="num" w:pos="0"/>
        </w:tabs>
        <w:ind w:left="0" w:firstLine="0"/>
      </w:pPr>
      <w:rPr>
        <w:rFonts w:hint="default"/>
      </w:rPr>
    </w:lvl>
    <w:lvl w:ilvl="8">
      <w:start w:val="1"/>
      <w:numFmt w:val="none"/>
      <w:lvlText w:val="%9"/>
      <w:lvlJc w:val="left"/>
      <w:pPr>
        <w:tabs>
          <w:tab w:val="num" w:pos="0"/>
        </w:tabs>
        <w:ind w:left="0" w:firstLine="0"/>
      </w:pPr>
      <w:rPr>
        <w:rFonts w:hint="default"/>
      </w:rPr>
    </w:lvl>
  </w:abstractNum>
  <w:abstractNum w:abstractNumId="99" w15:restartNumberingAfterBreak="0">
    <w:nsid w:val="6B5B54EA"/>
    <w:multiLevelType w:val="multilevel"/>
    <w:tmpl w:val="A1AA7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6BAA183E"/>
    <w:multiLevelType w:val="multilevel"/>
    <w:tmpl w:val="AE40536C"/>
    <w:name w:val="Reg35"/>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101" w15:restartNumberingAfterBreak="0">
    <w:nsid w:val="6C331F90"/>
    <w:multiLevelType w:val="multilevel"/>
    <w:tmpl w:val="08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02" w15:restartNumberingAfterBreak="0">
    <w:nsid w:val="6E0B7288"/>
    <w:multiLevelType w:val="multilevel"/>
    <w:tmpl w:val="C4964E08"/>
    <w:lvl w:ilvl="0">
      <w:start w:val="1"/>
      <w:numFmt w:val="none"/>
      <w:pStyle w:val="SectionTitle"/>
      <w:suff w:val="nothing"/>
      <w:lvlText w:val="%1"/>
      <w:lvlJc w:val="left"/>
      <w:pPr>
        <w:ind w:left="0" w:firstLine="0"/>
      </w:pPr>
      <w:rPr>
        <w:rFonts w:hint="default"/>
      </w:rPr>
    </w:lvl>
    <w:lvl w:ilvl="1">
      <w:start w:val="1"/>
      <w:numFmt w:val="upperLetter"/>
      <w:pStyle w:val="SubSectionTitle"/>
      <w:lvlText w:val="%2."/>
      <w:lvlJc w:val="left"/>
      <w:pPr>
        <w:tabs>
          <w:tab w:val="num" w:pos="0"/>
        </w:tabs>
        <w:ind w:left="0" w:firstLine="0"/>
      </w:pPr>
      <w:rPr>
        <w:rFonts w:hint="default"/>
      </w:rPr>
    </w:lvl>
    <w:lvl w:ilvl="2">
      <w:start w:val="1"/>
      <w:numFmt w:val="decimal"/>
      <w:lvlText w:val="%3."/>
      <w:lvlJc w:val="left"/>
      <w:pPr>
        <w:tabs>
          <w:tab w:val="num" w:pos="2027"/>
        </w:tabs>
        <w:ind w:left="1667" w:firstLine="0"/>
      </w:pPr>
      <w:rPr>
        <w:rFonts w:hint="default"/>
      </w:rPr>
    </w:lvl>
    <w:lvl w:ilvl="3">
      <w:start w:val="1"/>
      <w:numFmt w:val="lowerLetter"/>
      <w:lvlText w:val="%4)"/>
      <w:lvlJc w:val="left"/>
      <w:pPr>
        <w:tabs>
          <w:tab w:val="num" w:pos="2747"/>
        </w:tabs>
        <w:ind w:left="2387" w:firstLine="0"/>
      </w:pPr>
      <w:rPr>
        <w:rFonts w:hint="default"/>
      </w:rPr>
    </w:lvl>
    <w:lvl w:ilvl="4">
      <w:start w:val="1"/>
      <w:numFmt w:val="decimal"/>
      <w:lvlText w:val="(%5)"/>
      <w:lvlJc w:val="left"/>
      <w:pPr>
        <w:tabs>
          <w:tab w:val="num" w:pos="3467"/>
        </w:tabs>
        <w:ind w:left="3107" w:firstLine="0"/>
      </w:pPr>
      <w:rPr>
        <w:rFonts w:hint="default"/>
      </w:rPr>
    </w:lvl>
    <w:lvl w:ilvl="5">
      <w:start w:val="1"/>
      <w:numFmt w:val="lowerLetter"/>
      <w:lvlText w:val="(%6)"/>
      <w:lvlJc w:val="left"/>
      <w:pPr>
        <w:tabs>
          <w:tab w:val="num" w:pos="4187"/>
        </w:tabs>
        <w:ind w:left="3827" w:firstLine="0"/>
      </w:pPr>
      <w:rPr>
        <w:rFonts w:hint="default"/>
      </w:rPr>
    </w:lvl>
    <w:lvl w:ilvl="6">
      <w:start w:val="1"/>
      <w:numFmt w:val="lowerRoman"/>
      <w:lvlText w:val="(%7)"/>
      <w:lvlJc w:val="left"/>
      <w:pPr>
        <w:tabs>
          <w:tab w:val="num" w:pos="4907"/>
        </w:tabs>
        <w:ind w:left="4547" w:firstLine="0"/>
      </w:pPr>
      <w:rPr>
        <w:rFonts w:hint="default"/>
      </w:rPr>
    </w:lvl>
    <w:lvl w:ilvl="7">
      <w:start w:val="1"/>
      <w:numFmt w:val="lowerLetter"/>
      <w:lvlText w:val="(%8)"/>
      <w:lvlJc w:val="left"/>
      <w:pPr>
        <w:tabs>
          <w:tab w:val="num" w:pos="5627"/>
        </w:tabs>
        <w:ind w:left="5267" w:firstLine="0"/>
      </w:pPr>
      <w:rPr>
        <w:rFonts w:hint="default"/>
      </w:rPr>
    </w:lvl>
    <w:lvl w:ilvl="8">
      <w:start w:val="1"/>
      <w:numFmt w:val="lowerRoman"/>
      <w:lvlText w:val="(%9)"/>
      <w:lvlJc w:val="left"/>
      <w:pPr>
        <w:tabs>
          <w:tab w:val="num" w:pos="6347"/>
        </w:tabs>
        <w:ind w:left="5987" w:firstLine="0"/>
      </w:pPr>
      <w:rPr>
        <w:rFonts w:hint="default"/>
      </w:rPr>
    </w:lvl>
  </w:abstractNum>
  <w:abstractNum w:abstractNumId="103" w15:restartNumberingAfterBreak="0">
    <w:nsid w:val="6E1606BE"/>
    <w:multiLevelType w:val="multilevel"/>
    <w:tmpl w:val="CC264296"/>
    <w:name w:val="Reg29"/>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104" w15:restartNumberingAfterBreak="0">
    <w:nsid w:val="6F060572"/>
    <w:multiLevelType w:val="multilevel"/>
    <w:tmpl w:val="5B66B3FC"/>
    <w:name w:val="Reg33"/>
    <w:lvl w:ilvl="0">
      <w:start w:val="1"/>
      <w:numFmt w:val="upperRoman"/>
      <w:suff w:val="space"/>
      <w:lvlText w:val="%1. "/>
      <w:lvlJc w:val="center"/>
      <w:pPr>
        <w:ind w:left="0" w:firstLine="0"/>
      </w:pPr>
      <w:rPr>
        <w:sz w:val="28"/>
      </w:rPr>
    </w:lvl>
    <w:lvl w:ilvl="1">
      <w:start w:val="1"/>
      <w:numFmt w:val="upperLetter"/>
      <w:suff w:val="space"/>
      <w:lvlText w:val="%2. "/>
      <w:lvlJc w:val="center"/>
      <w:pPr>
        <w:ind w:left="0" w:firstLine="0"/>
      </w:pPr>
      <w:rPr>
        <w:b/>
        <w:sz w:val="22"/>
        <w:u w:val="none"/>
      </w:rPr>
    </w:lvl>
    <w:lvl w:ilvl="2">
      <w:start w:val="1"/>
      <w:numFmt w:val="decimal"/>
      <w:suff w:val="space"/>
      <w:lvlText w:val="%3. "/>
      <w:lvlJc w:val="center"/>
      <w:pPr>
        <w:ind w:left="0" w:firstLine="0"/>
      </w:pPr>
      <w:rPr>
        <w:b w:val="0"/>
        <w:sz w:val="22"/>
        <w:u w:val="none"/>
      </w:rPr>
    </w:lvl>
    <w:lvl w:ilvl="3">
      <w:start w:val="1"/>
      <w:numFmt w:val="decimal"/>
      <w:lvlRestart w:val="0"/>
      <w:lvlText w:val="%4."/>
      <w:lvlJc w:val="left"/>
      <w:pPr>
        <w:tabs>
          <w:tab w:val="num" w:pos="720"/>
        </w:tabs>
        <w:ind w:left="0" w:firstLine="0"/>
      </w:pPr>
      <w:rPr>
        <w:b w:val="0"/>
        <w:sz w:val="22"/>
      </w:rPr>
    </w:lvl>
    <w:lvl w:ilvl="4">
      <w:start w:val="1"/>
      <w:numFmt w:val="lowerLetter"/>
      <w:lvlText w:val="(%5)"/>
      <w:lvlJc w:val="left"/>
      <w:pPr>
        <w:tabs>
          <w:tab w:val="num" w:pos="1440"/>
        </w:tabs>
        <w:ind w:left="1440" w:hanging="720"/>
      </w:pPr>
      <w:rPr>
        <w:b w:val="0"/>
        <w:sz w:val="22"/>
      </w:rPr>
    </w:lvl>
    <w:lvl w:ilvl="5">
      <w:start w:val="1"/>
      <w:numFmt w:val="lowerRoman"/>
      <w:lvlText w:val="(%6)"/>
      <w:lvlJc w:val="right"/>
      <w:pPr>
        <w:tabs>
          <w:tab w:val="num" w:pos="2160"/>
        </w:tabs>
        <w:ind w:left="2160" w:hanging="573"/>
      </w:pPr>
    </w:lvl>
    <w:lvl w:ilvl="6">
      <w:start w:val="1"/>
      <w:numFmt w:val="lowerLetter"/>
      <w:lvlText w:val=""/>
      <w:lvlJc w:val="left"/>
      <w:pPr>
        <w:tabs>
          <w:tab w:val="num" w:pos="2880"/>
        </w:tabs>
        <w:ind w:left="2880" w:hanging="720"/>
      </w:pPr>
      <w:rPr>
        <w:rFonts w:ascii="Symbol" w:hAnsi="Symbol" w:hint="default"/>
      </w:rPr>
    </w:lvl>
    <w:lvl w:ilvl="7">
      <w:start w:val="1"/>
      <w:numFmt w:val="none"/>
      <w:lvlText w:val="[%4.%8"/>
      <w:lvlJc w:val="left"/>
      <w:pPr>
        <w:tabs>
          <w:tab w:val="num" w:pos="720"/>
        </w:tabs>
        <w:ind w:left="0" w:firstLine="0"/>
      </w:pPr>
    </w:lvl>
    <w:lvl w:ilvl="8">
      <w:start w:val="1"/>
      <w:numFmt w:val="none"/>
      <w:lvlText w:val="[(%5)%9"/>
      <w:lvlJc w:val="left"/>
      <w:pPr>
        <w:tabs>
          <w:tab w:val="num" w:pos="1440"/>
        </w:tabs>
        <w:ind w:left="1440" w:hanging="720"/>
      </w:pPr>
    </w:lvl>
  </w:abstractNum>
  <w:abstractNum w:abstractNumId="105" w15:restartNumberingAfterBreak="0">
    <w:nsid w:val="6FF560E4"/>
    <w:multiLevelType w:val="multilevel"/>
    <w:tmpl w:val="0E4A9DFC"/>
    <w:name w:val="Reg27"/>
    <w:lvl w:ilvl="0">
      <w:start w:val="1"/>
      <w:numFmt w:val="upperRoman"/>
      <w:suff w:val="space"/>
      <w:lvlText w:val="%1."/>
      <w:lvlJc w:val="left"/>
      <w:pPr>
        <w:ind w:left="720" w:hanging="720"/>
      </w:pPr>
      <w:rPr>
        <w:rFonts w:hint="default"/>
        <w:b/>
        <w:i w:val="0"/>
        <w:sz w:val="20"/>
      </w:rPr>
    </w:lvl>
    <w:lvl w:ilvl="1">
      <w:start w:val="1"/>
      <w:numFmt w:val="upperLetter"/>
      <w:suff w:val="space"/>
      <w:lvlText w:val="%2. "/>
      <w:lvlJc w:val="left"/>
      <w:pPr>
        <w:ind w:left="0" w:firstLine="0"/>
      </w:pPr>
      <w:rPr>
        <w:rFonts w:hint="default"/>
        <w:b w:val="0"/>
        <w:i w:val="0"/>
        <w:sz w:val="22"/>
        <w:u w:val="none"/>
      </w:rPr>
    </w:lvl>
    <w:lvl w:ilvl="2">
      <w:start w:val="1"/>
      <w:numFmt w:val="decimal"/>
      <w:lvlText w:val="%3."/>
      <w:lvlJc w:val="left"/>
      <w:pPr>
        <w:tabs>
          <w:tab w:val="num" w:pos="2160"/>
        </w:tabs>
        <w:ind w:left="2160" w:hanging="720"/>
      </w:pPr>
      <w:rPr>
        <w:rFonts w:hint="default"/>
        <w:b w:val="0"/>
        <w:i w:val="0"/>
        <w:sz w:val="22"/>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6" w15:restartNumberingAfterBreak="0">
    <w:nsid w:val="707EEB35"/>
    <w:multiLevelType w:val="hybridMultilevel"/>
    <w:tmpl w:val="A2A88A7A"/>
    <w:lvl w:ilvl="0" w:tplc="1528E970">
      <w:start w:val="1"/>
      <w:numFmt w:val="bullet"/>
      <w:lvlText w:val="-"/>
      <w:lvlJc w:val="left"/>
      <w:pPr>
        <w:ind w:left="360" w:hanging="360"/>
      </w:pPr>
      <w:rPr>
        <w:rFonts w:ascii="Aptos" w:hAnsi="Aptos" w:hint="default"/>
      </w:rPr>
    </w:lvl>
    <w:lvl w:ilvl="1" w:tplc="F7CE5254">
      <w:start w:val="1"/>
      <w:numFmt w:val="bullet"/>
      <w:lvlText w:val="o"/>
      <w:lvlJc w:val="left"/>
      <w:pPr>
        <w:ind w:left="1080" w:hanging="360"/>
      </w:pPr>
      <w:rPr>
        <w:rFonts w:ascii="Courier New" w:hAnsi="Courier New" w:hint="default"/>
      </w:rPr>
    </w:lvl>
    <w:lvl w:ilvl="2" w:tplc="D60059C8">
      <w:start w:val="1"/>
      <w:numFmt w:val="bullet"/>
      <w:lvlText w:val=""/>
      <w:lvlJc w:val="left"/>
      <w:pPr>
        <w:ind w:left="1800" w:hanging="360"/>
      </w:pPr>
      <w:rPr>
        <w:rFonts w:ascii="Wingdings" w:hAnsi="Wingdings" w:hint="default"/>
      </w:rPr>
    </w:lvl>
    <w:lvl w:ilvl="3" w:tplc="C3147E48">
      <w:start w:val="1"/>
      <w:numFmt w:val="bullet"/>
      <w:lvlText w:val=""/>
      <w:lvlJc w:val="left"/>
      <w:pPr>
        <w:ind w:left="2520" w:hanging="360"/>
      </w:pPr>
      <w:rPr>
        <w:rFonts w:ascii="Symbol" w:hAnsi="Symbol" w:hint="default"/>
      </w:rPr>
    </w:lvl>
    <w:lvl w:ilvl="4" w:tplc="08180500">
      <w:start w:val="1"/>
      <w:numFmt w:val="bullet"/>
      <w:lvlText w:val="o"/>
      <w:lvlJc w:val="left"/>
      <w:pPr>
        <w:ind w:left="3240" w:hanging="360"/>
      </w:pPr>
      <w:rPr>
        <w:rFonts w:ascii="Courier New" w:hAnsi="Courier New" w:hint="default"/>
      </w:rPr>
    </w:lvl>
    <w:lvl w:ilvl="5" w:tplc="385218C0">
      <w:start w:val="1"/>
      <w:numFmt w:val="bullet"/>
      <w:lvlText w:val=""/>
      <w:lvlJc w:val="left"/>
      <w:pPr>
        <w:ind w:left="3960" w:hanging="360"/>
      </w:pPr>
      <w:rPr>
        <w:rFonts w:ascii="Wingdings" w:hAnsi="Wingdings" w:hint="default"/>
      </w:rPr>
    </w:lvl>
    <w:lvl w:ilvl="6" w:tplc="F79CA56A">
      <w:start w:val="1"/>
      <w:numFmt w:val="bullet"/>
      <w:lvlText w:val=""/>
      <w:lvlJc w:val="left"/>
      <w:pPr>
        <w:ind w:left="4680" w:hanging="360"/>
      </w:pPr>
      <w:rPr>
        <w:rFonts w:ascii="Symbol" w:hAnsi="Symbol" w:hint="default"/>
      </w:rPr>
    </w:lvl>
    <w:lvl w:ilvl="7" w:tplc="5A12FE26">
      <w:start w:val="1"/>
      <w:numFmt w:val="bullet"/>
      <w:lvlText w:val="o"/>
      <w:lvlJc w:val="left"/>
      <w:pPr>
        <w:ind w:left="5400" w:hanging="360"/>
      </w:pPr>
      <w:rPr>
        <w:rFonts w:ascii="Courier New" w:hAnsi="Courier New" w:hint="default"/>
      </w:rPr>
    </w:lvl>
    <w:lvl w:ilvl="8" w:tplc="BBB6E1C6">
      <w:start w:val="1"/>
      <w:numFmt w:val="bullet"/>
      <w:lvlText w:val=""/>
      <w:lvlJc w:val="left"/>
      <w:pPr>
        <w:ind w:left="6120" w:hanging="360"/>
      </w:pPr>
      <w:rPr>
        <w:rFonts w:ascii="Wingdings" w:hAnsi="Wingdings" w:hint="default"/>
      </w:rPr>
    </w:lvl>
  </w:abstractNum>
  <w:abstractNum w:abstractNumId="107" w15:restartNumberingAfterBreak="0">
    <w:nsid w:val="71B16BAA"/>
    <w:multiLevelType w:val="hybridMultilevel"/>
    <w:tmpl w:val="6E0E6AE8"/>
    <w:lvl w:ilvl="0" w:tplc="4288A814">
      <w:start w:val="1"/>
      <w:numFmt w:val="bullet"/>
      <w:lvlText w:val=""/>
      <w:lvlJc w:val="left"/>
      <w:pPr>
        <w:ind w:left="720" w:hanging="360"/>
      </w:pPr>
      <w:rPr>
        <w:rFonts w:ascii="Symbol" w:hAnsi="Symbol" w:hint="default"/>
      </w:rPr>
    </w:lvl>
    <w:lvl w:ilvl="1" w:tplc="9F921D84">
      <w:start w:val="1"/>
      <w:numFmt w:val="bullet"/>
      <w:lvlText w:val="o"/>
      <w:lvlJc w:val="left"/>
      <w:pPr>
        <w:ind w:left="1440" w:hanging="360"/>
      </w:pPr>
      <w:rPr>
        <w:rFonts w:ascii="Courier New" w:hAnsi="Courier New" w:hint="default"/>
      </w:rPr>
    </w:lvl>
    <w:lvl w:ilvl="2" w:tplc="A0D69B90" w:tentative="1">
      <w:start w:val="1"/>
      <w:numFmt w:val="bullet"/>
      <w:lvlText w:val=""/>
      <w:lvlJc w:val="left"/>
      <w:pPr>
        <w:ind w:left="2160" w:hanging="360"/>
      </w:pPr>
      <w:rPr>
        <w:rFonts w:ascii="Wingdings" w:hAnsi="Wingdings" w:hint="default"/>
      </w:rPr>
    </w:lvl>
    <w:lvl w:ilvl="3" w:tplc="85F23AD0" w:tentative="1">
      <w:start w:val="1"/>
      <w:numFmt w:val="bullet"/>
      <w:lvlText w:val=""/>
      <w:lvlJc w:val="left"/>
      <w:pPr>
        <w:ind w:left="2880" w:hanging="360"/>
      </w:pPr>
      <w:rPr>
        <w:rFonts w:ascii="Symbol" w:hAnsi="Symbol" w:hint="default"/>
      </w:rPr>
    </w:lvl>
    <w:lvl w:ilvl="4" w:tplc="C5D2842E" w:tentative="1">
      <w:start w:val="1"/>
      <w:numFmt w:val="bullet"/>
      <w:lvlText w:val="o"/>
      <w:lvlJc w:val="left"/>
      <w:pPr>
        <w:ind w:left="3600" w:hanging="360"/>
      </w:pPr>
      <w:rPr>
        <w:rFonts w:ascii="Courier New" w:hAnsi="Courier New" w:hint="default"/>
      </w:rPr>
    </w:lvl>
    <w:lvl w:ilvl="5" w:tplc="483EE68A" w:tentative="1">
      <w:start w:val="1"/>
      <w:numFmt w:val="bullet"/>
      <w:lvlText w:val=""/>
      <w:lvlJc w:val="left"/>
      <w:pPr>
        <w:ind w:left="4320" w:hanging="360"/>
      </w:pPr>
      <w:rPr>
        <w:rFonts w:ascii="Wingdings" w:hAnsi="Wingdings" w:hint="default"/>
      </w:rPr>
    </w:lvl>
    <w:lvl w:ilvl="6" w:tplc="DFD0C550" w:tentative="1">
      <w:start w:val="1"/>
      <w:numFmt w:val="bullet"/>
      <w:lvlText w:val=""/>
      <w:lvlJc w:val="left"/>
      <w:pPr>
        <w:ind w:left="5040" w:hanging="360"/>
      </w:pPr>
      <w:rPr>
        <w:rFonts w:ascii="Symbol" w:hAnsi="Symbol" w:hint="default"/>
      </w:rPr>
    </w:lvl>
    <w:lvl w:ilvl="7" w:tplc="2DEE4896" w:tentative="1">
      <w:start w:val="1"/>
      <w:numFmt w:val="bullet"/>
      <w:lvlText w:val="o"/>
      <w:lvlJc w:val="left"/>
      <w:pPr>
        <w:ind w:left="5760" w:hanging="360"/>
      </w:pPr>
      <w:rPr>
        <w:rFonts w:ascii="Courier New" w:hAnsi="Courier New" w:hint="default"/>
      </w:rPr>
    </w:lvl>
    <w:lvl w:ilvl="8" w:tplc="FEF8F5A2" w:tentative="1">
      <w:start w:val="1"/>
      <w:numFmt w:val="bullet"/>
      <w:lvlText w:val=""/>
      <w:lvlJc w:val="left"/>
      <w:pPr>
        <w:ind w:left="6480" w:hanging="360"/>
      </w:pPr>
      <w:rPr>
        <w:rFonts w:ascii="Wingdings" w:hAnsi="Wingdings" w:hint="default"/>
      </w:rPr>
    </w:lvl>
  </w:abstractNum>
  <w:abstractNum w:abstractNumId="108" w15:restartNumberingAfterBreak="0">
    <w:nsid w:val="71DD7AB0"/>
    <w:multiLevelType w:val="multilevel"/>
    <w:tmpl w:val="EBDC11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736E20B7"/>
    <w:multiLevelType w:val="multilevel"/>
    <w:tmpl w:val="7F24F2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74941B58"/>
    <w:multiLevelType w:val="hybridMultilevel"/>
    <w:tmpl w:val="FFFFFFFF"/>
    <w:lvl w:ilvl="0" w:tplc="70362EF0">
      <w:start w:val="1"/>
      <w:numFmt w:val="bullet"/>
      <w:lvlText w:val=""/>
      <w:lvlJc w:val="left"/>
      <w:pPr>
        <w:ind w:left="720" w:hanging="360"/>
      </w:pPr>
      <w:rPr>
        <w:rFonts w:ascii="Symbol" w:hAnsi="Symbol" w:hint="default"/>
      </w:rPr>
    </w:lvl>
    <w:lvl w:ilvl="1" w:tplc="016A78A6">
      <w:start w:val="1"/>
      <w:numFmt w:val="bullet"/>
      <w:lvlText w:val="o"/>
      <w:lvlJc w:val="left"/>
      <w:pPr>
        <w:ind w:left="1440" w:hanging="360"/>
      </w:pPr>
      <w:rPr>
        <w:rFonts w:ascii="Courier New" w:hAnsi="Courier New" w:hint="default"/>
      </w:rPr>
    </w:lvl>
    <w:lvl w:ilvl="2" w:tplc="034AAA44">
      <w:start w:val="1"/>
      <w:numFmt w:val="bullet"/>
      <w:lvlText w:val=""/>
      <w:lvlJc w:val="left"/>
      <w:pPr>
        <w:ind w:left="2160" w:hanging="360"/>
      </w:pPr>
      <w:rPr>
        <w:rFonts w:ascii="Wingdings" w:hAnsi="Wingdings" w:hint="default"/>
      </w:rPr>
    </w:lvl>
    <w:lvl w:ilvl="3" w:tplc="6CE2B234">
      <w:start w:val="1"/>
      <w:numFmt w:val="bullet"/>
      <w:lvlText w:val=""/>
      <w:lvlJc w:val="left"/>
      <w:pPr>
        <w:ind w:left="2880" w:hanging="360"/>
      </w:pPr>
      <w:rPr>
        <w:rFonts w:ascii="Symbol" w:hAnsi="Symbol" w:hint="default"/>
      </w:rPr>
    </w:lvl>
    <w:lvl w:ilvl="4" w:tplc="F8128FFE">
      <w:start w:val="1"/>
      <w:numFmt w:val="bullet"/>
      <w:lvlText w:val="o"/>
      <w:lvlJc w:val="left"/>
      <w:pPr>
        <w:ind w:left="3600" w:hanging="360"/>
      </w:pPr>
      <w:rPr>
        <w:rFonts w:ascii="Courier New" w:hAnsi="Courier New" w:hint="default"/>
      </w:rPr>
    </w:lvl>
    <w:lvl w:ilvl="5" w:tplc="707A64F4">
      <w:start w:val="1"/>
      <w:numFmt w:val="bullet"/>
      <w:lvlText w:val=""/>
      <w:lvlJc w:val="left"/>
      <w:pPr>
        <w:ind w:left="4320" w:hanging="360"/>
      </w:pPr>
      <w:rPr>
        <w:rFonts w:ascii="Wingdings" w:hAnsi="Wingdings" w:hint="default"/>
      </w:rPr>
    </w:lvl>
    <w:lvl w:ilvl="6" w:tplc="3C96A530">
      <w:start w:val="1"/>
      <w:numFmt w:val="bullet"/>
      <w:lvlText w:val=""/>
      <w:lvlJc w:val="left"/>
      <w:pPr>
        <w:ind w:left="5040" w:hanging="360"/>
      </w:pPr>
      <w:rPr>
        <w:rFonts w:ascii="Symbol" w:hAnsi="Symbol" w:hint="default"/>
      </w:rPr>
    </w:lvl>
    <w:lvl w:ilvl="7" w:tplc="A07C65B6">
      <w:start w:val="1"/>
      <w:numFmt w:val="bullet"/>
      <w:lvlText w:val="o"/>
      <w:lvlJc w:val="left"/>
      <w:pPr>
        <w:ind w:left="5760" w:hanging="360"/>
      </w:pPr>
      <w:rPr>
        <w:rFonts w:ascii="Courier New" w:hAnsi="Courier New" w:hint="default"/>
      </w:rPr>
    </w:lvl>
    <w:lvl w:ilvl="8" w:tplc="8694503E">
      <w:start w:val="1"/>
      <w:numFmt w:val="bullet"/>
      <w:lvlText w:val=""/>
      <w:lvlJc w:val="left"/>
      <w:pPr>
        <w:ind w:left="6480" w:hanging="360"/>
      </w:pPr>
      <w:rPr>
        <w:rFonts w:ascii="Wingdings" w:hAnsi="Wingdings" w:hint="default"/>
      </w:rPr>
    </w:lvl>
  </w:abstractNum>
  <w:abstractNum w:abstractNumId="111" w15:restartNumberingAfterBreak="0">
    <w:nsid w:val="74B228ED"/>
    <w:multiLevelType w:val="multilevel"/>
    <w:tmpl w:val="A4086D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74C33EFF"/>
    <w:multiLevelType w:val="multilevel"/>
    <w:tmpl w:val="D9DEA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75905E57"/>
    <w:multiLevelType w:val="multilevel"/>
    <w:tmpl w:val="ED14A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4" w15:restartNumberingAfterBreak="0">
    <w:nsid w:val="75906882"/>
    <w:multiLevelType w:val="hybridMultilevel"/>
    <w:tmpl w:val="028C0C32"/>
    <w:name w:val="Reg28"/>
    <w:lvl w:ilvl="0" w:tplc="03DEC4E8">
      <w:start w:val="1"/>
      <w:numFmt w:val="bullet"/>
      <w:lvlText w:val=""/>
      <w:lvlJc w:val="left"/>
      <w:pPr>
        <w:tabs>
          <w:tab w:val="num" w:pos="720"/>
        </w:tabs>
        <w:ind w:left="720" w:hanging="360"/>
      </w:pPr>
      <w:rPr>
        <w:rFonts w:ascii="Symbol" w:hAnsi="Symbol" w:hint="default"/>
      </w:rPr>
    </w:lvl>
    <w:lvl w:ilvl="1" w:tplc="8AA43FB0" w:tentative="1">
      <w:start w:val="1"/>
      <w:numFmt w:val="bullet"/>
      <w:lvlText w:val="o"/>
      <w:lvlJc w:val="left"/>
      <w:pPr>
        <w:tabs>
          <w:tab w:val="num" w:pos="1440"/>
        </w:tabs>
        <w:ind w:left="1440" w:hanging="360"/>
      </w:pPr>
      <w:rPr>
        <w:rFonts w:ascii="Courier New" w:hAnsi="Courier New" w:hint="default"/>
      </w:rPr>
    </w:lvl>
    <w:lvl w:ilvl="2" w:tplc="C86089E4" w:tentative="1">
      <w:start w:val="1"/>
      <w:numFmt w:val="bullet"/>
      <w:lvlText w:val=""/>
      <w:lvlJc w:val="left"/>
      <w:pPr>
        <w:tabs>
          <w:tab w:val="num" w:pos="2160"/>
        </w:tabs>
        <w:ind w:left="2160" w:hanging="360"/>
      </w:pPr>
      <w:rPr>
        <w:rFonts w:ascii="Wingdings" w:hAnsi="Wingdings" w:hint="default"/>
      </w:rPr>
    </w:lvl>
    <w:lvl w:ilvl="3" w:tplc="684CA72E" w:tentative="1">
      <w:start w:val="1"/>
      <w:numFmt w:val="bullet"/>
      <w:lvlText w:val=""/>
      <w:lvlJc w:val="left"/>
      <w:pPr>
        <w:tabs>
          <w:tab w:val="num" w:pos="2880"/>
        </w:tabs>
        <w:ind w:left="2880" w:hanging="360"/>
      </w:pPr>
      <w:rPr>
        <w:rFonts w:ascii="Symbol" w:hAnsi="Symbol" w:hint="default"/>
      </w:rPr>
    </w:lvl>
    <w:lvl w:ilvl="4" w:tplc="06A09FC6">
      <w:start w:val="1"/>
      <w:numFmt w:val="bullet"/>
      <w:lvlText w:val="o"/>
      <w:lvlJc w:val="left"/>
      <w:pPr>
        <w:tabs>
          <w:tab w:val="num" w:pos="3600"/>
        </w:tabs>
        <w:ind w:left="3600" w:hanging="360"/>
      </w:pPr>
      <w:rPr>
        <w:rFonts w:ascii="Courier New" w:hAnsi="Courier New" w:hint="default"/>
      </w:rPr>
    </w:lvl>
    <w:lvl w:ilvl="5" w:tplc="FDB82654" w:tentative="1">
      <w:start w:val="1"/>
      <w:numFmt w:val="bullet"/>
      <w:lvlText w:val=""/>
      <w:lvlJc w:val="left"/>
      <w:pPr>
        <w:tabs>
          <w:tab w:val="num" w:pos="4320"/>
        </w:tabs>
        <w:ind w:left="4320" w:hanging="360"/>
      </w:pPr>
      <w:rPr>
        <w:rFonts w:ascii="Wingdings" w:hAnsi="Wingdings" w:hint="default"/>
      </w:rPr>
    </w:lvl>
    <w:lvl w:ilvl="6" w:tplc="AAC861AE" w:tentative="1">
      <w:start w:val="1"/>
      <w:numFmt w:val="bullet"/>
      <w:lvlText w:val=""/>
      <w:lvlJc w:val="left"/>
      <w:pPr>
        <w:tabs>
          <w:tab w:val="num" w:pos="5040"/>
        </w:tabs>
        <w:ind w:left="5040" w:hanging="360"/>
      </w:pPr>
      <w:rPr>
        <w:rFonts w:ascii="Symbol" w:hAnsi="Symbol" w:hint="default"/>
      </w:rPr>
    </w:lvl>
    <w:lvl w:ilvl="7" w:tplc="ABC41C8E" w:tentative="1">
      <w:start w:val="1"/>
      <w:numFmt w:val="bullet"/>
      <w:lvlText w:val="o"/>
      <w:lvlJc w:val="left"/>
      <w:pPr>
        <w:tabs>
          <w:tab w:val="num" w:pos="5760"/>
        </w:tabs>
        <w:ind w:left="5760" w:hanging="360"/>
      </w:pPr>
      <w:rPr>
        <w:rFonts w:ascii="Courier New" w:hAnsi="Courier New" w:hint="default"/>
      </w:rPr>
    </w:lvl>
    <w:lvl w:ilvl="8" w:tplc="FDC41136" w:tentative="1">
      <w:start w:val="1"/>
      <w:numFmt w:val="bullet"/>
      <w:lvlText w:val=""/>
      <w:lvlJc w:val="left"/>
      <w:pPr>
        <w:tabs>
          <w:tab w:val="num" w:pos="6480"/>
        </w:tabs>
        <w:ind w:left="6480" w:hanging="360"/>
      </w:pPr>
      <w:rPr>
        <w:rFonts w:ascii="Wingdings" w:hAnsi="Wingdings" w:hint="default"/>
      </w:rPr>
    </w:lvl>
  </w:abstractNum>
  <w:abstractNum w:abstractNumId="115" w15:restartNumberingAfterBreak="0">
    <w:nsid w:val="776A6C67"/>
    <w:multiLevelType w:val="multilevel"/>
    <w:tmpl w:val="140EB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15:restartNumberingAfterBreak="0">
    <w:nsid w:val="77BF3D54"/>
    <w:multiLevelType w:val="multilevel"/>
    <w:tmpl w:val="81E46A44"/>
    <w:styleLink w:val="SDMHeadList"/>
    <w:lvl w:ilvl="0">
      <w:start w:val="1"/>
      <w:numFmt w:val="decimal"/>
      <w:lvlText w:val="%1."/>
      <w:lvlJc w:val="left"/>
      <w:pPr>
        <w:tabs>
          <w:tab w:val="num" w:pos="709"/>
        </w:tabs>
        <w:ind w:left="709" w:hanging="709"/>
      </w:pPr>
      <w:rPr>
        <w:rFonts w:hint="default"/>
      </w:rPr>
    </w:lvl>
    <w:lvl w:ilvl="1">
      <w:start w:val="1"/>
      <w:numFmt w:val="decimal"/>
      <w:lvlText w:val="%1.%2."/>
      <w:lvlJc w:val="left"/>
      <w:pPr>
        <w:tabs>
          <w:tab w:val="num" w:pos="709"/>
        </w:tabs>
        <w:ind w:left="709" w:hanging="709"/>
      </w:pPr>
      <w:rPr>
        <w:rFonts w:hint="default"/>
      </w:rPr>
    </w:lvl>
    <w:lvl w:ilvl="2">
      <w:start w:val="1"/>
      <w:numFmt w:val="decimal"/>
      <w:lvlText w:val="%1.%2.%3."/>
      <w:lvlJc w:val="left"/>
      <w:pPr>
        <w:tabs>
          <w:tab w:val="num" w:pos="709"/>
        </w:tabs>
        <w:ind w:left="709" w:hanging="709"/>
      </w:pPr>
      <w:rPr>
        <w:rFonts w:hint="default"/>
      </w:rPr>
    </w:lvl>
    <w:lvl w:ilvl="3">
      <w:start w:val="1"/>
      <w:numFmt w:val="decimal"/>
      <w:lvlText w:val="%1.%2.%3.%4."/>
      <w:lvlJc w:val="left"/>
      <w:pPr>
        <w:tabs>
          <w:tab w:val="num" w:pos="1418"/>
        </w:tabs>
        <w:ind w:left="1418" w:hanging="1418"/>
      </w:pPr>
      <w:rPr>
        <w:rFonts w:hint="default"/>
      </w:rPr>
    </w:lvl>
    <w:lvl w:ilvl="4">
      <w:start w:val="1"/>
      <w:numFmt w:val="decimal"/>
      <w:lvlText w:val="%1.%2.%3.%4.%5."/>
      <w:lvlJc w:val="left"/>
      <w:pPr>
        <w:tabs>
          <w:tab w:val="num" w:pos="1418"/>
        </w:tabs>
        <w:ind w:left="1418" w:hanging="1418"/>
      </w:pPr>
      <w:rPr>
        <w:rFonts w:hint="default"/>
        <w:b/>
        <w:i w:val="0"/>
      </w:rPr>
    </w:lvl>
    <w:lvl w:ilvl="5">
      <w:start w:val="1"/>
      <w:numFmt w:val="none"/>
      <w:suff w:val="nothing"/>
      <w:lvlText w:val=""/>
      <w:lvlJc w:val="left"/>
      <w:pPr>
        <w:ind w:left="-32767" w:firstLine="0"/>
      </w:pPr>
      <w:rPr>
        <w:rFonts w:hint="default"/>
      </w:rPr>
    </w:lvl>
    <w:lvl w:ilvl="6">
      <w:start w:val="1"/>
      <w:numFmt w:val="none"/>
      <w:suff w:val="nothing"/>
      <w:lvlText w:val=""/>
      <w:lvlJc w:val="left"/>
      <w:pPr>
        <w:ind w:left="-32767" w:firstLine="0"/>
      </w:pPr>
      <w:rPr>
        <w:rFonts w:hint="default"/>
      </w:rPr>
    </w:lvl>
    <w:lvl w:ilvl="7">
      <w:start w:val="1"/>
      <w:numFmt w:val="none"/>
      <w:suff w:val="nothing"/>
      <w:lvlText w:val=""/>
      <w:lvlJc w:val="left"/>
      <w:pPr>
        <w:ind w:left="-32767" w:firstLine="0"/>
      </w:pPr>
      <w:rPr>
        <w:rFonts w:hint="default"/>
      </w:rPr>
    </w:lvl>
    <w:lvl w:ilvl="8">
      <w:start w:val="1"/>
      <w:numFmt w:val="none"/>
      <w:suff w:val="nothing"/>
      <w:lvlText w:val=""/>
      <w:lvlJc w:val="left"/>
      <w:pPr>
        <w:ind w:left="-32767" w:firstLine="0"/>
      </w:pPr>
      <w:rPr>
        <w:rFonts w:hint="default"/>
      </w:rPr>
    </w:lvl>
  </w:abstractNum>
  <w:abstractNum w:abstractNumId="117" w15:restartNumberingAfterBreak="0">
    <w:nsid w:val="79242167"/>
    <w:multiLevelType w:val="multilevel"/>
    <w:tmpl w:val="2CCE5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7CBA47F7"/>
    <w:multiLevelType w:val="hybridMultilevel"/>
    <w:tmpl w:val="0A4A371A"/>
    <w:name w:val="Reg36"/>
    <w:lvl w:ilvl="0" w:tplc="FFFFFFFF">
      <w:start w:val="1"/>
      <w:numFmt w:val="lowerRoman"/>
      <w:lvlText w:val="(%1)"/>
      <w:lvlJc w:val="left"/>
      <w:pPr>
        <w:tabs>
          <w:tab w:val="num" w:pos="1440"/>
        </w:tabs>
        <w:ind w:left="887" w:hanging="167"/>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7EB3B6F9"/>
    <w:multiLevelType w:val="hybridMultilevel"/>
    <w:tmpl w:val="FFFFFFFF"/>
    <w:lvl w:ilvl="0" w:tplc="95A098AA">
      <w:start w:val="1"/>
      <w:numFmt w:val="bullet"/>
      <w:lvlText w:val=""/>
      <w:lvlJc w:val="left"/>
      <w:pPr>
        <w:ind w:left="720" w:hanging="360"/>
      </w:pPr>
      <w:rPr>
        <w:rFonts w:ascii="Symbol" w:hAnsi="Symbol" w:hint="default"/>
      </w:rPr>
    </w:lvl>
    <w:lvl w:ilvl="1" w:tplc="2B1E6EBE">
      <w:start w:val="1"/>
      <w:numFmt w:val="bullet"/>
      <w:lvlText w:val="o"/>
      <w:lvlJc w:val="left"/>
      <w:pPr>
        <w:ind w:left="1440" w:hanging="360"/>
      </w:pPr>
      <w:rPr>
        <w:rFonts w:ascii="Courier New" w:hAnsi="Courier New" w:hint="default"/>
      </w:rPr>
    </w:lvl>
    <w:lvl w:ilvl="2" w:tplc="084825A6">
      <w:start w:val="1"/>
      <w:numFmt w:val="bullet"/>
      <w:lvlText w:val=""/>
      <w:lvlJc w:val="left"/>
      <w:pPr>
        <w:ind w:left="2160" w:hanging="360"/>
      </w:pPr>
      <w:rPr>
        <w:rFonts w:ascii="Wingdings" w:hAnsi="Wingdings" w:hint="default"/>
      </w:rPr>
    </w:lvl>
    <w:lvl w:ilvl="3" w:tplc="D5FA6BD4">
      <w:start w:val="1"/>
      <w:numFmt w:val="bullet"/>
      <w:lvlText w:val=""/>
      <w:lvlJc w:val="left"/>
      <w:pPr>
        <w:ind w:left="2880" w:hanging="360"/>
      </w:pPr>
      <w:rPr>
        <w:rFonts w:ascii="Symbol" w:hAnsi="Symbol" w:hint="default"/>
      </w:rPr>
    </w:lvl>
    <w:lvl w:ilvl="4" w:tplc="29F02D6E">
      <w:start w:val="1"/>
      <w:numFmt w:val="bullet"/>
      <w:lvlText w:val="o"/>
      <w:lvlJc w:val="left"/>
      <w:pPr>
        <w:ind w:left="3600" w:hanging="360"/>
      </w:pPr>
      <w:rPr>
        <w:rFonts w:ascii="Courier New" w:hAnsi="Courier New" w:hint="default"/>
      </w:rPr>
    </w:lvl>
    <w:lvl w:ilvl="5" w:tplc="5866BB74">
      <w:start w:val="1"/>
      <w:numFmt w:val="bullet"/>
      <w:lvlText w:val=""/>
      <w:lvlJc w:val="left"/>
      <w:pPr>
        <w:ind w:left="4320" w:hanging="360"/>
      </w:pPr>
      <w:rPr>
        <w:rFonts w:ascii="Wingdings" w:hAnsi="Wingdings" w:hint="default"/>
      </w:rPr>
    </w:lvl>
    <w:lvl w:ilvl="6" w:tplc="099054DA">
      <w:start w:val="1"/>
      <w:numFmt w:val="bullet"/>
      <w:lvlText w:val=""/>
      <w:lvlJc w:val="left"/>
      <w:pPr>
        <w:ind w:left="5040" w:hanging="360"/>
      </w:pPr>
      <w:rPr>
        <w:rFonts w:ascii="Symbol" w:hAnsi="Symbol" w:hint="default"/>
      </w:rPr>
    </w:lvl>
    <w:lvl w:ilvl="7" w:tplc="9CC00EF4">
      <w:start w:val="1"/>
      <w:numFmt w:val="bullet"/>
      <w:lvlText w:val="o"/>
      <w:lvlJc w:val="left"/>
      <w:pPr>
        <w:ind w:left="5760" w:hanging="360"/>
      </w:pPr>
      <w:rPr>
        <w:rFonts w:ascii="Courier New" w:hAnsi="Courier New" w:hint="default"/>
      </w:rPr>
    </w:lvl>
    <w:lvl w:ilvl="8" w:tplc="23FE1DF8">
      <w:start w:val="1"/>
      <w:numFmt w:val="bullet"/>
      <w:lvlText w:val=""/>
      <w:lvlJc w:val="left"/>
      <w:pPr>
        <w:ind w:left="6480" w:hanging="360"/>
      </w:pPr>
      <w:rPr>
        <w:rFonts w:ascii="Wingdings" w:hAnsi="Wingdings" w:hint="default"/>
      </w:rPr>
    </w:lvl>
  </w:abstractNum>
  <w:abstractNum w:abstractNumId="120" w15:restartNumberingAfterBreak="0">
    <w:nsid w:val="7EE9F9C0"/>
    <w:multiLevelType w:val="hybridMultilevel"/>
    <w:tmpl w:val="FFFFFFFF"/>
    <w:lvl w:ilvl="0" w:tplc="622456B8">
      <w:start w:val="1"/>
      <w:numFmt w:val="bullet"/>
      <w:lvlText w:val=""/>
      <w:lvlJc w:val="left"/>
      <w:pPr>
        <w:ind w:left="720" w:hanging="360"/>
      </w:pPr>
      <w:rPr>
        <w:rFonts w:ascii="Symbol" w:hAnsi="Symbol" w:hint="default"/>
      </w:rPr>
    </w:lvl>
    <w:lvl w:ilvl="1" w:tplc="35649968">
      <w:start w:val="1"/>
      <w:numFmt w:val="bullet"/>
      <w:lvlText w:val="o"/>
      <w:lvlJc w:val="left"/>
      <w:pPr>
        <w:ind w:left="1440" w:hanging="360"/>
      </w:pPr>
      <w:rPr>
        <w:rFonts w:ascii="Courier New" w:hAnsi="Courier New" w:hint="default"/>
      </w:rPr>
    </w:lvl>
    <w:lvl w:ilvl="2" w:tplc="D15EA434">
      <w:start w:val="1"/>
      <w:numFmt w:val="bullet"/>
      <w:lvlText w:val=""/>
      <w:lvlJc w:val="left"/>
      <w:pPr>
        <w:ind w:left="2160" w:hanging="360"/>
      </w:pPr>
      <w:rPr>
        <w:rFonts w:ascii="Wingdings" w:hAnsi="Wingdings" w:hint="default"/>
      </w:rPr>
    </w:lvl>
    <w:lvl w:ilvl="3" w:tplc="D4600B26">
      <w:start w:val="1"/>
      <w:numFmt w:val="bullet"/>
      <w:lvlText w:val=""/>
      <w:lvlJc w:val="left"/>
      <w:pPr>
        <w:ind w:left="2880" w:hanging="360"/>
      </w:pPr>
      <w:rPr>
        <w:rFonts w:ascii="Symbol" w:hAnsi="Symbol" w:hint="default"/>
      </w:rPr>
    </w:lvl>
    <w:lvl w:ilvl="4" w:tplc="0466337A">
      <w:start w:val="1"/>
      <w:numFmt w:val="bullet"/>
      <w:lvlText w:val="o"/>
      <w:lvlJc w:val="left"/>
      <w:pPr>
        <w:ind w:left="3600" w:hanging="360"/>
      </w:pPr>
      <w:rPr>
        <w:rFonts w:ascii="Courier New" w:hAnsi="Courier New" w:hint="default"/>
      </w:rPr>
    </w:lvl>
    <w:lvl w:ilvl="5" w:tplc="2E5CC4AC">
      <w:start w:val="1"/>
      <w:numFmt w:val="bullet"/>
      <w:lvlText w:val=""/>
      <w:lvlJc w:val="left"/>
      <w:pPr>
        <w:ind w:left="4320" w:hanging="360"/>
      </w:pPr>
      <w:rPr>
        <w:rFonts w:ascii="Wingdings" w:hAnsi="Wingdings" w:hint="default"/>
      </w:rPr>
    </w:lvl>
    <w:lvl w:ilvl="6" w:tplc="755A9C34">
      <w:start w:val="1"/>
      <w:numFmt w:val="bullet"/>
      <w:lvlText w:val=""/>
      <w:lvlJc w:val="left"/>
      <w:pPr>
        <w:ind w:left="5040" w:hanging="360"/>
      </w:pPr>
      <w:rPr>
        <w:rFonts w:ascii="Symbol" w:hAnsi="Symbol" w:hint="default"/>
      </w:rPr>
    </w:lvl>
    <w:lvl w:ilvl="7" w:tplc="E1087202">
      <w:start w:val="1"/>
      <w:numFmt w:val="bullet"/>
      <w:lvlText w:val="o"/>
      <w:lvlJc w:val="left"/>
      <w:pPr>
        <w:ind w:left="5760" w:hanging="360"/>
      </w:pPr>
      <w:rPr>
        <w:rFonts w:ascii="Courier New" w:hAnsi="Courier New" w:hint="default"/>
      </w:rPr>
    </w:lvl>
    <w:lvl w:ilvl="8" w:tplc="5A04DBA6">
      <w:start w:val="1"/>
      <w:numFmt w:val="bullet"/>
      <w:lvlText w:val=""/>
      <w:lvlJc w:val="left"/>
      <w:pPr>
        <w:ind w:left="6480" w:hanging="360"/>
      </w:pPr>
      <w:rPr>
        <w:rFonts w:ascii="Wingdings" w:hAnsi="Wingdings" w:hint="default"/>
      </w:rPr>
    </w:lvl>
  </w:abstractNum>
  <w:abstractNum w:abstractNumId="121" w15:restartNumberingAfterBreak="0">
    <w:nsid w:val="7FAB0656"/>
    <w:multiLevelType w:val="multilevel"/>
    <w:tmpl w:val="80640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691249815">
    <w:abstractNumId w:val="31"/>
  </w:num>
  <w:num w:numId="2" w16cid:durableId="1949894668">
    <w:abstractNumId w:val="7"/>
  </w:num>
  <w:num w:numId="3" w16cid:durableId="1808618641">
    <w:abstractNumId w:val="34"/>
  </w:num>
  <w:num w:numId="4" w16cid:durableId="1626693454">
    <w:abstractNumId w:val="116"/>
  </w:num>
  <w:num w:numId="5" w16cid:durableId="1941987806">
    <w:abstractNumId w:val="26"/>
  </w:num>
  <w:num w:numId="6" w16cid:durableId="1610309434">
    <w:abstractNumId w:val="68"/>
  </w:num>
  <w:num w:numId="7" w16cid:durableId="1373774837">
    <w:abstractNumId w:val="27"/>
  </w:num>
  <w:num w:numId="8" w16cid:durableId="1475682764">
    <w:abstractNumId w:val="98"/>
    <w:lvlOverride w:ilvl="0">
      <w:lvl w:ilvl="0">
        <w:start w:val="1"/>
        <w:numFmt w:val="decimal"/>
        <w:pStyle w:val="SDMPara"/>
        <w:lvlText w:val="%1."/>
        <w:lvlJc w:val="left"/>
        <w:pPr>
          <w:tabs>
            <w:tab w:val="num" w:pos="709"/>
          </w:tabs>
          <w:ind w:left="709" w:hanging="709"/>
        </w:pPr>
        <w:rPr>
          <w:rFonts w:hint="default"/>
          <w:color w:val="000000" w:themeColor="text1"/>
        </w:rPr>
      </w:lvl>
    </w:lvlOverride>
    <w:lvlOverride w:ilvl="1">
      <w:lvl w:ilvl="1">
        <w:start w:val="1"/>
        <w:numFmt w:val="lowerLetter"/>
        <w:pStyle w:val="SDMSubPara1"/>
        <w:lvlText w:val="(%2)"/>
        <w:lvlJc w:val="left"/>
        <w:pPr>
          <w:tabs>
            <w:tab w:val="num" w:pos="709"/>
          </w:tabs>
          <w:ind w:left="1418" w:hanging="709"/>
        </w:pPr>
        <w:rPr>
          <w:rFonts w:hint="default"/>
        </w:rPr>
      </w:lvl>
    </w:lvlOverride>
    <w:lvlOverride w:ilvl="2">
      <w:lvl w:ilvl="2">
        <w:start w:val="1"/>
        <w:numFmt w:val="lowerRoman"/>
        <w:pStyle w:val="SDMSubPara2"/>
        <w:lvlText w:val="(%3)"/>
        <w:lvlJc w:val="left"/>
        <w:pPr>
          <w:tabs>
            <w:tab w:val="num" w:pos="709"/>
          </w:tabs>
          <w:ind w:left="1985" w:hanging="567"/>
        </w:pPr>
        <w:rPr>
          <w:rFonts w:hint="default"/>
        </w:rPr>
      </w:lvl>
    </w:lvlOverride>
    <w:lvlOverride w:ilvl="3">
      <w:lvl w:ilvl="3">
        <w:start w:val="1"/>
        <w:numFmt w:val="lowerLetter"/>
        <w:pStyle w:val="SDMSubPara3"/>
        <w:lvlText w:val="%4."/>
        <w:lvlJc w:val="left"/>
        <w:pPr>
          <w:tabs>
            <w:tab w:val="num" w:pos="709"/>
          </w:tabs>
          <w:ind w:left="2722" w:hanging="596"/>
        </w:pPr>
        <w:rPr>
          <w:rFonts w:hint="default"/>
        </w:rPr>
      </w:lvl>
    </w:lvlOverride>
    <w:lvlOverride w:ilvl="4">
      <w:lvl w:ilvl="4">
        <w:start w:val="1"/>
        <w:numFmt w:val="lowerRoman"/>
        <w:pStyle w:val="SDMSubPara4"/>
        <w:lvlText w:val="%5."/>
        <w:lvlJc w:val="left"/>
        <w:pPr>
          <w:tabs>
            <w:tab w:val="num" w:pos="709"/>
          </w:tabs>
          <w:ind w:left="3232" w:hanging="397"/>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7"/>
        <w:lvlJc w:val="left"/>
        <w:pPr>
          <w:tabs>
            <w:tab w:val="num" w:pos="0"/>
          </w:tabs>
          <w:ind w:left="0" w:firstLine="0"/>
        </w:pPr>
        <w:rPr>
          <w:rFonts w:hint="default"/>
        </w:rPr>
      </w:lvl>
    </w:lvlOverride>
    <w:lvlOverride w:ilvl="7">
      <w:lvl w:ilvl="7">
        <w:start w:val="1"/>
        <w:numFmt w:val="none"/>
        <w:lvlText w:val="%8"/>
        <w:lvlJc w:val="left"/>
        <w:pPr>
          <w:tabs>
            <w:tab w:val="num" w:pos="0"/>
          </w:tabs>
          <w:ind w:left="0" w:firstLine="0"/>
        </w:pPr>
        <w:rPr>
          <w:rFonts w:hint="default"/>
        </w:rPr>
      </w:lvl>
    </w:lvlOverride>
    <w:lvlOverride w:ilvl="8">
      <w:lvl w:ilvl="8">
        <w:start w:val="1"/>
        <w:numFmt w:val="none"/>
        <w:lvlText w:val="%9"/>
        <w:lvlJc w:val="left"/>
        <w:pPr>
          <w:tabs>
            <w:tab w:val="num" w:pos="0"/>
          </w:tabs>
          <w:ind w:left="0" w:firstLine="0"/>
        </w:pPr>
        <w:rPr>
          <w:rFonts w:hint="default"/>
        </w:rPr>
      </w:lvl>
    </w:lvlOverride>
  </w:num>
  <w:num w:numId="9" w16cid:durableId="66999921">
    <w:abstractNumId w:val="19"/>
  </w:num>
  <w:num w:numId="10" w16cid:durableId="120148822">
    <w:abstractNumId w:val="41"/>
  </w:num>
  <w:num w:numId="11" w16cid:durableId="1188300732">
    <w:abstractNumId w:val="18"/>
  </w:num>
  <w:num w:numId="12" w16cid:durableId="2031105368">
    <w:abstractNumId w:val="101"/>
  </w:num>
  <w:num w:numId="13" w16cid:durableId="618495022">
    <w:abstractNumId w:val="51"/>
  </w:num>
  <w:num w:numId="14" w16cid:durableId="1873104814">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003123559">
    <w:abstractNumId w:val="23"/>
  </w:num>
  <w:num w:numId="16" w16cid:durableId="318383488">
    <w:abstractNumId w:val="40"/>
  </w:num>
  <w:num w:numId="17" w16cid:durableId="1443651153">
    <w:abstractNumId w:val="28"/>
  </w:num>
  <w:num w:numId="18" w16cid:durableId="72209814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650868362">
    <w:abstractNumId w:val="38"/>
  </w:num>
  <w:num w:numId="20" w16cid:durableId="197475416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06361823">
    <w:abstractNumId w:val="102"/>
  </w:num>
  <w:num w:numId="22" w16cid:durableId="1008403925">
    <w:abstractNumId w:val="70"/>
  </w:num>
  <w:num w:numId="23" w16cid:durableId="480662609">
    <w:abstractNumId w:val="106"/>
  </w:num>
  <w:num w:numId="24" w16cid:durableId="2516249">
    <w:abstractNumId w:val="87"/>
  </w:num>
  <w:num w:numId="25" w16cid:durableId="1367750392">
    <w:abstractNumId w:val="86"/>
  </w:num>
  <w:num w:numId="26" w16cid:durableId="1980651390">
    <w:abstractNumId w:val="50"/>
  </w:num>
  <w:num w:numId="27" w16cid:durableId="1100032259">
    <w:abstractNumId w:val="9"/>
  </w:num>
  <w:num w:numId="28" w16cid:durableId="190723237">
    <w:abstractNumId w:val="54"/>
  </w:num>
  <w:num w:numId="29" w16cid:durableId="1705784786">
    <w:abstractNumId w:val="36"/>
  </w:num>
  <w:num w:numId="30" w16cid:durableId="49966190">
    <w:abstractNumId w:val="82"/>
  </w:num>
  <w:num w:numId="31" w16cid:durableId="123617155">
    <w:abstractNumId w:val="17"/>
  </w:num>
  <w:num w:numId="32" w16cid:durableId="957954126">
    <w:abstractNumId w:val="42"/>
  </w:num>
  <w:num w:numId="33" w16cid:durableId="1445690873">
    <w:abstractNumId w:val="2"/>
  </w:num>
  <w:num w:numId="34" w16cid:durableId="821190231">
    <w:abstractNumId w:val="11"/>
  </w:num>
  <w:num w:numId="35" w16cid:durableId="1928272453">
    <w:abstractNumId w:val="74"/>
  </w:num>
  <w:num w:numId="36" w16cid:durableId="126170049">
    <w:abstractNumId w:val="79"/>
  </w:num>
  <w:num w:numId="37" w16cid:durableId="1045301501">
    <w:abstractNumId w:val="53"/>
  </w:num>
  <w:num w:numId="38" w16cid:durableId="2114394574">
    <w:abstractNumId w:val="16"/>
  </w:num>
  <w:num w:numId="39" w16cid:durableId="893392798">
    <w:abstractNumId w:val="44"/>
  </w:num>
  <w:num w:numId="40" w16cid:durableId="147328038">
    <w:abstractNumId w:val="88"/>
  </w:num>
  <w:num w:numId="41" w16cid:durableId="1345981479">
    <w:abstractNumId w:val="6"/>
  </w:num>
  <w:num w:numId="42" w16cid:durableId="1583293102">
    <w:abstractNumId w:val="30"/>
  </w:num>
  <w:num w:numId="43" w16cid:durableId="657996589">
    <w:abstractNumId w:val="64"/>
  </w:num>
  <w:num w:numId="44" w16cid:durableId="117838651">
    <w:abstractNumId w:val="21"/>
  </w:num>
  <w:num w:numId="45" w16cid:durableId="1781491792">
    <w:abstractNumId w:val="112"/>
  </w:num>
  <w:num w:numId="46" w16cid:durableId="449789699">
    <w:abstractNumId w:val="121"/>
  </w:num>
  <w:num w:numId="47" w16cid:durableId="502552534">
    <w:abstractNumId w:val="96"/>
  </w:num>
  <w:num w:numId="48" w16cid:durableId="46996978">
    <w:abstractNumId w:val="113"/>
  </w:num>
  <w:num w:numId="49" w16cid:durableId="1774862716">
    <w:abstractNumId w:val="91"/>
  </w:num>
  <w:num w:numId="50" w16cid:durableId="831993151">
    <w:abstractNumId w:val="77"/>
  </w:num>
  <w:num w:numId="51" w16cid:durableId="2138066040">
    <w:abstractNumId w:val="120"/>
  </w:num>
  <w:num w:numId="52" w16cid:durableId="1289311851">
    <w:abstractNumId w:val="89"/>
  </w:num>
  <w:num w:numId="53" w16cid:durableId="101845991">
    <w:abstractNumId w:val="3"/>
  </w:num>
  <w:num w:numId="54" w16cid:durableId="1433359435">
    <w:abstractNumId w:val="119"/>
  </w:num>
  <w:num w:numId="55" w16cid:durableId="1879656730">
    <w:abstractNumId w:val="8"/>
  </w:num>
  <w:num w:numId="56" w16cid:durableId="540869508">
    <w:abstractNumId w:val="37"/>
  </w:num>
  <w:num w:numId="57" w16cid:durableId="405957147">
    <w:abstractNumId w:val="85"/>
  </w:num>
  <w:num w:numId="58" w16cid:durableId="1489397076">
    <w:abstractNumId w:val="12"/>
  </w:num>
  <w:num w:numId="59" w16cid:durableId="173038298">
    <w:abstractNumId w:val="60"/>
  </w:num>
  <w:num w:numId="60" w16cid:durableId="762840023">
    <w:abstractNumId w:val="99"/>
  </w:num>
  <w:num w:numId="61" w16cid:durableId="288636049">
    <w:abstractNumId w:val="80"/>
  </w:num>
  <w:num w:numId="62" w16cid:durableId="1493062913">
    <w:abstractNumId w:val="66"/>
  </w:num>
  <w:num w:numId="63" w16cid:durableId="1540045351">
    <w:abstractNumId w:val="4"/>
  </w:num>
  <w:num w:numId="64" w16cid:durableId="554240517">
    <w:abstractNumId w:val="76"/>
  </w:num>
  <w:num w:numId="65" w16cid:durableId="273636845">
    <w:abstractNumId w:val="78"/>
  </w:num>
  <w:num w:numId="66" w16cid:durableId="832721149">
    <w:abstractNumId w:val="69"/>
  </w:num>
  <w:num w:numId="67" w16cid:durableId="439182230">
    <w:abstractNumId w:val="108"/>
  </w:num>
  <w:num w:numId="68" w16cid:durableId="1007516377">
    <w:abstractNumId w:val="46"/>
  </w:num>
  <w:num w:numId="69" w16cid:durableId="1014647887">
    <w:abstractNumId w:val="95"/>
  </w:num>
  <w:num w:numId="70" w16cid:durableId="764767953">
    <w:abstractNumId w:val="111"/>
  </w:num>
  <w:num w:numId="71" w16cid:durableId="390688216">
    <w:abstractNumId w:val="84"/>
  </w:num>
  <w:num w:numId="72" w16cid:durableId="1505897700">
    <w:abstractNumId w:val="97"/>
  </w:num>
  <w:num w:numId="73" w16cid:durableId="1655992394">
    <w:abstractNumId w:val="65"/>
  </w:num>
  <w:num w:numId="74" w16cid:durableId="613102589">
    <w:abstractNumId w:val="115"/>
  </w:num>
  <w:num w:numId="75" w16cid:durableId="931861537">
    <w:abstractNumId w:val="62"/>
  </w:num>
  <w:num w:numId="76" w16cid:durableId="1962758217">
    <w:abstractNumId w:val="81"/>
  </w:num>
  <w:num w:numId="77" w16cid:durableId="1353022763">
    <w:abstractNumId w:val="63"/>
  </w:num>
  <w:num w:numId="78" w16cid:durableId="1066611853">
    <w:abstractNumId w:val="94"/>
  </w:num>
  <w:num w:numId="79" w16cid:durableId="952517336">
    <w:abstractNumId w:val="107"/>
  </w:num>
  <w:num w:numId="80" w16cid:durableId="390160248">
    <w:abstractNumId w:val="117"/>
  </w:num>
  <w:num w:numId="81" w16cid:durableId="1306622429">
    <w:abstractNumId w:val="10"/>
  </w:num>
  <w:num w:numId="82" w16cid:durableId="47651299">
    <w:abstractNumId w:val="109"/>
  </w:num>
  <w:num w:numId="83" w16cid:durableId="1501193645">
    <w:abstractNumId w:val="83"/>
  </w:num>
  <w:num w:numId="84" w16cid:durableId="1708601139">
    <w:abstractNumId w:val="59"/>
  </w:num>
  <w:num w:numId="85" w16cid:durableId="1932472663">
    <w:abstractNumId w:val="5"/>
  </w:num>
  <w:num w:numId="86" w16cid:durableId="1529831706">
    <w:abstractNumId w:val="110"/>
  </w:num>
  <w:num w:numId="87" w16cid:durableId="741827286">
    <w:abstractNumId w:val="14"/>
  </w:num>
  <w:num w:numId="88" w16cid:durableId="2080592813">
    <w:abstractNumId w:val="15"/>
  </w:num>
  <w:num w:numId="89" w16cid:durableId="547836734">
    <w:abstractNumId w:val="98"/>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edit="forms" w:enforcement="0"/>
  <w:defaultTabStop w:val="709"/>
  <w:hyphenationZone w:val="425"/>
  <w:drawingGridHorizontalSpacing w:val="110"/>
  <w:drawingGridVerticalSpacing w:val="299"/>
  <w:displayHorizontalDrawingGridEvery w:val="0"/>
  <w:displayVerticalDrawingGridEvery w:val="0"/>
  <w:noPunctuationKerning/>
  <w:characterSpacingControl w:val="doNotCompress"/>
  <w:hdrShapeDefaults>
    <o:shapedefaults v:ext="edit" spidmax="2050" style="mso-position-horizontal:center;mso-position-horizontal-relative:margin;mso-position-vertical:center;mso-position-vertical-relative:margin" fill="f" fillcolor="#a6a6a6" stroke="f">
      <v:fill color="#a6a6a6" on="f"/>
      <v:stroke on="f"/>
      <v:shadow color="#868686"/>
    </o:shapedefaults>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6C5F"/>
    <w:rsid w:val="0000013B"/>
    <w:rsid w:val="0000045C"/>
    <w:rsid w:val="000004B7"/>
    <w:rsid w:val="0000088E"/>
    <w:rsid w:val="000009BC"/>
    <w:rsid w:val="00000ADB"/>
    <w:rsid w:val="00000B5E"/>
    <w:rsid w:val="000012E9"/>
    <w:rsid w:val="000017C8"/>
    <w:rsid w:val="00001AC8"/>
    <w:rsid w:val="000027C4"/>
    <w:rsid w:val="00002823"/>
    <w:rsid w:val="00002A1E"/>
    <w:rsid w:val="00002BCA"/>
    <w:rsid w:val="00002FBE"/>
    <w:rsid w:val="000031D5"/>
    <w:rsid w:val="00003473"/>
    <w:rsid w:val="00003582"/>
    <w:rsid w:val="000036C6"/>
    <w:rsid w:val="00003784"/>
    <w:rsid w:val="000039C2"/>
    <w:rsid w:val="00003DBE"/>
    <w:rsid w:val="00003F80"/>
    <w:rsid w:val="0000404D"/>
    <w:rsid w:val="000043F7"/>
    <w:rsid w:val="00004B7A"/>
    <w:rsid w:val="00004C06"/>
    <w:rsid w:val="000051F4"/>
    <w:rsid w:val="0000544C"/>
    <w:rsid w:val="00005504"/>
    <w:rsid w:val="00005B98"/>
    <w:rsid w:val="00005C4D"/>
    <w:rsid w:val="00006979"/>
    <w:rsid w:val="00006A75"/>
    <w:rsid w:val="00006AC5"/>
    <w:rsid w:val="00006F4F"/>
    <w:rsid w:val="00006FC4"/>
    <w:rsid w:val="000072AE"/>
    <w:rsid w:val="0000773C"/>
    <w:rsid w:val="00007AE8"/>
    <w:rsid w:val="00007C0A"/>
    <w:rsid w:val="00007E9B"/>
    <w:rsid w:val="000100B4"/>
    <w:rsid w:val="00010125"/>
    <w:rsid w:val="00010300"/>
    <w:rsid w:val="0001049C"/>
    <w:rsid w:val="0001073B"/>
    <w:rsid w:val="00010910"/>
    <w:rsid w:val="00010CE4"/>
    <w:rsid w:val="00010D38"/>
    <w:rsid w:val="0001110F"/>
    <w:rsid w:val="0001140D"/>
    <w:rsid w:val="00011573"/>
    <w:rsid w:val="0001165C"/>
    <w:rsid w:val="00011B5E"/>
    <w:rsid w:val="00011BC7"/>
    <w:rsid w:val="00011E6C"/>
    <w:rsid w:val="00011F5D"/>
    <w:rsid w:val="0001251E"/>
    <w:rsid w:val="00012556"/>
    <w:rsid w:val="00012790"/>
    <w:rsid w:val="00012A91"/>
    <w:rsid w:val="00012ACF"/>
    <w:rsid w:val="00012DDB"/>
    <w:rsid w:val="00012EFA"/>
    <w:rsid w:val="00013330"/>
    <w:rsid w:val="000133B7"/>
    <w:rsid w:val="0001396C"/>
    <w:rsid w:val="00013B88"/>
    <w:rsid w:val="00013DD4"/>
    <w:rsid w:val="00013E90"/>
    <w:rsid w:val="00014189"/>
    <w:rsid w:val="0001443C"/>
    <w:rsid w:val="000144CE"/>
    <w:rsid w:val="000146C3"/>
    <w:rsid w:val="000147F0"/>
    <w:rsid w:val="00014814"/>
    <w:rsid w:val="0001516D"/>
    <w:rsid w:val="000159BC"/>
    <w:rsid w:val="00016131"/>
    <w:rsid w:val="00016434"/>
    <w:rsid w:val="000165AF"/>
    <w:rsid w:val="000166EF"/>
    <w:rsid w:val="0001706E"/>
    <w:rsid w:val="000174BC"/>
    <w:rsid w:val="000176CE"/>
    <w:rsid w:val="000179CF"/>
    <w:rsid w:val="00017A2F"/>
    <w:rsid w:val="00017C12"/>
    <w:rsid w:val="00017CEB"/>
    <w:rsid w:val="00017D33"/>
    <w:rsid w:val="00020041"/>
    <w:rsid w:val="00020754"/>
    <w:rsid w:val="00020E51"/>
    <w:rsid w:val="00020FBF"/>
    <w:rsid w:val="00021280"/>
    <w:rsid w:val="000215F5"/>
    <w:rsid w:val="00021AD8"/>
    <w:rsid w:val="00021B33"/>
    <w:rsid w:val="00022A60"/>
    <w:rsid w:val="00022A86"/>
    <w:rsid w:val="00022CC8"/>
    <w:rsid w:val="000230A2"/>
    <w:rsid w:val="000236E7"/>
    <w:rsid w:val="000238DE"/>
    <w:rsid w:val="000239DB"/>
    <w:rsid w:val="00023AF4"/>
    <w:rsid w:val="00023F5C"/>
    <w:rsid w:val="000241A5"/>
    <w:rsid w:val="000244A0"/>
    <w:rsid w:val="000244AB"/>
    <w:rsid w:val="000246DA"/>
    <w:rsid w:val="00024755"/>
    <w:rsid w:val="0002487B"/>
    <w:rsid w:val="00024974"/>
    <w:rsid w:val="00024B45"/>
    <w:rsid w:val="00024BA3"/>
    <w:rsid w:val="00024C03"/>
    <w:rsid w:val="00024C9D"/>
    <w:rsid w:val="000252C5"/>
    <w:rsid w:val="00025465"/>
    <w:rsid w:val="0002562E"/>
    <w:rsid w:val="000258F7"/>
    <w:rsid w:val="00025937"/>
    <w:rsid w:val="00025A42"/>
    <w:rsid w:val="00025B94"/>
    <w:rsid w:val="00025FDB"/>
    <w:rsid w:val="00026099"/>
    <w:rsid w:val="0002613E"/>
    <w:rsid w:val="0002663E"/>
    <w:rsid w:val="0002677D"/>
    <w:rsid w:val="0002690A"/>
    <w:rsid w:val="00026A0B"/>
    <w:rsid w:val="00026B93"/>
    <w:rsid w:val="00026C11"/>
    <w:rsid w:val="00026CAF"/>
    <w:rsid w:val="0002743F"/>
    <w:rsid w:val="000274ED"/>
    <w:rsid w:val="000279BF"/>
    <w:rsid w:val="00027F65"/>
    <w:rsid w:val="000306E5"/>
    <w:rsid w:val="000306ED"/>
    <w:rsid w:val="000308B8"/>
    <w:rsid w:val="00030991"/>
    <w:rsid w:val="00030C08"/>
    <w:rsid w:val="00030D59"/>
    <w:rsid w:val="00030E69"/>
    <w:rsid w:val="00030F34"/>
    <w:rsid w:val="00031003"/>
    <w:rsid w:val="000310A1"/>
    <w:rsid w:val="0003133D"/>
    <w:rsid w:val="0003138B"/>
    <w:rsid w:val="000315CA"/>
    <w:rsid w:val="00031EFF"/>
    <w:rsid w:val="00032021"/>
    <w:rsid w:val="00032207"/>
    <w:rsid w:val="00032453"/>
    <w:rsid w:val="00032951"/>
    <w:rsid w:val="00032A52"/>
    <w:rsid w:val="00032B9D"/>
    <w:rsid w:val="00032DED"/>
    <w:rsid w:val="00032E10"/>
    <w:rsid w:val="00033640"/>
    <w:rsid w:val="0003376B"/>
    <w:rsid w:val="000339B5"/>
    <w:rsid w:val="00033A36"/>
    <w:rsid w:val="00033F7B"/>
    <w:rsid w:val="00033FE8"/>
    <w:rsid w:val="000340C5"/>
    <w:rsid w:val="000343F5"/>
    <w:rsid w:val="000346C0"/>
    <w:rsid w:val="0003494A"/>
    <w:rsid w:val="00034A56"/>
    <w:rsid w:val="00034B0D"/>
    <w:rsid w:val="00034BDF"/>
    <w:rsid w:val="000352FF"/>
    <w:rsid w:val="000357EC"/>
    <w:rsid w:val="000358DF"/>
    <w:rsid w:val="00035AA9"/>
    <w:rsid w:val="00035F3E"/>
    <w:rsid w:val="000361DB"/>
    <w:rsid w:val="0003624C"/>
    <w:rsid w:val="00036406"/>
    <w:rsid w:val="0003674D"/>
    <w:rsid w:val="00036793"/>
    <w:rsid w:val="00036818"/>
    <w:rsid w:val="00036857"/>
    <w:rsid w:val="00036902"/>
    <w:rsid w:val="00036AED"/>
    <w:rsid w:val="00036DF9"/>
    <w:rsid w:val="00037036"/>
    <w:rsid w:val="00037ECD"/>
    <w:rsid w:val="0004019F"/>
    <w:rsid w:val="0004059F"/>
    <w:rsid w:val="000408DA"/>
    <w:rsid w:val="00040F3E"/>
    <w:rsid w:val="0004112F"/>
    <w:rsid w:val="000412E2"/>
    <w:rsid w:val="00041360"/>
    <w:rsid w:val="00041737"/>
    <w:rsid w:val="00041BCD"/>
    <w:rsid w:val="00041CFD"/>
    <w:rsid w:val="00041D85"/>
    <w:rsid w:val="00041E3F"/>
    <w:rsid w:val="0004222E"/>
    <w:rsid w:val="0004239B"/>
    <w:rsid w:val="0004270B"/>
    <w:rsid w:val="00042A49"/>
    <w:rsid w:val="00042BF3"/>
    <w:rsid w:val="00042EE5"/>
    <w:rsid w:val="0004311A"/>
    <w:rsid w:val="000431FA"/>
    <w:rsid w:val="000434FA"/>
    <w:rsid w:val="00043B18"/>
    <w:rsid w:val="00044BFB"/>
    <w:rsid w:val="00044F86"/>
    <w:rsid w:val="00045030"/>
    <w:rsid w:val="00045794"/>
    <w:rsid w:val="000457EA"/>
    <w:rsid w:val="0004586D"/>
    <w:rsid w:val="00045C2B"/>
    <w:rsid w:val="0004606A"/>
    <w:rsid w:val="00046120"/>
    <w:rsid w:val="00046F53"/>
    <w:rsid w:val="00047247"/>
    <w:rsid w:val="00047658"/>
    <w:rsid w:val="000478BE"/>
    <w:rsid w:val="00047916"/>
    <w:rsid w:val="00047EEB"/>
    <w:rsid w:val="00047F0B"/>
    <w:rsid w:val="00047FD4"/>
    <w:rsid w:val="000501E2"/>
    <w:rsid w:val="00050204"/>
    <w:rsid w:val="000502D5"/>
    <w:rsid w:val="0005039D"/>
    <w:rsid w:val="0005092D"/>
    <w:rsid w:val="00050967"/>
    <w:rsid w:val="00050B5D"/>
    <w:rsid w:val="00050C99"/>
    <w:rsid w:val="00050EDA"/>
    <w:rsid w:val="000513DA"/>
    <w:rsid w:val="00051A49"/>
    <w:rsid w:val="000522FD"/>
    <w:rsid w:val="00052717"/>
    <w:rsid w:val="0005271E"/>
    <w:rsid w:val="00052736"/>
    <w:rsid w:val="000529A2"/>
    <w:rsid w:val="00052A13"/>
    <w:rsid w:val="00052A2C"/>
    <w:rsid w:val="000530C3"/>
    <w:rsid w:val="0005341D"/>
    <w:rsid w:val="00053906"/>
    <w:rsid w:val="00053B06"/>
    <w:rsid w:val="00053D88"/>
    <w:rsid w:val="00054151"/>
    <w:rsid w:val="000543C6"/>
    <w:rsid w:val="000545B1"/>
    <w:rsid w:val="0005485D"/>
    <w:rsid w:val="00054879"/>
    <w:rsid w:val="0005498E"/>
    <w:rsid w:val="00054C8A"/>
    <w:rsid w:val="00054CE4"/>
    <w:rsid w:val="00054D31"/>
    <w:rsid w:val="000550AB"/>
    <w:rsid w:val="00055154"/>
    <w:rsid w:val="000552A1"/>
    <w:rsid w:val="00055563"/>
    <w:rsid w:val="00055565"/>
    <w:rsid w:val="00055C06"/>
    <w:rsid w:val="00056051"/>
    <w:rsid w:val="00056364"/>
    <w:rsid w:val="00056569"/>
    <w:rsid w:val="00056680"/>
    <w:rsid w:val="00056763"/>
    <w:rsid w:val="00056771"/>
    <w:rsid w:val="00056845"/>
    <w:rsid w:val="000574DA"/>
    <w:rsid w:val="00057792"/>
    <w:rsid w:val="0006037D"/>
    <w:rsid w:val="00060389"/>
    <w:rsid w:val="00060BA0"/>
    <w:rsid w:val="00060C52"/>
    <w:rsid w:val="00060E35"/>
    <w:rsid w:val="00060F41"/>
    <w:rsid w:val="00061671"/>
    <w:rsid w:val="0006167D"/>
    <w:rsid w:val="00061799"/>
    <w:rsid w:val="00061F17"/>
    <w:rsid w:val="00062146"/>
    <w:rsid w:val="00062180"/>
    <w:rsid w:val="00062322"/>
    <w:rsid w:val="000625F9"/>
    <w:rsid w:val="00062CC9"/>
    <w:rsid w:val="00062CF0"/>
    <w:rsid w:val="000630C6"/>
    <w:rsid w:val="00063344"/>
    <w:rsid w:val="0006338C"/>
    <w:rsid w:val="000633F9"/>
    <w:rsid w:val="000637F7"/>
    <w:rsid w:val="00063807"/>
    <w:rsid w:val="00063AB5"/>
    <w:rsid w:val="00063E08"/>
    <w:rsid w:val="00064651"/>
    <w:rsid w:val="00064735"/>
    <w:rsid w:val="0006485D"/>
    <w:rsid w:val="00064AA3"/>
    <w:rsid w:val="00064FB6"/>
    <w:rsid w:val="0006526A"/>
    <w:rsid w:val="000653B7"/>
    <w:rsid w:val="00065A2F"/>
    <w:rsid w:val="00065C85"/>
    <w:rsid w:val="00065E31"/>
    <w:rsid w:val="00066304"/>
    <w:rsid w:val="00066393"/>
    <w:rsid w:val="0006661A"/>
    <w:rsid w:val="000666DF"/>
    <w:rsid w:val="000666E9"/>
    <w:rsid w:val="00066B4B"/>
    <w:rsid w:val="00066D37"/>
    <w:rsid w:val="00066FC2"/>
    <w:rsid w:val="00067083"/>
    <w:rsid w:val="000671D5"/>
    <w:rsid w:val="00067272"/>
    <w:rsid w:val="00067484"/>
    <w:rsid w:val="000674DE"/>
    <w:rsid w:val="00067713"/>
    <w:rsid w:val="00067730"/>
    <w:rsid w:val="00067826"/>
    <w:rsid w:val="00067B7E"/>
    <w:rsid w:val="000700D8"/>
    <w:rsid w:val="00070225"/>
    <w:rsid w:val="0007034A"/>
    <w:rsid w:val="00070550"/>
    <w:rsid w:val="00070C09"/>
    <w:rsid w:val="00070F20"/>
    <w:rsid w:val="00071090"/>
    <w:rsid w:val="000711FC"/>
    <w:rsid w:val="0007146C"/>
    <w:rsid w:val="00071B34"/>
    <w:rsid w:val="00071E89"/>
    <w:rsid w:val="00071FCC"/>
    <w:rsid w:val="00072050"/>
    <w:rsid w:val="000722FD"/>
    <w:rsid w:val="000724BA"/>
    <w:rsid w:val="0007256D"/>
    <w:rsid w:val="000725B5"/>
    <w:rsid w:val="00072A05"/>
    <w:rsid w:val="00072D7B"/>
    <w:rsid w:val="0007322C"/>
    <w:rsid w:val="00073333"/>
    <w:rsid w:val="000736DB"/>
    <w:rsid w:val="000738ED"/>
    <w:rsid w:val="00073927"/>
    <w:rsid w:val="00073B4C"/>
    <w:rsid w:val="00073CB1"/>
    <w:rsid w:val="00073D26"/>
    <w:rsid w:val="00074071"/>
    <w:rsid w:val="000740CE"/>
    <w:rsid w:val="00074232"/>
    <w:rsid w:val="000747BE"/>
    <w:rsid w:val="00074F92"/>
    <w:rsid w:val="00074FA9"/>
    <w:rsid w:val="0007521F"/>
    <w:rsid w:val="0007525F"/>
    <w:rsid w:val="0007546C"/>
    <w:rsid w:val="00075504"/>
    <w:rsid w:val="000756F5"/>
    <w:rsid w:val="00075E7D"/>
    <w:rsid w:val="00076437"/>
    <w:rsid w:val="000767E3"/>
    <w:rsid w:val="000768F8"/>
    <w:rsid w:val="000769E0"/>
    <w:rsid w:val="00076BFF"/>
    <w:rsid w:val="00076ECB"/>
    <w:rsid w:val="000771EF"/>
    <w:rsid w:val="00077241"/>
    <w:rsid w:val="000776E5"/>
    <w:rsid w:val="000778FC"/>
    <w:rsid w:val="000779A5"/>
    <w:rsid w:val="00077CF7"/>
    <w:rsid w:val="00080741"/>
    <w:rsid w:val="00080748"/>
    <w:rsid w:val="000809A8"/>
    <w:rsid w:val="000816FC"/>
    <w:rsid w:val="00081E2E"/>
    <w:rsid w:val="00081E91"/>
    <w:rsid w:val="00081F76"/>
    <w:rsid w:val="00082123"/>
    <w:rsid w:val="00082228"/>
    <w:rsid w:val="000823C6"/>
    <w:rsid w:val="00082986"/>
    <w:rsid w:val="000829F4"/>
    <w:rsid w:val="00082B10"/>
    <w:rsid w:val="00082C21"/>
    <w:rsid w:val="00082C71"/>
    <w:rsid w:val="00082F50"/>
    <w:rsid w:val="000838BF"/>
    <w:rsid w:val="0008406E"/>
    <w:rsid w:val="000846E2"/>
    <w:rsid w:val="00084D1F"/>
    <w:rsid w:val="00085049"/>
    <w:rsid w:val="0008541D"/>
    <w:rsid w:val="000855A5"/>
    <w:rsid w:val="00085604"/>
    <w:rsid w:val="00085855"/>
    <w:rsid w:val="0008667B"/>
    <w:rsid w:val="000866AF"/>
    <w:rsid w:val="0008699B"/>
    <w:rsid w:val="00086AE0"/>
    <w:rsid w:val="00086D83"/>
    <w:rsid w:val="00087198"/>
    <w:rsid w:val="0008783C"/>
    <w:rsid w:val="000878E7"/>
    <w:rsid w:val="00087EDF"/>
    <w:rsid w:val="00090067"/>
    <w:rsid w:val="000900DD"/>
    <w:rsid w:val="00090481"/>
    <w:rsid w:val="000904A8"/>
    <w:rsid w:val="000905DC"/>
    <w:rsid w:val="00090954"/>
    <w:rsid w:val="000913CF"/>
    <w:rsid w:val="000914D2"/>
    <w:rsid w:val="000915E2"/>
    <w:rsid w:val="0009194E"/>
    <w:rsid w:val="00091BC3"/>
    <w:rsid w:val="00091C7B"/>
    <w:rsid w:val="000920C6"/>
    <w:rsid w:val="000924D0"/>
    <w:rsid w:val="0009291F"/>
    <w:rsid w:val="00092BA8"/>
    <w:rsid w:val="00093030"/>
    <w:rsid w:val="00093093"/>
    <w:rsid w:val="000931F5"/>
    <w:rsid w:val="00093BB6"/>
    <w:rsid w:val="00093BF3"/>
    <w:rsid w:val="00093C1C"/>
    <w:rsid w:val="00093DB6"/>
    <w:rsid w:val="00093E2D"/>
    <w:rsid w:val="00093E8F"/>
    <w:rsid w:val="00094043"/>
    <w:rsid w:val="000940E6"/>
    <w:rsid w:val="00094104"/>
    <w:rsid w:val="000946BB"/>
    <w:rsid w:val="000946DB"/>
    <w:rsid w:val="000948DD"/>
    <w:rsid w:val="00094B68"/>
    <w:rsid w:val="00094E92"/>
    <w:rsid w:val="00094F24"/>
    <w:rsid w:val="00095056"/>
    <w:rsid w:val="000950E4"/>
    <w:rsid w:val="000951C2"/>
    <w:rsid w:val="000951C8"/>
    <w:rsid w:val="00095297"/>
    <w:rsid w:val="0009541E"/>
    <w:rsid w:val="00095627"/>
    <w:rsid w:val="000956D1"/>
    <w:rsid w:val="000958B1"/>
    <w:rsid w:val="00095B3B"/>
    <w:rsid w:val="00095EC6"/>
    <w:rsid w:val="000962AE"/>
    <w:rsid w:val="000967E5"/>
    <w:rsid w:val="00096DDA"/>
    <w:rsid w:val="00096E48"/>
    <w:rsid w:val="000972D4"/>
    <w:rsid w:val="0009730B"/>
    <w:rsid w:val="000975EA"/>
    <w:rsid w:val="00097AAA"/>
    <w:rsid w:val="00097C44"/>
    <w:rsid w:val="00097DB3"/>
    <w:rsid w:val="00097FB3"/>
    <w:rsid w:val="000A0438"/>
    <w:rsid w:val="000A07CF"/>
    <w:rsid w:val="000A0BF3"/>
    <w:rsid w:val="000A0E1E"/>
    <w:rsid w:val="000A0E3A"/>
    <w:rsid w:val="000A0EF3"/>
    <w:rsid w:val="000A11E4"/>
    <w:rsid w:val="000A1429"/>
    <w:rsid w:val="000A1C7B"/>
    <w:rsid w:val="000A1FDF"/>
    <w:rsid w:val="000A265E"/>
    <w:rsid w:val="000A2684"/>
    <w:rsid w:val="000A2914"/>
    <w:rsid w:val="000A2A21"/>
    <w:rsid w:val="000A2F32"/>
    <w:rsid w:val="000A3021"/>
    <w:rsid w:val="000A32C1"/>
    <w:rsid w:val="000A35EE"/>
    <w:rsid w:val="000A3942"/>
    <w:rsid w:val="000A3CDF"/>
    <w:rsid w:val="000A3D11"/>
    <w:rsid w:val="000A3FFC"/>
    <w:rsid w:val="000A420F"/>
    <w:rsid w:val="000A464D"/>
    <w:rsid w:val="000A474F"/>
    <w:rsid w:val="000A4C2A"/>
    <w:rsid w:val="000A4D8F"/>
    <w:rsid w:val="000A4EB6"/>
    <w:rsid w:val="000A55C8"/>
    <w:rsid w:val="000A571A"/>
    <w:rsid w:val="000A590F"/>
    <w:rsid w:val="000A5DBB"/>
    <w:rsid w:val="000A618A"/>
    <w:rsid w:val="000A62D4"/>
    <w:rsid w:val="000A668C"/>
    <w:rsid w:val="000A6938"/>
    <w:rsid w:val="000A699E"/>
    <w:rsid w:val="000A6A23"/>
    <w:rsid w:val="000A6E5A"/>
    <w:rsid w:val="000A6FE4"/>
    <w:rsid w:val="000A7109"/>
    <w:rsid w:val="000A7170"/>
    <w:rsid w:val="000A736D"/>
    <w:rsid w:val="000A739A"/>
    <w:rsid w:val="000A7685"/>
    <w:rsid w:val="000A7B9A"/>
    <w:rsid w:val="000A7BAE"/>
    <w:rsid w:val="000A7CFD"/>
    <w:rsid w:val="000B0087"/>
    <w:rsid w:val="000B0193"/>
    <w:rsid w:val="000B0313"/>
    <w:rsid w:val="000B058B"/>
    <w:rsid w:val="000B069B"/>
    <w:rsid w:val="000B06C5"/>
    <w:rsid w:val="000B086D"/>
    <w:rsid w:val="000B0883"/>
    <w:rsid w:val="000B0E11"/>
    <w:rsid w:val="000B1FA0"/>
    <w:rsid w:val="000B25AE"/>
    <w:rsid w:val="000B2703"/>
    <w:rsid w:val="000B2846"/>
    <w:rsid w:val="000B2A70"/>
    <w:rsid w:val="000B2C3E"/>
    <w:rsid w:val="000B2E8C"/>
    <w:rsid w:val="000B32B6"/>
    <w:rsid w:val="000B3606"/>
    <w:rsid w:val="000B3884"/>
    <w:rsid w:val="000B39DA"/>
    <w:rsid w:val="000B3C1A"/>
    <w:rsid w:val="000B3FAF"/>
    <w:rsid w:val="000B429D"/>
    <w:rsid w:val="000B4312"/>
    <w:rsid w:val="000B46AD"/>
    <w:rsid w:val="000B4738"/>
    <w:rsid w:val="000B4A77"/>
    <w:rsid w:val="000B4CBF"/>
    <w:rsid w:val="000B50BD"/>
    <w:rsid w:val="000B5BC6"/>
    <w:rsid w:val="000B5F4E"/>
    <w:rsid w:val="000B6574"/>
    <w:rsid w:val="000B66D8"/>
    <w:rsid w:val="000B6A28"/>
    <w:rsid w:val="000B6B97"/>
    <w:rsid w:val="000B7027"/>
    <w:rsid w:val="000B712F"/>
    <w:rsid w:val="000B7458"/>
    <w:rsid w:val="000B74DF"/>
    <w:rsid w:val="000B76EE"/>
    <w:rsid w:val="000B770A"/>
    <w:rsid w:val="000B7BC1"/>
    <w:rsid w:val="000B7E5E"/>
    <w:rsid w:val="000B7ED9"/>
    <w:rsid w:val="000B7FDD"/>
    <w:rsid w:val="000C0172"/>
    <w:rsid w:val="000C01E8"/>
    <w:rsid w:val="000C01EC"/>
    <w:rsid w:val="000C04A1"/>
    <w:rsid w:val="000C0BD0"/>
    <w:rsid w:val="000C0FBF"/>
    <w:rsid w:val="000C1118"/>
    <w:rsid w:val="000C16A0"/>
    <w:rsid w:val="000C178D"/>
    <w:rsid w:val="000C1805"/>
    <w:rsid w:val="000C188C"/>
    <w:rsid w:val="000C190A"/>
    <w:rsid w:val="000C19A7"/>
    <w:rsid w:val="000C1B5C"/>
    <w:rsid w:val="000C1CCB"/>
    <w:rsid w:val="000C2202"/>
    <w:rsid w:val="000C254B"/>
    <w:rsid w:val="000C2775"/>
    <w:rsid w:val="000C3329"/>
    <w:rsid w:val="000C3597"/>
    <w:rsid w:val="000C3823"/>
    <w:rsid w:val="000C3888"/>
    <w:rsid w:val="000C3981"/>
    <w:rsid w:val="000C3A32"/>
    <w:rsid w:val="000C3BF3"/>
    <w:rsid w:val="000C4064"/>
    <w:rsid w:val="000C47EB"/>
    <w:rsid w:val="000C486C"/>
    <w:rsid w:val="000C49E3"/>
    <w:rsid w:val="000C4B7F"/>
    <w:rsid w:val="000C57A1"/>
    <w:rsid w:val="000C5829"/>
    <w:rsid w:val="000C5851"/>
    <w:rsid w:val="000C589B"/>
    <w:rsid w:val="000C5B60"/>
    <w:rsid w:val="000C5B97"/>
    <w:rsid w:val="000C5CC7"/>
    <w:rsid w:val="000C5E79"/>
    <w:rsid w:val="000C5F59"/>
    <w:rsid w:val="000C62CE"/>
    <w:rsid w:val="000C6463"/>
    <w:rsid w:val="000C6655"/>
    <w:rsid w:val="000C6708"/>
    <w:rsid w:val="000C692E"/>
    <w:rsid w:val="000C6C90"/>
    <w:rsid w:val="000C7090"/>
    <w:rsid w:val="000C72D0"/>
    <w:rsid w:val="000C75BC"/>
    <w:rsid w:val="000C7652"/>
    <w:rsid w:val="000C792C"/>
    <w:rsid w:val="000C7BBC"/>
    <w:rsid w:val="000C7C18"/>
    <w:rsid w:val="000D023B"/>
    <w:rsid w:val="000D03E1"/>
    <w:rsid w:val="000D0530"/>
    <w:rsid w:val="000D1283"/>
    <w:rsid w:val="000D151F"/>
    <w:rsid w:val="000D1B23"/>
    <w:rsid w:val="000D1BEF"/>
    <w:rsid w:val="000D22A8"/>
    <w:rsid w:val="000D26B4"/>
    <w:rsid w:val="000D2D2D"/>
    <w:rsid w:val="000D30C8"/>
    <w:rsid w:val="000D30DB"/>
    <w:rsid w:val="000D325F"/>
    <w:rsid w:val="000D337E"/>
    <w:rsid w:val="000D369E"/>
    <w:rsid w:val="000D38BC"/>
    <w:rsid w:val="000D3954"/>
    <w:rsid w:val="000D3A9A"/>
    <w:rsid w:val="000D3D61"/>
    <w:rsid w:val="000D4113"/>
    <w:rsid w:val="000D411B"/>
    <w:rsid w:val="000D442E"/>
    <w:rsid w:val="000D4538"/>
    <w:rsid w:val="000D45C7"/>
    <w:rsid w:val="000D4A80"/>
    <w:rsid w:val="000D534F"/>
    <w:rsid w:val="000D56B4"/>
    <w:rsid w:val="000D5AA7"/>
    <w:rsid w:val="000D5C6C"/>
    <w:rsid w:val="000D6349"/>
    <w:rsid w:val="000D6B0E"/>
    <w:rsid w:val="000D6D11"/>
    <w:rsid w:val="000D71F4"/>
    <w:rsid w:val="000D750E"/>
    <w:rsid w:val="000D7615"/>
    <w:rsid w:val="000D773D"/>
    <w:rsid w:val="000D77D9"/>
    <w:rsid w:val="000D7938"/>
    <w:rsid w:val="000D7BC5"/>
    <w:rsid w:val="000E063D"/>
    <w:rsid w:val="000E08CB"/>
    <w:rsid w:val="000E0CE5"/>
    <w:rsid w:val="000E0D9D"/>
    <w:rsid w:val="000E0F37"/>
    <w:rsid w:val="000E0F97"/>
    <w:rsid w:val="000E1471"/>
    <w:rsid w:val="000E16DE"/>
    <w:rsid w:val="000E1739"/>
    <w:rsid w:val="000E2159"/>
    <w:rsid w:val="000E22F6"/>
    <w:rsid w:val="000E24D8"/>
    <w:rsid w:val="000E29C8"/>
    <w:rsid w:val="000E2BA7"/>
    <w:rsid w:val="000E338E"/>
    <w:rsid w:val="000E3DB3"/>
    <w:rsid w:val="000E3E7B"/>
    <w:rsid w:val="000E4116"/>
    <w:rsid w:val="000E42CF"/>
    <w:rsid w:val="000E435A"/>
    <w:rsid w:val="000E453C"/>
    <w:rsid w:val="000E4751"/>
    <w:rsid w:val="000E47D2"/>
    <w:rsid w:val="000E486B"/>
    <w:rsid w:val="000E48F0"/>
    <w:rsid w:val="000E5183"/>
    <w:rsid w:val="000E528A"/>
    <w:rsid w:val="000E5D3D"/>
    <w:rsid w:val="000E6146"/>
    <w:rsid w:val="000E6241"/>
    <w:rsid w:val="000E63FD"/>
    <w:rsid w:val="000E64BF"/>
    <w:rsid w:val="000E68F9"/>
    <w:rsid w:val="000E6BA7"/>
    <w:rsid w:val="000E70A9"/>
    <w:rsid w:val="000E7585"/>
    <w:rsid w:val="000E75AF"/>
    <w:rsid w:val="000E7794"/>
    <w:rsid w:val="000E786F"/>
    <w:rsid w:val="000E7AE4"/>
    <w:rsid w:val="000E7C62"/>
    <w:rsid w:val="000E7F12"/>
    <w:rsid w:val="000E7F52"/>
    <w:rsid w:val="000E7FDE"/>
    <w:rsid w:val="000F01E2"/>
    <w:rsid w:val="000F04ED"/>
    <w:rsid w:val="000F0584"/>
    <w:rsid w:val="000F075B"/>
    <w:rsid w:val="000F093D"/>
    <w:rsid w:val="000F0CED"/>
    <w:rsid w:val="000F0D17"/>
    <w:rsid w:val="000F0E9A"/>
    <w:rsid w:val="000F10CC"/>
    <w:rsid w:val="000F1316"/>
    <w:rsid w:val="000F1D46"/>
    <w:rsid w:val="000F2401"/>
    <w:rsid w:val="000F2528"/>
    <w:rsid w:val="000F253D"/>
    <w:rsid w:val="000F2CC4"/>
    <w:rsid w:val="000F2E77"/>
    <w:rsid w:val="000F305D"/>
    <w:rsid w:val="000F31EA"/>
    <w:rsid w:val="000F3736"/>
    <w:rsid w:val="000F3DA4"/>
    <w:rsid w:val="000F3E3B"/>
    <w:rsid w:val="000F3E6A"/>
    <w:rsid w:val="000F3F2A"/>
    <w:rsid w:val="000F4236"/>
    <w:rsid w:val="000F4409"/>
    <w:rsid w:val="000F441C"/>
    <w:rsid w:val="000F4539"/>
    <w:rsid w:val="000F459D"/>
    <w:rsid w:val="000F4A9D"/>
    <w:rsid w:val="000F4C06"/>
    <w:rsid w:val="000F5939"/>
    <w:rsid w:val="000F5A26"/>
    <w:rsid w:val="000F5C2F"/>
    <w:rsid w:val="000F5D33"/>
    <w:rsid w:val="000F5E83"/>
    <w:rsid w:val="000F6737"/>
    <w:rsid w:val="000F699F"/>
    <w:rsid w:val="000F6BFA"/>
    <w:rsid w:val="000F6E87"/>
    <w:rsid w:val="000F6F9B"/>
    <w:rsid w:val="000F795D"/>
    <w:rsid w:val="000F7C38"/>
    <w:rsid w:val="000F7C68"/>
    <w:rsid w:val="000F7EAA"/>
    <w:rsid w:val="00100311"/>
    <w:rsid w:val="0010063B"/>
    <w:rsid w:val="001006F8"/>
    <w:rsid w:val="00100C1F"/>
    <w:rsid w:val="00100C73"/>
    <w:rsid w:val="00100D50"/>
    <w:rsid w:val="0010149F"/>
    <w:rsid w:val="001014DD"/>
    <w:rsid w:val="00101633"/>
    <w:rsid w:val="00101790"/>
    <w:rsid w:val="00101798"/>
    <w:rsid w:val="00101BAA"/>
    <w:rsid w:val="001021CD"/>
    <w:rsid w:val="0010246C"/>
    <w:rsid w:val="001024AA"/>
    <w:rsid w:val="00102603"/>
    <w:rsid w:val="00102680"/>
    <w:rsid w:val="001029BB"/>
    <w:rsid w:val="00102A62"/>
    <w:rsid w:val="00102CE5"/>
    <w:rsid w:val="00102E23"/>
    <w:rsid w:val="00103545"/>
    <w:rsid w:val="0010378B"/>
    <w:rsid w:val="001037A8"/>
    <w:rsid w:val="00103B1A"/>
    <w:rsid w:val="00103D34"/>
    <w:rsid w:val="001040B8"/>
    <w:rsid w:val="0010445F"/>
    <w:rsid w:val="00104982"/>
    <w:rsid w:val="00104D01"/>
    <w:rsid w:val="00104EF5"/>
    <w:rsid w:val="00104F38"/>
    <w:rsid w:val="001050BD"/>
    <w:rsid w:val="0010516B"/>
    <w:rsid w:val="001053C8"/>
    <w:rsid w:val="00105761"/>
    <w:rsid w:val="00105DA7"/>
    <w:rsid w:val="00105E9D"/>
    <w:rsid w:val="00105F10"/>
    <w:rsid w:val="0010610B"/>
    <w:rsid w:val="00106308"/>
    <w:rsid w:val="00106691"/>
    <w:rsid w:val="00106B06"/>
    <w:rsid w:val="00106C08"/>
    <w:rsid w:val="00106EAA"/>
    <w:rsid w:val="001071A4"/>
    <w:rsid w:val="00107354"/>
    <w:rsid w:val="001073FF"/>
    <w:rsid w:val="0010742B"/>
    <w:rsid w:val="0010767D"/>
    <w:rsid w:val="00107747"/>
    <w:rsid w:val="001077C0"/>
    <w:rsid w:val="001079F3"/>
    <w:rsid w:val="00107B93"/>
    <w:rsid w:val="00110138"/>
    <w:rsid w:val="00110202"/>
    <w:rsid w:val="00110607"/>
    <w:rsid w:val="0011063E"/>
    <w:rsid w:val="00110845"/>
    <w:rsid w:val="00110976"/>
    <w:rsid w:val="00110A86"/>
    <w:rsid w:val="00110BBF"/>
    <w:rsid w:val="0011106B"/>
    <w:rsid w:val="00111269"/>
    <w:rsid w:val="0011133C"/>
    <w:rsid w:val="00111503"/>
    <w:rsid w:val="00111535"/>
    <w:rsid w:val="00111986"/>
    <w:rsid w:val="001119FC"/>
    <w:rsid w:val="00111BD7"/>
    <w:rsid w:val="0011240C"/>
    <w:rsid w:val="00112AE3"/>
    <w:rsid w:val="00112DF5"/>
    <w:rsid w:val="00112E7E"/>
    <w:rsid w:val="00112FB3"/>
    <w:rsid w:val="001133FD"/>
    <w:rsid w:val="0011363B"/>
    <w:rsid w:val="00113779"/>
    <w:rsid w:val="00113A19"/>
    <w:rsid w:val="00113A5E"/>
    <w:rsid w:val="00113A96"/>
    <w:rsid w:val="00113E3A"/>
    <w:rsid w:val="0011466E"/>
    <w:rsid w:val="001146DB"/>
    <w:rsid w:val="00114A0D"/>
    <w:rsid w:val="00114BD8"/>
    <w:rsid w:val="00114DC8"/>
    <w:rsid w:val="0011503B"/>
    <w:rsid w:val="00115070"/>
    <w:rsid w:val="00115110"/>
    <w:rsid w:val="001151A2"/>
    <w:rsid w:val="00115434"/>
    <w:rsid w:val="001155AC"/>
    <w:rsid w:val="001157E4"/>
    <w:rsid w:val="00115918"/>
    <w:rsid w:val="00115AA0"/>
    <w:rsid w:val="00115C0C"/>
    <w:rsid w:val="00115C31"/>
    <w:rsid w:val="00115DD0"/>
    <w:rsid w:val="001163B7"/>
    <w:rsid w:val="00116430"/>
    <w:rsid w:val="00116946"/>
    <w:rsid w:val="00116B36"/>
    <w:rsid w:val="0011715E"/>
    <w:rsid w:val="0011721D"/>
    <w:rsid w:val="00117D4D"/>
    <w:rsid w:val="00117E4C"/>
    <w:rsid w:val="00117E69"/>
    <w:rsid w:val="00117E7E"/>
    <w:rsid w:val="00117F12"/>
    <w:rsid w:val="001200C0"/>
    <w:rsid w:val="00120567"/>
    <w:rsid w:val="0012057C"/>
    <w:rsid w:val="001210CF"/>
    <w:rsid w:val="00121478"/>
    <w:rsid w:val="00121698"/>
    <w:rsid w:val="001218DF"/>
    <w:rsid w:val="00121B8D"/>
    <w:rsid w:val="00121DAA"/>
    <w:rsid w:val="00121E2A"/>
    <w:rsid w:val="0012209F"/>
    <w:rsid w:val="0012246B"/>
    <w:rsid w:val="0012253D"/>
    <w:rsid w:val="001225AF"/>
    <w:rsid w:val="00122770"/>
    <w:rsid w:val="00122884"/>
    <w:rsid w:val="001228EB"/>
    <w:rsid w:val="00122BDA"/>
    <w:rsid w:val="00122D59"/>
    <w:rsid w:val="00122D61"/>
    <w:rsid w:val="00123161"/>
    <w:rsid w:val="00123196"/>
    <w:rsid w:val="001232BE"/>
    <w:rsid w:val="001232E1"/>
    <w:rsid w:val="001232EA"/>
    <w:rsid w:val="0012383E"/>
    <w:rsid w:val="001238E8"/>
    <w:rsid w:val="00123F7E"/>
    <w:rsid w:val="00124C6D"/>
    <w:rsid w:val="00125074"/>
    <w:rsid w:val="001250E3"/>
    <w:rsid w:val="001252B9"/>
    <w:rsid w:val="00125347"/>
    <w:rsid w:val="00125503"/>
    <w:rsid w:val="0012582E"/>
    <w:rsid w:val="00125A0E"/>
    <w:rsid w:val="00125C81"/>
    <w:rsid w:val="00125D01"/>
    <w:rsid w:val="00125DC3"/>
    <w:rsid w:val="00126101"/>
    <w:rsid w:val="00126123"/>
    <w:rsid w:val="001262D1"/>
    <w:rsid w:val="00126344"/>
    <w:rsid w:val="0012671F"/>
    <w:rsid w:val="001268FC"/>
    <w:rsid w:val="00126900"/>
    <w:rsid w:val="00126A26"/>
    <w:rsid w:val="00126CA9"/>
    <w:rsid w:val="00126DE0"/>
    <w:rsid w:val="0012722F"/>
    <w:rsid w:val="00127399"/>
    <w:rsid w:val="001273B6"/>
    <w:rsid w:val="001273CA"/>
    <w:rsid w:val="001274D9"/>
    <w:rsid w:val="001275BF"/>
    <w:rsid w:val="00127639"/>
    <w:rsid w:val="00127A07"/>
    <w:rsid w:val="00130392"/>
    <w:rsid w:val="00130710"/>
    <w:rsid w:val="001307E9"/>
    <w:rsid w:val="001309BC"/>
    <w:rsid w:val="00130A26"/>
    <w:rsid w:val="00130BCF"/>
    <w:rsid w:val="00130DA0"/>
    <w:rsid w:val="00131095"/>
    <w:rsid w:val="0013117F"/>
    <w:rsid w:val="001311BF"/>
    <w:rsid w:val="00131696"/>
    <w:rsid w:val="00131CD7"/>
    <w:rsid w:val="00131DC5"/>
    <w:rsid w:val="00131E72"/>
    <w:rsid w:val="001320AE"/>
    <w:rsid w:val="001325CB"/>
    <w:rsid w:val="001329D0"/>
    <w:rsid w:val="001329FE"/>
    <w:rsid w:val="00132BF1"/>
    <w:rsid w:val="00132C7D"/>
    <w:rsid w:val="00132D84"/>
    <w:rsid w:val="001339FD"/>
    <w:rsid w:val="00134171"/>
    <w:rsid w:val="00134196"/>
    <w:rsid w:val="0013428D"/>
    <w:rsid w:val="001342C0"/>
    <w:rsid w:val="001347C7"/>
    <w:rsid w:val="00134C71"/>
    <w:rsid w:val="00135291"/>
    <w:rsid w:val="0013588E"/>
    <w:rsid w:val="0013590C"/>
    <w:rsid w:val="00135B2D"/>
    <w:rsid w:val="00135CC0"/>
    <w:rsid w:val="00135F59"/>
    <w:rsid w:val="001365BA"/>
    <w:rsid w:val="0013673C"/>
    <w:rsid w:val="00136776"/>
    <w:rsid w:val="00136B3C"/>
    <w:rsid w:val="00136B44"/>
    <w:rsid w:val="00136C18"/>
    <w:rsid w:val="001370DA"/>
    <w:rsid w:val="00137165"/>
    <w:rsid w:val="0013716C"/>
    <w:rsid w:val="001376E2"/>
    <w:rsid w:val="00137989"/>
    <w:rsid w:val="001404CC"/>
    <w:rsid w:val="0014067D"/>
    <w:rsid w:val="00140EE7"/>
    <w:rsid w:val="00141053"/>
    <w:rsid w:val="00141A33"/>
    <w:rsid w:val="00141CDB"/>
    <w:rsid w:val="00141D6E"/>
    <w:rsid w:val="00141F07"/>
    <w:rsid w:val="0014207D"/>
    <w:rsid w:val="00142277"/>
    <w:rsid w:val="0014237B"/>
    <w:rsid w:val="001427BD"/>
    <w:rsid w:val="001429D1"/>
    <w:rsid w:val="00142A9B"/>
    <w:rsid w:val="00142C82"/>
    <w:rsid w:val="00142E37"/>
    <w:rsid w:val="001430E1"/>
    <w:rsid w:val="00143404"/>
    <w:rsid w:val="00143619"/>
    <w:rsid w:val="001438A5"/>
    <w:rsid w:val="00143B11"/>
    <w:rsid w:val="001440A3"/>
    <w:rsid w:val="001447C1"/>
    <w:rsid w:val="001448AE"/>
    <w:rsid w:val="00144AA8"/>
    <w:rsid w:val="00144BD1"/>
    <w:rsid w:val="00144BEB"/>
    <w:rsid w:val="00145430"/>
    <w:rsid w:val="0014544B"/>
    <w:rsid w:val="00145464"/>
    <w:rsid w:val="001458D2"/>
    <w:rsid w:val="00145A29"/>
    <w:rsid w:val="00145A49"/>
    <w:rsid w:val="00145D82"/>
    <w:rsid w:val="00145F42"/>
    <w:rsid w:val="00145FFF"/>
    <w:rsid w:val="0014651D"/>
    <w:rsid w:val="00146804"/>
    <w:rsid w:val="00146C1E"/>
    <w:rsid w:val="00146F1E"/>
    <w:rsid w:val="00147ACD"/>
    <w:rsid w:val="00147B6F"/>
    <w:rsid w:val="00147C99"/>
    <w:rsid w:val="00147D8E"/>
    <w:rsid w:val="00147E71"/>
    <w:rsid w:val="00147E95"/>
    <w:rsid w:val="00150103"/>
    <w:rsid w:val="00150387"/>
    <w:rsid w:val="00150574"/>
    <w:rsid w:val="001505A9"/>
    <w:rsid w:val="00150AFF"/>
    <w:rsid w:val="00150D07"/>
    <w:rsid w:val="00150E2F"/>
    <w:rsid w:val="0015111E"/>
    <w:rsid w:val="001513EF"/>
    <w:rsid w:val="0015175E"/>
    <w:rsid w:val="00151C05"/>
    <w:rsid w:val="00151F5C"/>
    <w:rsid w:val="001520B8"/>
    <w:rsid w:val="001524B2"/>
    <w:rsid w:val="0015272A"/>
    <w:rsid w:val="0015280C"/>
    <w:rsid w:val="00152D9A"/>
    <w:rsid w:val="00152EB5"/>
    <w:rsid w:val="00152F2E"/>
    <w:rsid w:val="00152FB5"/>
    <w:rsid w:val="0015333E"/>
    <w:rsid w:val="001537C4"/>
    <w:rsid w:val="00153C73"/>
    <w:rsid w:val="00153E67"/>
    <w:rsid w:val="00153E79"/>
    <w:rsid w:val="001543C9"/>
    <w:rsid w:val="001544A0"/>
    <w:rsid w:val="00154649"/>
    <w:rsid w:val="00154B0E"/>
    <w:rsid w:val="00154BFB"/>
    <w:rsid w:val="00154D4B"/>
    <w:rsid w:val="00154DB5"/>
    <w:rsid w:val="00154E66"/>
    <w:rsid w:val="00155236"/>
    <w:rsid w:val="001552BF"/>
    <w:rsid w:val="00155583"/>
    <w:rsid w:val="00155A1C"/>
    <w:rsid w:val="00155C32"/>
    <w:rsid w:val="0015601B"/>
    <w:rsid w:val="0015624B"/>
    <w:rsid w:val="00156974"/>
    <w:rsid w:val="00156A32"/>
    <w:rsid w:val="00156D39"/>
    <w:rsid w:val="00156D75"/>
    <w:rsid w:val="00156E49"/>
    <w:rsid w:val="0015742D"/>
    <w:rsid w:val="001576E7"/>
    <w:rsid w:val="00157C10"/>
    <w:rsid w:val="001602E9"/>
    <w:rsid w:val="00160D45"/>
    <w:rsid w:val="00160E25"/>
    <w:rsid w:val="001611B6"/>
    <w:rsid w:val="001612CB"/>
    <w:rsid w:val="0016150E"/>
    <w:rsid w:val="00161B05"/>
    <w:rsid w:val="00161C87"/>
    <w:rsid w:val="00161D21"/>
    <w:rsid w:val="001623F3"/>
    <w:rsid w:val="00162469"/>
    <w:rsid w:val="001625D1"/>
    <w:rsid w:val="00162B88"/>
    <w:rsid w:val="00162C95"/>
    <w:rsid w:val="00162E7B"/>
    <w:rsid w:val="00163176"/>
    <w:rsid w:val="00163491"/>
    <w:rsid w:val="001635B1"/>
    <w:rsid w:val="001636A5"/>
    <w:rsid w:val="0016371B"/>
    <w:rsid w:val="0016392A"/>
    <w:rsid w:val="00163E8F"/>
    <w:rsid w:val="00164198"/>
    <w:rsid w:val="00164665"/>
    <w:rsid w:val="00164830"/>
    <w:rsid w:val="00164A98"/>
    <w:rsid w:val="00164E3D"/>
    <w:rsid w:val="00164F54"/>
    <w:rsid w:val="0016535E"/>
    <w:rsid w:val="00165584"/>
    <w:rsid w:val="00165729"/>
    <w:rsid w:val="001659C5"/>
    <w:rsid w:val="001660AB"/>
    <w:rsid w:val="00166BB1"/>
    <w:rsid w:val="00166CCD"/>
    <w:rsid w:val="001673AB"/>
    <w:rsid w:val="00167706"/>
    <w:rsid w:val="001677CC"/>
    <w:rsid w:val="001677D3"/>
    <w:rsid w:val="00167A87"/>
    <w:rsid w:val="00170190"/>
    <w:rsid w:val="001703AB"/>
    <w:rsid w:val="0017058B"/>
    <w:rsid w:val="00170648"/>
    <w:rsid w:val="00170668"/>
    <w:rsid w:val="00170843"/>
    <w:rsid w:val="00170A2C"/>
    <w:rsid w:val="00170DD4"/>
    <w:rsid w:val="00170F2B"/>
    <w:rsid w:val="00170FF3"/>
    <w:rsid w:val="00170FF4"/>
    <w:rsid w:val="0017111A"/>
    <w:rsid w:val="001711A6"/>
    <w:rsid w:val="0017125D"/>
    <w:rsid w:val="00171345"/>
    <w:rsid w:val="0017190B"/>
    <w:rsid w:val="00171BA3"/>
    <w:rsid w:val="00171C0A"/>
    <w:rsid w:val="00171DCE"/>
    <w:rsid w:val="00171F7D"/>
    <w:rsid w:val="001726F5"/>
    <w:rsid w:val="00172D2F"/>
    <w:rsid w:val="00173271"/>
    <w:rsid w:val="0017360D"/>
    <w:rsid w:val="00173A75"/>
    <w:rsid w:val="00173BD6"/>
    <w:rsid w:val="001740C6"/>
    <w:rsid w:val="001740C7"/>
    <w:rsid w:val="00174100"/>
    <w:rsid w:val="001745C8"/>
    <w:rsid w:val="00174A94"/>
    <w:rsid w:val="00174CC8"/>
    <w:rsid w:val="00175547"/>
    <w:rsid w:val="001755BB"/>
    <w:rsid w:val="001757B5"/>
    <w:rsid w:val="00175981"/>
    <w:rsid w:val="00175A9D"/>
    <w:rsid w:val="00175AA6"/>
    <w:rsid w:val="0017620F"/>
    <w:rsid w:val="00176281"/>
    <w:rsid w:val="001762E4"/>
    <w:rsid w:val="0017697F"/>
    <w:rsid w:val="00176B49"/>
    <w:rsid w:val="0017706D"/>
    <w:rsid w:val="0017709F"/>
    <w:rsid w:val="001774CC"/>
    <w:rsid w:val="001779C9"/>
    <w:rsid w:val="00177E00"/>
    <w:rsid w:val="00177F21"/>
    <w:rsid w:val="001801C6"/>
    <w:rsid w:val="00180857"/>
    <w:rsid w:val="00180B28"/>
    <w:rsid w:val="001811FE"/>
    <w:rsid w:val="0018123A"/>
    <w:rsid w:val="0018127F"/>
    <w:rsid w:val="0018140E"/>
    <w:rsid w:val="001814D5"/>
    <w:rsid w:val="00181609"/>
    <w:rsid w:val="00181635"/>
    <w:rsid w:val="0018171A"/>
    <w:rsid w:val="0018172C"/>
    <w:rsid w:val="00181789"/>
    <w:rsid w:val="0018187B"/>
    <w:rsid w:val="00181930"/>
    <w:rsid w:val="00181B5B"/>
    <w:rsid w:val="00181B5D"/>
    <w:rsid w:val="00181D75"/>
    <w:rsid w:val="00181FD8"/>
    <w:rsid w:val="00182308"/>
    <w:rsid w:val="00182336"/>
    <w:rsid w:val="001826D8"/>
    <w:rsid w:val="00182909"/>
    <w:rsid w:val="00182BD2"/>
    <w:rsid w:val="00182EB8"/>
    <w:rsid w:val="001830EA"/>
    <w:rsid w:val="00183174"/>
    <w:rsid w:val="001832BE"/>
    <w:rsid w:val="001835AA"/>
    <w:rsid w:val="00183804"/>
    <w:rsid w:val="0018398F"/>
    <w:rsid w:val="00183A4C"/>
    <w:rsid w:val="00183B85"/>
    <w:rsid w:val="00183BCF"/>
    <w:rsid w:val="00183D61"/>
    <w:rsid w:val="00183E05"/>
    <w:rsid w:val="00183EF8"/>
    <w:rsid w:val="00184078"/>
    <w:rsid w:val="001840EE"/>
    <w:rsid w:val="00184175"/>
    <w:rsid w:val="001841BF"/>
    <w:rsid w:val="00184504"/>
    <w:rsid w:val="001845E0"/>
    <w:rsid w:val="00184632"/>
    <w:rsid w:val="00184E7F"/>
    <w:rsid w:val="00185565"/>
    <w:rsid w:val="001857B1"/>
    <w:rsid w:val="001857FE"/>
    <w:rsid w:val="00185F98"/>
    <w:rsid w:val="00186342"/>
    <w:rsid w:val="0018634D"/>
    <w:rsid w:val="0018663F"/>
    <w:rsid w:val="00186954"/>
    <w:rsid w:val="0018740A"/>
    <w:rsid w:val="00187B7A"/>
    <w:rsid w:val="00190573"/>
    <w:rsid w:val="00190877"/>
    <w:rsid w:val="00190ED4"/>
    <w:rsid w:val="00191140"/>
    <w:rsid w:val="001914BF"/>
    <w:rsid w:val="0019160B"/>
    <w:rsid w:val="00191E08"/>
    <w:rsid w:val="00192258"/>
    <w:rsid w:val="00192465"/>
    <w:rsid w:val="001925C6"/>
    <w:rsid w:val="00192BCC"/>
    <w:rsid w:val="00192F58"/>
    <w:rsid w:val="001930B4"/>
    <w:rsid w:val="0019331A"/>
    <w:rsid w:val="001934C3"/>
    <w:rsid w:val="001939EE"/>
    <w:rsid w:val="00193AD5"/>
    <w:rsid w:val="00193D37"/>
    <w:rsid w:val="00193E47"/>
    <w:rsid w:val="00193F48"/>
    <w:rsid w:val="0019463F"/>
    <w:rsid w:val="00194799"/>
    <w:rsid w:val="0019479E"/>
    <w:rsid w:val="001947F8"/>
    <w:rsid w:val="00194B37"/>
    <w:rsid w:val="001951BB"/>
    <w:rsid w:val="00195202"/>
    <w:rsid w:val="00195984"/>
    <w:rsid w:val="00195C34"/>
    <w:rsid w:val="00195D01"/>
    <w:rsid w:val="00195D06"/>
    <w:rsid w:val="00195FFE"/>
    <w:rsid w:val="00196131"/>
    <w:rsid w:val="00196298"/>
    <w:rsid w:val="001962CF"/>
    <w:rsid w:val="0019662B"/>
    <w:rsid w:val="001967A4"/>
    <w:rsid w:val="00196C0E"/>
    <w:rsid w:val="00196E23"/>
    <w:rsid w:val="00196EF8"/>
    <w:rsid w:val="00196FCD"/>
    <w:rsid w:val="001970EF"/>
    <w:rsid w:val="00197502"/>
    <w:rsid w:val="001977E2"/>
    <w:rsid w:val="001979E5"/>
    <w:rsid w:val="00197BD1"/>
    <w:rsid w:val="00197D5A"/>
    <w:rsid w:val="00197E55"/>
    <w:rsid w:val="00197ED9"/>
    <w:rsid w:val="001A02D0"/>
    <w:rsid w:val="001A0357"/>
    <w:rsid w:val="001A0475"/>
    <w:rsid w:val="001A0480"/>
    <w:rsid w:val="001A0A28"/>
    <w:rsid w:val="001A0AA9"/>
    <w:rsid w:val="001A0B0A"/>
    <w:rsid w:val="001A0C16"/>
    <w:rsid w:val="001A119C"/>
    <w:rsid w:val="001A1340"/>
    <w:rsid w:val="001A15C6"/>
    <w:rsid w:val="001A1637"/>
    <w:rsid w:val="001A16D0"/>
    <w:rsid w:val="001A1BDD"/>
    <w:rsid w:val="001A206A"/>
    <w:rsid w:val="001A20D5"/>
    <w:rsid w:val="001A2505"/>
    <w:rsid w:val="001A2655"/>
    <w:rsid w:val="001A26D7"/>
    <w:rsid w:val="001A2FED"/>
    <w:rsid w:val="001A3551"/>
    <w:rsid w:val="001A3893"/>
    <w:rsid w:val="001A3B54"/>
    <w:rsid w:val="001A3BCB"/>
    <w:rsid w:val="001A3C40"/>
    <w:rsid w:val="001A40E5"/>
    <w:rsid w:val="001A42C0"/>
    <w:rsid w:val="001A449B"/>
    <w:rsid w:val="001A455E"/>
    <w:rsid w:val="001A4DC9"/>
    <w:rsid w:val="001A51BB"/>
    <w:rsid w:val="001A527D"/>
    <w:rsid w:val="001A5313"/>
    <w:rsid w:val="001A5A24"/>
    <w:rsid w:val="001A5EBE"/>
    <w:rsid w:val="001A600D"/>
    <w:rsid w:val="001A6050"/>
    <w:rsid w:val="001A60DA"/>
    <w:rsid w:val="001A6279"/>
    <w:rsid w:val="001A66B5"/>
    <w:rsid w:val="001A683A"/>
    <w:rsid w:val="001A686B"/>
    <w:rsid w:val="001A6FC3"/>
    <w:rsid w:val="001A6FEB"/>
    <w:rsid w:val="001A7353"/>
    <w:rsid w:val="001A776D"/>
    <w:rsid w:val="001A7997"/>
    <w:rsid w:val="001A7A3F"/>
    <w:rsid w:val="001A7B43"/>
    <w:rsid w:val="001A7DBA"/>
    <w:rsid w:val="001B0E46"/>
    <w:rsid w:val="001B0EA9"/>
    <w:rsid w:val="001B0EE5"/>
    <w:rsid w:val="001B0F14"/>
    <w:rsid w:val="001B14E8"/>
    <w:rsid w:val="001B1783"/>
    <w:rsid w:val="001B1D59"/>
    <w:rsid w:val="001B20E0"/>
    <w:rsid w:val="001B22B1"/>
    <w:rsid w:val="001B22B2"/>
    <w:rsid w:val="001B2422"/>
    <w:rsid w:val="001B2692"/>
    <w:rsid w:val="001B29B6"/>
    <w:rsid w:val="001B2B29"/>
    <w:rsid w:val="001B2F15"/>
    <w:rsid w:val="001B3091"/>
    <w:rsid w:val="001B3407"/>
    <w:rsid w:val="001B35F2"/>
    <w:rsid w:val="001B36CD"/>
    <w:rsid w:val="001B3BD8"/>
    <w:rsid w:val="001B3F22"/>
    <w:rsid w:val="001B3F4F"/>
    <w:rsid w:val="001B4CCD"/>
    <w:rsid w:val="001B4E9E"/>
    <w:rsid w:val="001B4F32"/>
    <w:rsid w:val="001B4FBF"/>
    <w:rsid w:val="001B53C6"/>
    <w:rsid w:val="001B5503"/>
    <w:rsid w:val="001B6384"/>
    <w:rsid w:val="001B63AF"/>
    <w:rsid w:val="001B64A6"/>
    <w:rsid w:val="001B67A8"/>
    <w:rsid w:val="001B6CD3"/>
    <w:rsid w:val="001B6EAC"/>
    <w:rsid w:val="001B7406"/>
    <w:rsid w:val="001B767C"/>
    <w:rsid w:val="001B7831"/>
    <w:rsid w:val="001B7BF0"/>
    <w:rsid w:val="001B7DB1"/>
    <w:rsid w:val="001B7F30"/>
    <w:rsid w:val="001B7FE6"/>
    <w:rsid w:val="001C0047"/>
    <w:rsid w:val="001C060A"/>
    <w:rsid w:val="001C07BD"/>
    <w:rsid w:val="001C0A60"/>
    <w:rsid w:val="001C0F0E"/>
    <w:rsid w:val="001C11E2"/>
    <w:rsid w:val="001C13E2"/>
    <w:rsid w:val="001C14C6"/>
    <w:rsid w:val="001C18AA"/>
    <w:rsid w:val="001C1E52"/>
    <w:rsid w:val="001C2056"/>
    <w:rsid w:val="001C2416"/>
    <w:rsid w:val="001C2AC1"/>
    <w:rsid w:val="001C3307"/>
    <w:rsid w:val="001C3388"/>
    <w:rsid w:val="001C3BC7"/>
    <w:rsid w:val="001C4222"/>
    <w:rsid w:val="001C43B3"/>
    <w:rsid w:val="001C45E8"/>
    <w:rsid w:val="001C46C6"/>
    <w:rsid w:val="001C4CC4"/>
    <w:rsid w:val="001C4FBE"/>
    <w:rsid w:val="001C52E2"/>
    <w:rsid w:val="001C5377"/>
    <w:rsid w:val="001C54EB"/>
    <w:rsid w:val="001C5580"/>
    <w:rsid w:val="001C5814"/>
    <w:rsid w:val="001C5B71"/>
    <w:rsid w:val="001C62DA"/>
    <w:rsid w:val="001C6370"/>
    <w:rsid w:val="001C658F"/>
    <w:rsid w:val="001C65DB"/>
    <w:rsid w:val="001C6769"/>
    <w:rsid w:val="001C6814"/>
    <w:rsid w:val="001C68DC"/>
    <w:rsid w:val="001C68ED"/>
    <w:rsid w:val="001C6E9D"/>
    <w:rsid w:val="001C7318"/>
    <w:rsid w:val="001C766A"/>
    <w:rsid w:val="001C7753"/>
    <w:rsid w:val="001C7953"/>
    <w:rsid w:val="001C7A3D"/>
    <w:rsid w:val="001D002A"/>
    <w:rsid w:val="001D03F6"/>
    <w:rsid w:val="001D0516"/>
    <w:rsid w:val="001D0762"/>
    <w:rsid w:val="001D07AD"/>
    <w:rsid w:val="001D0A3D"/>
    <w:rsid w:val="001D0FC6"/>
    <w:rsid w:val="001D1053"/>
    <w:rsid w:val="001D12E9"/>
    <w:rsid w:val="001D15B4"/>
    <w:rsid w:val="001D1620"/>
    <w:rsid w:val="001D1672"/>
    <w:rsid w:val="001D182A"/>
    <w:rsid w:val="001D1A39"/>
    <w:rsid w:val="001D1D13"/>
    <w:rsid w:val="001D1E73"/>
    <w:rsid w:val="001D2197"/>
    <w:rsid w:val="001D22EB"/>
    <w:rsid w:val="001D2739"/>
    <w:rsid w:val="001D2864"/>
    <w:rsid w:val="001D2CCC"/>
    <w:rsid w:val="001D311E"/>
    <w:rsid w:val="001D3165"/>
    <w:rsid w:val="001D3C5B"/>
    <w:rsid w:val="001D3F27"/>
    <w:rsid w:val="001D40C8"/>
    <w:rsid w:val="001D40CC"/>
    <w:rsid w:val="001D4146"/>
    <w:rsid w:val="001D4319"/>
    <w:rsid w:val="001D4327"/>
    <w:rsid w:val="001D43E4"/>
    <w:rsid w:val="001D4406"/>
    <w:rsid w:val="001D485C"/>
    <w:rsid w:val="001D4D37"/>
    <w:rsid w:val="001D4E21"/>
    <w:rsid w:val="001D51F7"/>
    <w:rsid w:val="001D5404"/>
    <w:rsid w:val="001D5A19"/>
    <w:rsid w:val="001D5E58"/>
    <w:rsid w:val="001D5E97"/>
    <w:rsid w:val="001D5F77"/>
    <w:rsid w:val="001D61B2"/>
    <w:rsid w:val="001D620F"/>
    <w:rsid w:val="001D62C5"/>
    <w:rsid w:val="001D635A"/>
    <w:rsid w:val="001D6677"/>
    <w:rsid w:val="001D678F"/>
    <w:rsid w:val="001D6A42"/>
    <w:rsid w:val="001D6C71"/>
    <w:rsid w:val="001D6CFA"/>
    <w:rsid w:val="001D6DF6"/>
    <w:rsid w:val="001D6F39"/>
    <w:rsid w:val="001D70B3"/>
    <w:rsid w:val="001D7390"/>
    <w:rsid w:val="001D756C"/>
    <w:rsid w:val="001D76DD"/>
    <w:rsid w:val="001D76EF"/>
    <w:rsid w:val="001D788A"/>
    <w:rsid w:val="001D7967"/>
    <w:rsid w:val="001D79C6"/>
    <w:rsid w:val="001D7FB3"/>
    <w:rsid w:val="001E061C"/>
    <w:rsid w:val="001E0662"/>
    <w:rsid w:val="001E06BF"/>
    <w:rsid w:val="001E0899"/>
    <w:rsid w:val="001E0D02"/>
    <w:rsid w:val="001E0D04"/>
    <w:rsid w:val="001E14EA"/>
    <w:rsid w:val="001E1C5D"/>
    <w:rsid w:val="001E1F34"/>
    <w:rsid w:val="001E266E"/>
    <w:rsid w:val="001E269F"/>
    <w:rsid w:val="001E2A1D"/>
    <w:rsid w:val="001E2E81"/>
    <w:rsid w:val="001E358C"/>
    <w:rsid w:val="001E378E"/>
    <w:rsid w:val="001E38B0"/>
    <w:rsid w:val="001E3A69"/>
    <w:rsid w:val="001E3A89"/>
    <w:rsid w:val="001E3A9F"/>
    <w:rsid w:val="001E3B4F"/>
    <w:rsid w:val="001E3D61"/>
    <w:rsid w:val="001E3E89"/>
    <w:rsid w:val="001E3F63"/>
    <w:rsid w:val="001E44EF"/>
    <w:rsid w:val="001E46C6"/>
    <w:rsid w:val="001E473B"/>
    <w:rsid w:val="001E4A39"/>
    <w:rsid w:val="001E4C1A"/>
    <w:rsid w:val="001E4C2F"/>
    <w:rsid w:val="001E4F44"/>
    <w:rsid w:val="001E4FCC"/>
    <w:rsid w:val="001E4FDA"/>
    <w:rsid w:val="001E515F"/>
    <w:rsid w:val="001E532E"/>
    <w:rsid w:val="001E539A"/>
    <w:rsid w:val="001E53AA"/>
    <w:rsid w:val="001E589D"/>
    <w:rsid w:val="001E5928"/>
    <w:rsid w:val="001E59B7"/>
    <w:rsid w:val="001E5A27"/>
    <w:rsid w:val="001E5F6B"/>
    <w:rsid w:val="001E5FA5"/>
    <w:rsid w:val="001E5FA6"/>
    <w:rsid w:val="001E6009"/>
    <w:rsid w:val="001E6174"/>
    <w:rsid w:val="001E63A5"/>
    <w:rsid w:val="001E647F"/>
    <w:rsid w:val="001E65AC"/>
    <w:rsid w:val="001E66A2"/>
    <w:rsid w:val="001E66F5"/>
    <w:rsid w:val="001E685E"/>
    <w:rsid w:val="001E6B55"/>
    <w:rsid w:val="001E6E2E"/>
    <w:rsid w:val="001E6F87"/>
    <w:rsid w:val="001E6F9D"/>
    <w:rsid w:val="001E7136"/>
    <w:rsid w:val="001E718B"/>
    <w:rsid w:val="001E747B"/>
    <w:rsid w:val="001E7C1B"/>
    <w:rsid w:val="001E7DB1"/>
    <w:rsid w:val="001F0016"/>
    <w:rsid w:val="001F04C2"/>
    <w:rsid w:val="001F075E"/>
    <w:rsid w:val="001F0958"/>
    <w:rsid w:val="001F0A6C"/>
    <w:rsid w:val="001F0B79"/>
    <w:rsid w:val="001F0B7A"/>
    <w:rsid w:val="001F0DF5"/>
    <w:rsid w:val="001F13AC"/>
    <w:rsid w:val="001F1B4D"/>
    <w:rsid w:val="001F1D42"/>
    <w:rsid w:val="001F1E4F"/>
    <w:rsid w:val="001F1F2E"/>
    <w:rsid w:val="001F213C"/>
    <w:rsid w:val="001F22BA"/>
    <w:rsid w:val="001F25AA"/>
    <w:rsid w:val="001F2607"/>
    <w:rsid w:val="001F2A18"/>
    <w:rsid w:val="001F2AF9"/>
    <w:rsid w:val="001F2C52"/>
    <w:rsid w:val="001F2EA0"/>
    <w:rsid w:val="001F2F39"/>
    <w:rsid w:val="001F2FCB"/>
    <w:rsid w:val="001F35BC"/>
    <w:rsid w:val="001F377F"/>
    <w:rsid w:val="001F3B36"/>
    <w:rsid w:val="001F3B3A"/>
    <w:rsid w:val="001F3CCE"/>
    <w:rsid w:val="001F3DD3"/>
    <w:rsid w:val="001F4087"/>
    <w:rsid w:val="001F4182"/>
    <w:rsid w:val="001F41FB"/>
    <w:rsid w:val="001F4230"/>
    <w:rsid w:val="001F44AB"/>
    <w:rsid w:val="001F4949"/>
    <w:rsid w:val="001F49D6"/>
    <w:rsid w:val="001F4AED"/>
    <w:rsid w:val="001F4D32"/>
    <w:rsid w:val="001F5187"/>
    <w:rsid w:val="001F5476"/>
    <w:rsid w:val="001F54AA"/>
    <w:rsid w:val="001F5922"/>
    <w:rsid w:val="001F5AEB"/>
    <w:rsid w:val="001F5F63"/>
    <w:rsid w:val="001F5F9C"/>
    <w:rsid w:val="001F6004"/>
    <w:rsid w:val="001F61E1"/>
    <w:rsid w:val="001F6225"/>
    <w:rsid w:val="001F64F0"/>
    <w:rsid w:val="001F6567"/>
    <w:rsid w:val="001F6CAB"/>
    <w:rsid w:val="001F6D9A"/>
    <w:rsid w:val="001F722D"/>
    <w:rsid w:val="001F72CF"/>
    <w:rsid w:val="001F733F"/>
    <w:rsid w:val="001F74CF"/>
    <w:rsid w:val="001F76B9"/>
    <w:rsid w:val="001F76E3"/>
    <w:rsid w:val="001F7825"/>
    <w:rsid w:val="001F7A95"/>
    <w:rsid w:val="001F7AF4"/>
    <w:rsid w:val="001F7BE4"/>
    <w:rsid w:val="001F7F37"/>
    <w:rsid w:val="0020000B"/>
    <w:rsid w:val="002004D3"/>
    <w:rsid w:val="0020070E"/>
    <w:rsid w:val="0020073F"/>
    <w:rsid w:val="00200789"/>
    <w:rsid w:val="002007A5"/>
    <w:rsid w:val="00200C4D"/>
    <w:rsid w:val="00200F48"/>
    <w:rsid w:val="0020142B"/>
    <w:rsid w:val="00201792"/>
    <w:rsid w:val="00201BBB"/>
    <w:rsid w:val="00201CD6"/>
    <w:rsid w:val="00201D5C"/>
    <w:rsid w:val="00201DF2"/>
    <w:rsid w:val="0020249F"/>
    <w:rsid w:val="00202A67"/>
    <w:rsid w:val="00202A89"/>
    <w:rsid w:val="00202DBC"/>
    <w:rsid w:val="00202EB7"/>
    <w:rsid w:val="002030EF"/>
    <w:rsid w:val="002031B2"/>
    <w:rsid w:val="002032FE"/>
    <w:rsid w:val="002037CF"/>
    <w:rsid w:val="002037E6"/>
    <w:rsid w:val="0020387E"/>
    <w:rsid w:val="00203A7F"/>
    <w:rsid w:val="0020439D"/>
    <w:rsid w:val="00204D79"/>
    <w:rsid w:val="00205815"/>
    <w:rsid w:val="00205C9E"/>
    <w:rsid w:val="00205FA1"/>
    <w:rsid w:val="00206186"/>
    <w:rsid w:val="002063A3"/>
    <w:rsid w:val="00206666"/>
    <w:rsid w:val="002069B7"/>
    <w:rsid w:val="00206C58"/>
    <w:rsid w:val="00206FDC"/>
    <w:rsid w:val="00207740"/>
    <w:rsid w:val="002077D6"/>
    <w:rsid w:val="0020789D"/>
    <w:rsid w:val="002078BF"/>
    <w:rsid w:val="00210144"/>
    <w:rsid w:val="0021047D"/>
    <w:rsid w:val="00210648"/>
    <w:rsid w:val="002109AB"/>
    <w:rsid w:val="00210B47"/>
    <w:rsid w:val="0021135A"/>
    <w:rsid w:val="002117DD"/>
    <w:rsid w:val="00211830"/>
    <w:rsid w:val="002119D2"/>
    <w:rsid w:val="002119F3"/>
    <w:rsid w:val="00211A39"/>
    <w:rsid w:val="00211A64"/>
    <w:rsid w:val="00211BCE"/>
    <w:rsid w:val="00211C21"/>
    <w:rsid w:val="0021223B"/>
    <w:rsid w:val="002133ED"/>
    <w:rsid w:val="002136AE"/>
    <w:rsid w:val="002137ED"/>
    <w:rsid w:val="00213831"/>
    <w:rsid w:val="0021389E"/>
    <w:rsid w:val="00213A83"/>
    <w:rsid w:val="00213BD7"/>
    <w:rsid w:val="00213CCF"/>
    <w:rsid w:val="00213FEC"/>
    <w:rsid w:val="002142C7"/>
    <w:rsid w:val="00214492"/>
    <w:rsid w:val="00214CB6"/>
    <w:rsid w:val="00214D36"/>
    <w:rsid w:val="00214F11"/>
    <w:rsid w:val="002151E1"/>
    <w:rsid w:val="002158D4"/>
    <w:rsid w:val="002158DE"/>
    <w:rsid w:val="00215B71"/>
    <w:rsid w:val="00215C59"/>
    <w:rsid w:val="00215E76"/>
    <w:rsid w:val="00215EE9"/>
    <w:rsid w:val="00215FF2"/>
    <w:rsid w:val="00216146"/>
    <w:rsid w:val="00216C2A"/>
    <w:rsid w:val="00216DB5"/>
    <w:rsid w:val="00216E5B"/>
    <w:rsid w:val="00217154"/>
    <w:rsid w:val="002172CC"/>
    <w:rsid w:val="00217680"/>
    <w:rsid w:val="0021771C"/>
    <w:rsid w:val="00217C72"/>
    <w:rsid w:val="00217F9B"/>
    <w:rsid w:val="00220400"/>
    <w:rsid w:val="00220A70"/>
    <w:rsid w:val="00221CF5"/>
    <w:rsid w:val="00222508"/>
    <w:rsid w:val="00222706"/>
    <w:rsid w:val="00222806"/>
    <w:rsid w:val="002228DC"/>
    <w:rsid w:val="002229FC"/>
    <w:rsid w:val="0022328A"/>
    <w:rsid w:val="002232A5"/>
    <w:rsid w:val="0022333C"/>
    <w:rsid w:val="002234B9"/>
    <w:rsid w:val="002236A8"/>
    <w:rsid w:val="002236AD"/>
    <w:rsid w:val="0022370D"/>
    <w:rsid w:val="002239E2"/>
    <w:rsid w:val="00223B3B"/>
    <w:rsid w:val="00223F67"/>
    <w:rsid w:val="00223FFD"/>
    <w:rsid w:val="00224498"/>
    <w:rsid w:val="00224603"/>
    <w:rsid w:val="0022484F"/>
    <w:rsid w:val="00224E01"/>
    <w:rsid w:val="00224FE8"/>
    <w:rsid w:val="00224FF4"/>
    <w:rsid w:val="00225105"/>
    <w:rsid w:val="002253F5"/>
    <w:rsid w:val="00225623"/>
    <w:rsid w:val="002256FC"/>
    <w:rsid w:val="00225AB7"/>
    <w:rsid w:val="00226024"/>
    <w:rsid w:val="002260D9"/>
    <w:rsid w:val="0022626F"/>
    <w:rsid w:val="00226391"/>
    <w:rsid w:val="002267AF"/>
    <w:rsid w:val="0022764E"/>
    <w:rsid w:val="00227A49"/>
    <w:rsid w:val="00227B34"/>
    <w:rsid w:val="002302A0"/>
    <w:rsid w:val="002304E9"/>
    <w:rsid w:val="002306EE"/>
    <w:rsid w:val="0023088E"/>
    <w:rsid w:val="00230AF0"/>
    <w:rsid w:val="00230C0D"/>
    <w:rsid w:val="00230E1D"/>
    <w:rsid w:val="002314D3"/>
    <w:rsid w:val="0023176D"/>
    <w:rsid w:val="0023194A"/>
    <w:rsid w:val="00231CD6"/>
    <w:rsid w:val="00231CE9"/>
    <w:rsid w:val="00231D51"/>
    <w:rsid w:val="00231F00"/>
    <w:rsid w:val="002320AD"/>
    <w:rsid w:val="002321AE"/>
    <w:rsid w:val="002321CF"/>
    <w:rsid w:val="00232317"/>
    <w:rsid w:val="00232334"/>
    <w:rsid w:val="0023244A"/>
    <w:rsid w:val="002325CB"/>
    <w:rsid w:val="0023263E"/>
    <w:rsid w:val="00232934"/>
    <w:rsid w:val="002329DA"/>
    <w:rsid w:val="00232C3A"/>
    <w:rsid w:val="00232FF0"/>
    <w:rsid w:val="00233076"/>
    <w:rsid w:val="002339D2"/>
    <w:rsid w:val="00233B4A"/>
    <w:rsid w:val="00233BCC"/>
    <w:rsid w:val="00233EA6"/>
    <w:rsid w:val="0023421F"/>
    <w:rsid w:val="00234308"/>
    <w:rsid w:val="00234461"/>
    <w:rsid w:val="002344F4"/>
    <w:rsid w:val="002346C1"/>
    <w:rsid w:val="002347FE"/>
    <w:rsid w:val="00234A91"/>
    <w:rsid w:val="00234D01"/>
    <w:rsid w:val="00234D32"/>
    <w:rsid w:val="00234E8D"/>
    <w:rsid w:val="002352CE"/>
    <w:rsid w:val="002356AC"/>
    <w:rsid w:val="00235C45"/>
    <w:rsid w:val="00235C85"/>
    <w:rsid w:val="00235FD4"/>
    <w:rsid w:val="002360AC"/>
    <w:rsid w:val="0023636E"/>
    <w:rsid w:val="0023680D"/>
    <w:rsid w:val="00236A23"/>
    <w:rsid w:val="00236B56"/>
    <w:rsid w:val="00237487"/>
    <w:rsid w:val="00237A06"/>
    <w:rsid w:val="00237BEA"/>
    <w:rsid w:val="00237E23"/>
    <w:rsid w:val="00237F1C"/>
    <w:rsid w:val="00240057"/>
    <w:rsid w:val="00240362"/>
    <w:rsid w:val="0024039A"/>
    <w:rsid w:val="00240D05"/>
    <w:rsid w:val="00240E42"/>
    <w:rsid w:val="0024109B"/>
    <w:rsid w:val="0024160B"/>
    <w:rsid w:val="0024193C"/>
    <w:rsid w:val="00241982"/>
    <w:rsid w:val="00241AC9"/>
    <w:rsid w:val="00241BB2"/>
    <w:rsid w:val="00241E45"/>
    <w:rsid w:val="00241E55"/>
    <w:rsid w:val="00241FC5"/>
    <w:rsid w:val="002420F1"/>
    <w:rsid w:val="00242330"/>
    <w:rsid w:val="0024276B"/>
    <w:rsid w:val="00242E5A"/>
    <w:rsid w:val="0024356B"/>
    <w:rsid w:val="0024393A"/>
    <w:rsid w:val="00243E34"/>
    <w:rsid w:val="00244083"/>
    <w:rsid w:val="002441BA"/>
    <w:rsid w:val="00244560"/>
    <w:rsid w:val="00244B80"/>
    <w:rsid w:val="00245316"/>
    <w:rsid w:val="00245409"/>
    <w:rsid w:val="00245474"/>
    <w:rsid w:val="002454C9"/>
    <w:rsid w:val="00245592"/>
    <w:rsid w:val="002456E2"/>
    <w:rsid w:val="00245871"/>
    <w:rsid w:val="00245919"/>
    <w:rsid w:val="00245A68"/>
    <w:rsid w:val="00245B31"/>
    <w:rsid w:val="00245BF4"/>
    <w:rsid w:val="00245CC6"/>
    <w:rsid w:val="00245E37"/>
    <w:rsid w:val="0024605D"/>
    <w:rsid w:val="0024649F"/>
    <w:rsid w:val="0024653A"/>
    <w:rsid w:val="002466B0"/>
    <w:rsid w:val="002466F3"/>
    <w:rsid w:val="002467B4"/>
    <w:rsid w:val="00246AA3"/>
    <w:rsid w:val="00246D85"/>
    <w:rsid w:val="002473EB"/>
    <w:rsid w:val="00247A0F"/>
    <w:rsid w:val="00247C12"/>
    <w:rsid w:val="00247D0A"/>
    <w:rsid w:val="0025019F"/>
    <w:rsid w:val="00250836"/>
    <w:rsid w:val="00250F62"/>
    <w:rsid w:val="00251288"/>
    <w:rsid w:val="0025141F"/>
    <w:rsid w:val="0025172F"/>
    <w:rsid w:val="00251E69"/>
    <w:rsid w:val="002520FB"/>
    <w:rsid w:val="002523E0"/>
    <w:rsid w:val="00252925"/>
    <w:rsid w:val="002529A7"/>
    <w:rsid w:val="00252AA4"/>
    <w:rsid w:val="00252D83"/>
    <w:rsid w:val="00252DAF"/>
    <w:rsid w:val="00252ED3"/>
    <w:rsid w:val="00253277"/>
    <w:rsid w:val="00253290"/>
    <w:rsid w:val="00253376"/>
    <w:rsid w:val="0025352E"/>
    <w:rsid w:val="00253695"/>
    <w:rsid w:val="00253705"/>
    <w:rsid w:val="00253874"/>
    <w:rsid w:val="00254A31"/>
    <w:rsid w:val="00255080"/>
    <w:rsid w:val="002550B4"/>
    <w:rsid w:val="0025584D"/>
    <w:rsid w:val="0025585E"/>
    <w:rsid w:val="0025593C"/>
    <w:rsid w:val="00255CCA"/>
    <w:rsid w:val="00255E29"/>
    <w:rsid w:val="002566DE"/>
    <w:rsid w:val="00256766"/>
    <w:rsid w:val="002567EF"/>
    <w:rsid w:val="00256AEE"/>
    <w:rsid w:val="0025741E"/>
    <w:rsid w:val="00257716"/>
    <w:rsid w:val="002577F4"/>
    <w:rsid w:val="002579B7"/>
    <w:rsid w:val="002601CC"/>
    <w:rsid w:val="002605B0"/>
    <w:rsid w:val="00260651"/>
    <w:rsid w:val="002606F0"/>
    <w:rsid w:val="00260768"/>
    <w:rsid w:val="0026082C"/>
    <w:rsid w:val="00260A50"/>
    <w:rsid w:val="00260C24"/>
    <w:rsid w:val="00260D40"/>
    <w:rsid w:val="00260F43"/>
    <w:rsid w:val="0026109E"/>
    <w:rsid w:val="0026119D"/>
    <w:rsid w:val="00261389"/>
    <w:rsid w:val="002614B1"/>
    <w:rsid w:val="002616D8"/>
    <w:rsid w:val="002619CE"/>
    <w:rsid w:val="002622BE"/>
    <w:rsid w:val="002622CF"/>
    <w:rsid w:val="002623E8"/>
    <w:rsid w:val="002625CE"/>
    <w:rsid w:val="002625DB"/>
    <w:rsid w:val="00262775"/>
    <w:rsid w:val="0026279A"/>
    <w:rsid w:val="00263220"/>
    <w:rsid w:val="0026366C"/>
    <w:rsid w:val="00263991"/>
    <w:rsid w:val="00263CC0"/>
    <w:rsid w:val="00263EF4"/>
    <w:rsid w:val="00263FAB"/>
    <w:rsid w:val="00264274"/>
    <w:rsid w:val="0026467E"/>
    <w:rsid w:val="00264CD3"/>
    <w:rsid w:val="00264FCD"/>
    <w:rsid w:val="002650B7"/>
    <w:rsid w:val="002654EA"/>
    <w:rsid w:val="002659E4"/>
    <w:rsid w:val="00265CAF"/>
    <w:rsid w:val="00265F5D"/>
    <w:rsid w:val="0026640C"/>
    <w:rsid w:val="00266BE2"/>
    <w:rsid w:val="00267041"/>
    <w:rsid w:val="00267260"/>
    <w:rsid w:val="00267318"/>
    <w:rsid w:val="00267402"/>
    <w:rsid w:val="00267BCA"/>
    <w:rsid w:val="00267D46"/>
    <w:rsid w:val="0027004F"/>
    <w:rsid w:val="00270166"/>
    <w:rsid w:val="00270312"/>
    <w:rsid w:val="002703EA"/>
    <w:rsid w:val="00270C18"/>
    <w:rsid w:val="00270C23"/>
    <w:rsid w:val="00270C4E"/>
    <w:rsid w:val="00270E50"/>
    <w:rsid w:val="00270F89"/>
    <w:rsid w:val="00270FD0"/>
    <w:rsid w:val="00271B7A"/>
    <w:rsid w:val="00271CD4"/>
    <w:rsid w:val="00271E90"/>
    <w:rsid w:val="002722EA"/>
    <w:rsid w:val="00272313"/>
    <w:rsid w:val="00272853"/>
    <w:rsid w:val="00272993"/>
    <w:rsid w:val="00272F27"/>
    <w:rsid w:val="0027302F"/>
    <w:rsid w:val="00273109"/>
    <w:rsid w:val="00273BC0"/>
    <w:rsid w:val="00273C5A"/>
    <w:rsid w:val="00273F15"/>
    <w:rsid w:val="00274249"/>
    <w:rsid w:val="002743A4"/>
    <w:rsid w:val="002745B5"/>
    <w:rsid w:val="00274CA6"/>
    <w:rsid w:val="00274EAD"/>
    <w:rsid w:val="002751C4"/>
    <w:rsid w:val="00275763"/>
    <w:rsid w:val="00275820"/>
    <w:rsid w:val="002759BC"/>
    <w:rsid w:val="00275BA5"/>
    <w:rsid w:val="00275E2D"/>
    <w:rsid w:val="00276177"/>
    <w:rsid w:val="00276293"/>
    <w:rsid w:val="00276300"/>
    <w:rsid w:val="002763A8"/>
    <w:rsid w:val="002764DA"/>
    <w:rsid w:val="00276A9E"/>
    <w:rsid w:val="00276CD0"/>
    <w:rsid w:val="00276EAB"/>
    <w:rsid w:val="002773BB"/>
    <w:rsid w:val="002773C3"/>
    <w:rsid w:val="002774E1"/>
    <w:rsid w:val="0027767F"/>
    <w:rsid w:val="00277AC3"/>
    <w:rsid w:val="00277C18"/>
    <w:rsid w:val="00277C3D"/>
    <w:rsid w:val="00277DD9"/>
    <w:rsid w:val="00280198"/>
    <w:rsid w:val="002808AB"/>
    <w:rsid w:val="00280E28"/>
    <w:rsid w:val="00280EA2"/>
    <w:rsid w:val="002814BD"/>
    <w:rsid w:val="002818C1"/>
    <w:rsid w:val="00281C74"/>
    <w:rsid w:val="00281DF9"/>
    <w:rsid w:val="00282167"/>
    <w:rsid w:val="00282811"/>
    <w:rsid w:val="00282927"/>
    <w:rsid w:val="00282AB4"/>
    <w:rsid w:val="00282BB3"/>
    <w:rsid w:val="00283E82"/>
    <w:rsid w:val="00283F5D"/>
    <w:rsid w:val="00284164"/>
    <w:rsid w:val="00284EC8"/>
    <w:rsid w:val="0028559A"/>
    <w:rsid w:val="00285651"/>
    <w:rsid w:val="00285DDE"/>
    <w:rsid w:val="0028603D"/>
    <w:rsid w:val="002860A0"/>
    <w:rsid w:val="0028617D"/>
    <w:rsid w:val="0028622C"/>
    <w:rsid w:val="0028633C"/>
    <w:rsid w:val="0028646E"/>
    <w:rsid w:val="00286599"/>
    <w:rsid w:val="00286A67"/>
    <w:rsid w:val="00286BC4"/>
    <w:rsid w:val="00286DD5"/>
    <w:rsid w:val="00286E94"/>
    <w:rsid w:val="00286F9A"/>
    <w:rsid w:val="00287B65"/>
    <w:rsid w:val="00287C11"/>
    <w:rsid w:val="00287F8C"/>
    <w:rsid w:val="00290095"/>
    <w:rsid w:val="00290276"/>
    <w:rsid w:val="0029038D"/>
    <w:rsid w:val="002903E8"/>
    <w:rsid w:val="00290479"/>
    <w:rsid w:val="002904CE"/>
    <w:rsid w:val="0029093A"/>
    <w:rsid w:val="00290955"/>
    <w:rsid w:val="00290DE2"/>
    <w:rsid w:val="0029112F"/>
    <w:rsid w:val="00291168"/>
    <w:rsid w:val="0029129F"/>
    <w:rsid w:val="002912FE"/>
    <w:rsid w:val="00291322"/>
    <w:rsid w:val="002915B4"/>
    <w:rsid w:val="0029176B"/>
    <w:rsid w:val="00291B05"/>
    <w:rsid w:val="00291C5B"/>
    <w:rsid w:val="00291CC6"/>
    <w:rsid w:val="00291D74"/>
    <w:rsid w:val="00292057"/>
    <w:rsid w:val="002923A7"/>
    <w:rsid w:val="0029270C"/>
    <w:rsid w:val="00292E6F"/>
    <w:rsid w:val="00293073"/>
    <w:rsid w:val="00293300"/>
    <w:rsid w:val="00293840"/>
    <w:rsid w:val="0029386B"/>
    <w:rsid w:val="00293AA9"/>
    <w:rsid w:val="00293B39"/>
    <w:rsid w:val="00293B78"/>
    <w:rsid w:val="00293CE4"/>
    <w:rsid w:val="00293D0D"/>
    <w:rsid w:val="00293E9C"/>
    <w:rsid w:val="00293EEF"/>
    <w:rsid w:val="002942A2"/>
    <w:rsid w:val="0029435C"/>
    <w:rsid w:val="002944BB"/>
    <w:rsid w:val="00294C02"/>
    <w:rsid w:val="00294C86"/>
    <w:rsid w:val="00294D3C"/>
    <w:rsid w:val="00294FD0"/>
    <w:rsid w:val="002952BA"/>
    <w:rsid w:val="00295384"/>
    <w:rsid w:val="002953FF"/>
    <w:rsid w:val="00295962"/>
    <w:rsid w:val="00295AEA"/>
    <w:rsid w:val="00295D86"/>
    <w:rsid w:val="00295E9A"/>
    <w:rsid w:val="002964FE"/>
    <w:rsid w:val="00296794"/>
    <w:rsid w:val="00296FB7"/>
    <w:rsid w:val="00297333"/>
    <w:rsid w:val="00297BF4"/>
    <w:rsid w:val="00297D41"/>
    <w:rsid w:val="00297E9B"/>
    <w:rsid w:val="002A0014"/>
    <w:rsid w:val="002A00B1"/>
    <w:rsid w:val="002A035E"/>
    <w:rsid w:val="002A05AE"/>
    <w:rsid w:val="002A05B7"/>
    <w:rsid w:val="002A060B"/>
    <w:rsid w:val="002A0C8B"/>
    <w:rsid w:val="002A0D56"/>
    <w:rsid w:val="002A1002"/>
    <w:rsid w:val="002A141B"/>
    <w:rsid w:val="002A1574"/>
    <w:rsid w:val="002A1656"/>
    <w:rsid w:val="002A178E"/>
    <w:rsid w:val="002A1965"/>
    <w:rsid w:val="002A1B7C"/>
    <w:rsid w:val="002A2006"/>
    <w:rsid w:val="002A2225"/>
    <w:rsid w:val="002A2597"/>
    <w:rsid w:val="002A2F02"/>
    <w:rsid w:val="002A3054"/>
    <w:rsid w:val="002A30B6"/>
    <w:rsid w:val="002A30D0"/>
    <w:rsid w:val="002A3102"/>
    <w:rsid w:val="002A36FD"/>
    <w:rsid w:val="002A3775"/>
    <w:rsid w:val="002A3C8F"/>
    <w:rsid w:val="002A3DB7"/>
    <w:rsid w:val="002A41C4"/>
    <w:rsid w:val="002A42E9"/>
    <w:rsid w:val="002A4341"/>
    <w:rsid w:val="002A504E"/>
    <w:rsid w:val="002A596B"/>
    <w:rsid w:val="002A5E27"/>
    <w:rsid w:val="002A5F22"/>
    <w:rsid w:val="002A5F30"/>
    <w:rsid w:val="002A5FD7"/>
    <w:rsid w:val="002A6124"/>
    <w:rsid w:val="002A61EB"/>
    <w:rsid w:val="002A64CD"/>
    <w:rsid w:val="002A679C"/>
    <w:rsid w:val="002A67A3"/>
    <w:rsid w:val="002A6B10"/>
    <w:rsid w:val="002A6C7E"/>
    <w:rsid w:val="002A6F53"/>
    <w:rsid w:val="002A6FE1"/>
    <w:rsid w:val="002A7423"/>
    <w:rsid w:val="002A7603"/>
    <w:rsid w:val="002A789C"/>
    <w:rsid w:val="002A794B"/>
    <w:rsid w:val="002A7B50"/>
    <w:rsid w:val="002A7C28"/>
    <w:rsid w:val="002A7C38"/>
    <w:rsid w:val="002A7F73"/>
    <w:rsid w:val="002A7FE3"/>
    <w:rsid w:val="002B0607"/>
    <w:rsid w:val="002B0985"/>
    <w:rsid w:val="002B11C7"/>
    <w:rsid w:val="002B137F"/>
    <w:rsid w:val="002B1492"/>
    <w:rsid w:val="002B15D3"/>
    <w:rsid w:val="002B16EF"/>
    <w:rsid w:val="002B1DAC"/>
    <w:rsid w:val="002B2252"/>
    <w:rsid w:val="002B2A8C"/>
    <w:rsid w:val="002B2B87"/>
    <w:rsid w:val="002B2C09"/>
    <w:rsid w:val="002B2DE1"/>
    <w:rsid w:val="002B2FB0"/>
    <w:rsid w:val="002B33AF"/>
    <w:rsid w:val="002B3D36"/>
    <w:rsid w:val="002B3E83"/>
    <w:rsid w:val="002B3EDF"/>
    <w:rsid w:val="002B40AA"/>
    <w:rsid w:val="002B42D8"/>
    <w:rsid w:val="002B4407"/>
    <w:rsid w:val="002B45F1"/>
    <w:rsid w:val="002B4BBF"/>
    <w:rsid w:val="002B4BED"/>
    <w:rsid w:val="002B502D"/>
    <w:rsid w:val="002B51C5"/>
    <w:rsid w:val="002B53A7"/>
    <w:rsid w:val="002B54C6"/>
    <w:rsid w:val="002B552A"/>
    <w:rsid w:val="002B5588"/>
    <w:rsid w:val="002B570D"/>
    <w:rsid w:val="002B5892"/>
    <w:rsid w:val="002B5A03"/>
    <w:rsid w:val="002B5BED"/>
    <w:rsid w:val="002B5D0C"/>
    <w:rsid w:val="002B5FBB"/>
    <w:rsid w:val="002B61B3"/>
    <w:rsid w:val="002B61F6"/>
    <w:rsid w:val="002B6851"/>
    <w:rsid w:val="002B6960"/>
    <w:rsid w:val="002B705E"/>
    <w:rsid w:val="002B70A5"/>
    <w:rsid w:val="002B71A5"/>
    <w:rsid w:val="002B7423"/>
    <w:rsid w:val="002B78CE"/>
    <w:rsid w:val="002B78F7"/>
    <w:rsid w:val="002B79BF"/>
    <w:rsid w:val="002B7CAA"/>
    <w:rsid w:val="002B7CDE"/>
    <w:rsid w:val="002C0318"/>
    <w:rsid w:val="002C0592"/>
    <w:rsid w:val="002C0716"/>
    <w:rsid w:val="002C090E"/>
    <w:rsid w:val="002C0DFF"/>
    <w:rsid w:val="002C0E20"/>
    <w:rsid w:val="002C1140"/>
    <w:rsid w:val="002C1276"/>
    <w:rsid w:val="002C1322"/>
    <w:rsid w:val="002C151E"/>
    <w:rsid w:val="002C163C"/>
    <w:rsid w:val="002C1778"/>
    <w:rsid w:val="002C1A54"/>
    <w:rsid w:val="002C1C8C"/>
    <w:rsid w:val="002C1CDB"/>
    <w:rsid w:val="002C2604"/>
    <w:rsid w:val="002C2898"/>
    <w:rsid w:val="002C2CB6"/>
    <w:rsid w:val="002C2F73"/>
    <w:rsid w:val="002C303A"/>
    <w:rsid w:val="002C335F"/>
    <w:rsid w:val="002C36B1"/>
    <w:rsid w:val="002C3D48"/>
    <w:rsid w:val="002C445C"/>
    <w:rsid w:val="002C4666"/>
    <w:rsid w:val="002C46CA"/>
    <w:rsid w:val="002C46F7"/>
    <w:rsid w:val="002C4729"/>
    <w:rsid w:val="002C4A73"/>
    <w:rsid w:val="002C4B0E"/>
    <w:rsid w:val="002C4BA2"/>
    <w:rsid w:val="002C5166"/>
    <w:rsid w:val="002C5188"/>
    <w:rsid w:val="002C5192"/>
    <w:rsid w:val="002C51D6"/>
    <w:rsid w:val="002C538D"/>
    <w:rsid w:val="002C5F51"/>
    <w:rsid w:val="002C612A"/>
    <w:rsid w:val="002C68F3"/>
    <w:rsid w:val="002C6A7B"/>
    <w:rsid w:val="002C6BA5"/>
    <w:rsid w:val="002C6F8E"/>
    <w:rsid w:val="002C73A7"/>
    <w:rsid w:val="002C73B2"/>
    <w:rsid w:val="002C757A"/>
    <w:rsid w:val="002C77C8"/>
    <w:rsid w:val="002C7827"/>
    <w:rsid w:val="002C7ABF"/>
    <w:rsid w:val="002C7AD1"/>
    <w:rsid w:val="002C7DC0"/>
    <w:rsid w:val="002D0528"/>
    <w:rsid w:val="002D08BD"/>
    <w:rsid w:val="002D09B1"/>
    <w:rsid w:val="002D0DDA"/>
    <w:rsid w:val="002D1357"/>
    <w:rsid w:val="002D1616"/>
    <w:rsid w:val="002D1670"/>
    <w:rsid w:val="002D1994"/>
    <w:rsid w:val="002D1A66"/>
    <w:rsid w:val="002D2031"/>
    <w:rsid w:val="002D2235"/>
    <w:rsid w:val="002D22A4"/>
    <w:rsid w:val="002D2445"/>
    <w:rsid w:val="002D24C6"/>
    <w:rsid w:val="002D2507"/>
    <w:rsid w:val="002D26D5"/>
    <w:rsid w:val="002D2B29"/>
    <w:rsid w:val="002D2B3A"/>
    <w:rsid w:val="002D2B82"/>
    <w:rsid w:val="002D2D64"/>
    <w:rsid w:val="002D3045"/>
    <w:rsid w:val="002D30CF"/>
    <w:rsid w:val="002D314B"/>
    <w:rsid w:val="002D34D7"/>
    <w:rsid w:val="002D34DF"/>
    <w:rsid w:val="002D382C"/>
    <w:rsid w:val="002D38A2"/>
    <w:rsid w:val="002D463E"/>
    <w:rsid w:val="002D49F8"/>
    <w:rsid w:val="002D4A62"/>
    <w:rsid w:val="002D4BD1"/>
    <w:rsid w:val="002D4E17"/>
    <w:rsid w:val="002D53F4"/>
    <w:rsid w:val="002D5CEB"/>
    <w:rsid w:val="002D5E94"/>
    <w:rsid w:val="002D5FFB"/>
    <w:rsid w:val="002D62B6"/>
    <w:rsid w:val="002D6526"/>
    <w:rsid w:val="002D750E"/>
    <w:rsid w:val="002D78E8"/>
    <w:rsid w:val="002D7B6E"/>
    <w:rsid w:val="002D7F32"/>
    <w:rsid w:val="002D7F88"/>
    <w:rsid w:val="002E00A7"/>
    <w:rsid w:val="002E017D"/>
    <w:rsid w:val="002E023D"/>
    <w:rsid w:val="002E0404"/>
    <w:rsid w:val="002E0979"/>
    <w:rsid w:val="002E0BCA"/>
    <w:rsid w:val="002E0E61"/>
    <w:rsid w:val="002E0E63"/>
    <w:rsid w:val="002E0F75"/>
    <w:rsid w:val="002E14E2"/>
    <w:rsid w:val="002E150F"/>
    <w:rsid w:val="002E15E5"/>
    <w:rsid w:val="002E1AE5"/>
    <w:rsid w:val="002E1CC0"/>
    <w:rsid w:val="002E1F27"/>
    <w:rsid w:val="002E22AA"/>
    <w:rsid w:val="002E23EE"/>
    <w:rsid w:val="002E26B9"/>
    <w:rsid w:val="002E270E"/>
    <w:rsid w:val="002E29F1"/>
    <w:rsid w:val="002E2AD5"/>
    <w:rsid w:val="002E2B4F"/>
    <w:rsid w:val="002E2B6A"/>
    <w:rsid w:val="002E2D73"/>
    <w:rsid w:val="002E2DAF"/>
    <w:rsid w:val="002E2E3B"/>
    <w:rsid w:val="002E3112"/>
    <w:rsid w:val="002E3144"/>
    <w:rsid w:val="002E3E14"/>
    <w:rsid w:val="002E4232"/>
    <w:rsid w:val="002E4BC8"/>
    <w:rsid w:val="002E4DC3"/>
    <w:rsid w:val="002E4E43"/>
    <w:rsid w:val="002E4EA3"/>
    <w:rsid w:val="002E5169"/>
    <w:rsid w:val="002E55FE"/>
    <w:rsid w:val="002E563A"/>
    <w:rsid w:val="002E56A2"/>
    <w:rsid w:val="002E59A9"/>
    <w:rsid w:val="002E59BD"/>
    <w:rsid w:val="002E5BAC"/>
    <w:rsid w:val="002E5C5F"/>
    <w:rsid w:val="002E5F37"/>
    <w:rsid w:val="002E6091"/>
    <w:rsid w:val="002E62E7"/>
    <w:rsid w:val="002E6352"/>
    <w:rsid w:val="002E6655"/>
    <w:rsid w:val="002E685B"/>
    <w:rsid w:val="002E68C7"/>
    <w:rsid w:val="002E698D"/>
    <w:rsid w:val="002E6A5E"/>
    <w:rsid w:val="002E6CC1"/>
    <w:rsid w:val="002E6EF6"/>
    <w:rsid w:val="002E70C9"/>
    <w:rsid w:val="002E781E"/>
    <w:rsid w:val="002E7D14"/>
    <w:rsid w:val="002E7F6C"/>
    <w:rsid w:val="002E7FD9"/>
    <w:rsid w:val="002F0101"/>
    <w:rsid w:val="002F059E"/>
    <w:rsid w:val="002F060C"/>
    <w:rsid w:val="002F07B9"/>
    <w:rsid w:val="002F08C9"/>
    <w:rsid w:val="002F0F5D"/>
    <w:rsid w:val="002F14D2"/>
    <w:rsid w:val="002F14DF"/>
    <w:rsid w:val="002F17CA"/>
    <w:rsid w:val="002F1970"/>
    <w:rsid w:val="002F1DC6"/>
    <w:rsid w:val="002F214F"/>
    <w:rsid w:val="002F231E"/>
    <w:rsid w:val="002F249E"/>
    <w:rsid w:val="002F2631"/>
    <w:rsid w:val="002F2BFA"/>
    <w:rsid w:val="002F2EB2"/>
    <w:rsid w:val="002F2FBA"/>
    <w:rsid w:val="002F3264"/>
    <w:rsid w:val="002F38BF"/>
    <w:rsid w:val="002F39D7"/>
    <w:rsid w:val="002F4048"/>
    <w:rsid w:val="002F41F4"/>
    <w:rsid w:val="002F42E6"/>
    <w:rsid w:val="002F434C"/>
    <w:rsid w:val="002F4972"/>
    <w:rsid w:val="002F4B1F"/>
    <w:rsid w:val="002F502F"/>
    <w:rsid w:val="002F50D6"/>
    <w:rsid w:val="002F53FC"/>
    <w:rsid w:val="002F5460"/>
    <w:rsid w:val="002F54CC"/>
    <w:rsid w:val="002F59C7"/>
    <w:rsid w:val="002F5B60"/>
    <w:rsid w:val="002F5BBA"/>
    <w:rsid w:val="002F5DD0"/>
    <w:rsid w:val="002F5EB0"/>
    <w:rsid w:val="002F633B"/>
    <w:rsid w:val="002F64A2"/>
    <w:rsid w:val="002F6771"/>
    <w:rsid w:val="002F69F3"/>
    <w:rsid w:val="002F6A21"/>
    <w:rsid w:val="002F6DCB"/>
    <w:rsid w:val="002F72F3"/>
    <w:rsid w:val="002F78EA"/>
    <w:rsid w:val="002F79E8"/>
    <w:rsid w:val="002F7EEF"/>
    <w:rsid w:val="003006F2"/>
    <w:rsid w:val="00300744"/>
    <w:rsid w:val="00300773"/>
    <w:rsid w:val="00300959"/>
    <w:rsid w:val="00300A40"/>
    <w:rsid w:val="00300C78"/>
    <w:rsid w:val="00300FFA"/>
    <w:rsid w:val="003010C3"/>
    <w:rsid w:val="003011B9"/>
    <w:rsid w:val="00301211"/>
    <w:rsid w:val="0030153B"/>
    <w:rsid w:val="0030169D"/>
    <w:rsid w:val="00301756"/>
    <w:rsid w:val="00301F0C"/>
    <w:rsid w:val="003022B3"/>
    <w:rsid w:val="0030236F"/>
    <w:rsid w:val="003023CC"/>
    <w:rsid w:val="00302582"/>
    <w:rsid w:val="003028AD"/>
    <w:rsid w:val="00302966"/>
    <w:rsid w:val="00302FD9"/>
    <w:rsid w:val="003032E1"/>
    <w:rsid w:val="003036FB"/>
    <w:rsid w:val="00303703"/>
    <w:rsid w:val="00303935"/>
    <w:rsid w:val="003039CA"/>
    <w:rsid w:val="00303CCB"/>
    <w:rsid w:val="00303D98"/>
    <w:rsid w:val="00303EE2"/>
    <w:rsid w:val="0030424B"/>
    <w:rsid w:val="003042C2"/>
    <w:rsid w:val="003044A0"/>
    <w:rsid w:val="00304A10"/>
    <w:rsid w:val="00304CD3"/>
    <w:rsid w:val="00304D89"/>
    <w:rsid w:val="00304E45"/>
    <w:rsid w:val="0030502E"/>
    <w:rsid w:val="00305107"/>
    <w:rsid w:val="00305230"/>
    <w:rsid w:val="0030524E"/>
    <w:rsid w:val="00305256"/>
    <w:rsid w:val="003052C5"/>
    <w:rsid w:val="003054A5"/>
    <w:rsid w:val="00305EA6"/>
    <w:rsid w:val="00305EA9"/>
    <w:rsid w:val="003060EB"/>
    <w:rsid w:val="0030616A"/>
    <w:rsid w:val="00306196"/>
    <w:rsid w:val="0030625B"/>
    <w:rsid w:val="00306296"/>
    <w:rsid w:val="003062A2"/>
    <w:rsid w:val="0030672A"/>
    <w:rsid w:val="003067D2"/>
    <w:rsid w:val="003067D3"/>
    <w:rsid w:val="003069EF"/>
    <w:rsid w:val="00306A32"/>
    <w:rsid w:val="00306D22"/>
    <w:rsid w:val="003072F5"/>
    <w:rsid w:val="003079E1"/>
    <w:rsid w:val="003079E8"/>
    <w:rsid w:val="00307B99"/>
    <w:rsid w:val="00307BB9"/>
    <w:rsid w:val="00310137"/>
    <w:rsid w:val="0031020E"/>
    <w:rsid w:val="00310379"/>
    <w:rsid w:val="003103B2"/>
    <w:rsid w:val="003104AD"/>
    <w:rsid w:val="003107FC"/>
    <w:rsid w:val="003108C1"/>
    <w:rsid w:val="00310ADE"/>
    <w:rsid w:val="00310B41"/>
    <w:rsid w:val="00310D10"/>
    <w:rsid w:val="00310D58"/>
    <w:rsid w:val="00310FB8"/>
    <w:rsid w:val="003115C1"/>
    <w:rsid w:val="0031172F"/>
    <w:rsid w:val="00311F6C"/>
    <w:rsid w:val="003120A5"/>
    <w:rsid w:val="003122AC"/>
    <w:rsid w:val="003126F2"/>
    <w:rsid w:val="00312965"/>
    <w:rsid w:val="00312BE3"/>
    <w:rsid w:val="00312CAA"/>
    <w:rsid w:val="00313253"/>
    <w:rsid w:val="00313A32"/>
    <w:rsid w:val="00313CC0"/>
    <w:rsid w:val="00313FB3"/>
    <w:rsid w:val="003141C0"/>
    <w:rsid w:val="003141F0"/>
    <w:rsid w:val="003142F4"/>
    <w:rsid w:val="003143CA"/>
    <w:rsid w:val="003144C4"/>
    <w:rsid w:val="003146CD"/>
    <w:rsid w:val="00314787"/>
    <w:rsid w:val="00314E6C"/>
    <w:rsid w:val="00315130"/>
    <w:rsid w:val="00315225"/>
    <w:rsid w:val="003153A2"/>
    <w:rsid w:val="00315620"/>
    <w:rsid w:val="003159D9"/>
    <w:rsid w:val="00315A1E"/>
    <w:rsid w:val="00315D81"/>
    <w:rsid w:val="00315FBB"/>
    <w:rsid w:val="003161F0"/>
    <w:rsid w:val="0031625C"/>
    <w:rsid w:val="00316487"/>
    <w:rsid w:val="003169B2"/>
    <w:rsid w:val="00316B9F"/>
    <w:rsid w:val="00317047"/>
    <w:rsid w:val="0031754D"/>
    <w:rsid w:val="00317A32"/>
    <w:rsid w:val="00317C23"/>
    <w:rsid w:val="00317DA7"/>
    <w:rsid w:val="00317FF8"/>
    <w:rsid w:val="003200D5"/>
    <w:rsid w:val="003209C7"/>
    <w:rsid w:val="00320A06"/>
    <w:rsid w:val="00320A3B"/>
    <w:rsid w:val="00320C07"/>
    <w:rsid w:val="00320F3D"/>
    <w:rsid w:val="00321524"/>
    <w:rsid w:val="003217E7"/>
    <w:rsid w:val="00321ED1"/>
    <w:rsid w:val="0032200A"/>
    <w:rsid w:val="0032222E"/>
    <w:rsid w:val="00322237"/>
    <w:rsid w:val="0032237A"/>
    <w:rsid w:val="00322421"/>
    <w:rsid w:val="00322687"/>
    <w:rsid w:val="003228B3"/>
    <w:rsid w:val="003229A7"/>
    <w:rsid w:val="00322EFA"/>
    <w:rsid w:val="00322F5A"/>
    <w:rsid w:val="00322F88"/>
    <w:rsid w:val="00322FCD"/>
    <w:rsid w:val="003231EF"/>
    <w:rsid w:val="00323423"/>
    <w:rsid w:val="00323555"/>
    <w:rsid w:val="003235DE"/>
    <w:rsid w:val="00323612"/>
    <w:rsid w:val="003236A8"/>
    <w:rsid w:val="00323705"/>
    <w:rsid w:val="00323BCC"/>
    <w:rsid w:val="00323C8B"/>
    <w:rsid w:val="00323D3C"/>
    <w:rsid w:val="00323FC9"/>
    <w:rsid w:val="00324423"/>
    <w:rsid w:val="00324765"/>
    <w:rsid w:val="003249C2"/>
    <w:rsid w:val="00324A58"/>
    <w:rsid w:val="00324AA9"/>
    <w:rsid w:val="00324D16"/>
    <w:rsid w:val="00324DC6"/>
    <w:rsid w:val="00324F42"/>
    <w:rsid w:val="00325147"/>
    <w:rsid w:val="003253C5"/>
    <w:rsid w:val="003255BF"/>
    <w:rsid w:val="00325C0E"/>
    <w:rsid w:val="00326263"/>
    <w:rsid w:val="003262FA"/>
    <w:rsid w:val="00326369"/>
    <w:rsid w:val="003264A8"/>
    <w:rsid w:val="00326669"/>
    <w:rsid w:val="0032684E"/>
    <w:rsid w:val="00326A17"/>
    <w:rsid w:val="00326B04"/>
    <w:rsid w:val="003271E1"/>
    <w:rsid w:val="003275E5"/>
    <w:rsid w:val="003278C3"/>
    <w:rsid w:val="00327B0C"/>
    <w:rsid w:val="00327B1C"/>
    <w:rsid w:val="00327C42"/>
    <w:rsid w:val="00327C73"/>
    <w:rsid w:val="00327D82"/>
    <w:rsid w:val="00327E58"/>
    <w:rsid w:val="00327F40"/>
    <w:rsid w:val="00330268"/>
    <w:rsid w:val="003303F0"/>
    <w:rsid w:val="003308A5"/>
    <w:rsid w:val="00330B01"/>
    <w:rsid w:val="00330D43"/>
    <w:rsid w:val="00330DDC"/>
    <w:rsid w:val="003314F9"/>
    <w:rsid w:val="003319A6"/>
    <w:rsid w:val="00331BC1"/>
    <w:rsid w:val="00331EB4"/>
    <w:rsid w:val="00331FD3"/>
    <w:rsid w:val="003321D6"/>
    <w:rsid w:val="003324D2"/>
    <w:rsid w:val="00332654"/>
    <w:rsid w:val="003327E5"/>
    <w:rsid w:val="003327F4"/>
    <w:rsid w:val="003329DD"/>
    <w:rsid w:val="0033313C"/>
    <w:rsid w:val="00333140"/>
    <w:rsid w:val="003338D8"/>
    <w:rsid w:val="00333F39"/>
    <w:rsid w:val="00334632"/>
    <w:rsid w:val="00334C94"/>
    <w:rsid w:val="0033503E"/>
    <w:rsid w:val="003351C2"/>
    <w:rsid w:val="003352D2"/>
    <w:rsid w:val="00335A21"/>
    <w:rsid w:val="00335E18"/>
    <w:rsid w:val="00335E54"/>
    <w:rsid w:val="00335F63"/>
    <w:rsid w:val="00336971"/>
    <w:rsid w:val="00336A45"/>
    <w:rsid w:val="00336BFA"/>
    <w:rsid w:val="0033716F"/>
    <w:rsid w:val="00337685"/>
    <w:rsid w:val="00337DB8"/>
    <w:rsid w:val="00337FA0"/>
    <w:rsid w:val="003402F4"/>
    <w:rsid w:val="0034051B"/>
    <w:rsid w:val="0034055C"/>
    <w:rsid w:val="00340653"/>
    <w:rsid w:val="00340860"/>
    <w:rsid w:val="00340A07"/>
    <w:rsid w:val="00340DC8"/>
    <w:rsid w:val="00340DFC"/>
    <w:rsid w:val="00341032"/>
    <w:rsid w:val="00341241"/>
    <w:rsid w:val="00341259"/>
    <w:rsid w:val="003414BD"/>
    <w:rsid w:val="003416A1"/>
    <w:rsid w:val="00341E8D"/>
    <w:rsid w:val="0034221F"/>
    <w:rsid w:val="0034288B"/>
    <w:rsid w:val="00342BBE"/>
    <w:rsid w:val="00342C07"/>
    <w:rsid w:val="00342C27"/>
    <w:rsid w:val="00342D97"/>
    <w:rsid w:val="0034307E"/>
    <w:rsid w:val="003430C8"/>
    <w:rsid w:val="003436D5"/>
    <w:rsid w:val="003437E2"/>
    <w:rsid w:val="003439BF"/>
    <w:rsid w:val="003439D4"/>
    <w:rsid w:val="00343AC7"/>
    <w:rsid w:val="00343BA3"/>
    <w:rsid w:val="00343C1E"/>
    <w:rsid w:val="00343E3A"/>
    <w:rsid w:val="00343EC4"/>
    <w:rsid w:val="0034404E"/>
    <w:rsid w:val="003441E2"/>
    <w:rsid w:val="00344259"/>
    <w:rsid w:val="003445B7"/>
    <w:rsid w:val="00344745"/>
    <w:rsid w:val="00344B05"/>
    <w:rsid w:val="00344EBF"/>
    <w:rsid w:val="00344FFE"/>
    <w:rsid w:val="003450D5"/>
    <w:rsid w:val="00345193"/>
    <w:rsid w:val="003456FF"/>
    <w:rsid w:val="003459F4"/>
    <w:rsid w:val="00345E07"/>
    <w:rsid w:val="00345E68"/>
    <w:rsid w:val="00346180"/>
    <w:rsid w:val="003462FE"/>
    <w:rsid w:val="003466E6"/>
    <w:rsid w:val="00346734"/>
    <w:rsid w:val="00346D17"/>
    <w:rsid w:val="00346E5F"/>
    <w:rsid w:val="00347191"/>
    <w:rsid w:val="0034728D"/>
    <w:rsid w:val="00347552"/>
    <w:rsid w:val="00347556"/>
    <w:rsid w:val="00347674"/>
    <w:rsid w:val="00347813"/>
    <w:rsid w:val="00350B32"/>
    <w:rsid w:val="00350C31"/>
    <w:rsid w:val="00350F72"/>
    <w:rsid w:val="00351223"/>
    <w:rsid w:val="00351268"/>
    <w:rsid w:val="0035131A"/>
    <w:rsid w:val="00351AD9"/>
    <w:rsid w:val="00352098"/>
    <w:rsid w:val="003520B3"/>
    <w:rsid w:val="003524C2"/>
    <w:rsid w:val="00352712"/>
    <w:rsid w:val="003528AE"/>
    <w:rsid w:val="003528B7"/>
    <w:rsid w:val="00352A01"/>
    <w:rsid w:val="00352A28"/>
    <w:rsid w:val="00352DC1"/>
    <w:rsid w:val="00352DC4"/>
    <w:rsid w:val="00352E28"/>
    <w:rsid w:val="00353277"/>
    <w:rsid w:val="003532F2"/>
    <w:rsid w:val="003533E2"/>
    <w:rsid w:val="003534C8"/>
    <w:rsid w:val="003537AB"/>
    <w:rsid w:val="0035387F"/>
    <w:rsid w:val="00353EA4"/>
    <w:rsid w:val="00353F2C"/>
    <w:rsid w:val="00354040"/>
    <w:rsid w:val="0035404B"/>
    <w:rsid w:val="003540D8"/>
    <w:rsid w:val="003543E1"/>
    <w:rsid w:val="00354412"/>
    <w:rsid w:val="00354701"/>
    <w:rsid w:val="003548E6"/>
    <w:rsid w:val="003555D3"/>
    <w:rsid w:val="00355708"/>
    <w:rsid w:val="00355A65"/>
    <w:rsid w:val="00355A6F"/>
    <w:rsid w:val="00355D53"/>
    <w:rsid w:val="00355E54"/>
    <w:rsid w:val="00356701"/>
    <w:rsid w:val="00356A24"/>
    <w:rsid w:val="00356C62"/>
    <w:rsid w:val="00357157"/>
    <w:rsid w:val="003572C0"/>
    <w:rsid w:val="00357722"/>
    <w:rsid w:val="00357A1C"/>
    <w:rsid w:val="00357D21"/>
    <w:rsid w:val="003600D5"/>
    <w:rsid w:val="00360BEE"/>
    <w:rsid w:val="00360D20"/>
    <w:rsid w:val="0036173E"/>
    <w:rsid w:val="003619FC"/>
    <w:rsid w:val="00361A51"/>
    <w:rsid w:val="00361A69"/>
    <w:rsid w:val="00361A86"/>
    <w:rsid w:val="00361B90"/>
    <w:rsid w:val="00361D44"/>
    <w:rsid w:val="00361EA7"/>
    <w:rsid w:val="003624C3"/>
    <w:rsid w:val="0036287B"/>
    <w:rsid w:val="00362EE7"/>
    <w:rsid w:val="00362F98"/>
    <w:rsid w:val="00363316"/>
    <w:rsid w:val="00363657"/>
    <w:rsid w:val="003636F7"/>
    <w:rsid w:val="0036376B"/>
    <w:rsid w:val="003639D7"/>
    <w:rsid w:val="00363D83"/>
    <w:rsid w:val="0036414A"/>
    <w:rsid w:val="00364319"/>
    <w:rsid w:val="0036480B"/>
    <w:rsid w:val="003648C3"/>
    <w:rsid w:val="00364B38"/>
    <w:rsid w:val="00365343"/>
    <w:rsid w:val="00365543"/>
    <w:rsid w:val="0036586D"/>
    <w:rsid w:val="003658CA"/>
    <w:rsid w:val="00365972"/>
    <w:rsid w:val="00365984"/>
    <w:rsid w:val="003659B5"/>
    <w:rsid w:val="00365D4D"/>
    <w:rsid w:val="003661CC"/>
    <w:rsid w:val="0036627C"/>
    <w:rsid w:val="00366361"/>
    <w:rsid w:val="003664EE"/>
    <w:rsid w:val="00366514"/>
    <w:rsid w:val="00366911"/>
    <w:rsid w:val="00366C8C"/>
    <w:rsid w:val="0036726B"/>
    <w:rsid w:val="00367439"/>
    <w:rsid w:val="003675B0"/>
    <w:rsid w:val="00367855"/>
    <w:rsid w:val="003679A5"/>
    <w:rsid w:val="00367C0A"/>
    <w:rsid w:val="00367EB3"/>
    <w:rsid w:val="00367FF8"/>
    <w:rsid w:val="00370542"/>
    <w:rsid w:val="00370AED"/>
    <w:rsid w:val="00370E00"/>
    <w:rsid w:val="003711A0"/>
    <w:rsid w:val="0037136E"/>
    <w:rsid w:val="003716E0"/>
    <w:rsid w:val="003716E3"/>
    <w:rsid w:val="00371E42"/>
    <w:rsid w:val="0037239D"/>
    <w:rsid w:val="003724DE"/>
    <w:rsid w:val="00372901"/>
    <w:rsid w:val="003729E5"/>
    <w:rsid w:val="00372B02"/>
    <w:rsid w:val="00372F01"/>
    <w:rsid w:val="003731E3"/>
    <w:rsid w:val="00373561"/>
    <w:rsid w:val="0037376B"/>
    <w:rsid w:val="003737F5"/>
    <w:rsid w:val="00373D9F"/>
    <w:rsid w:val="003742E2"/>
    <w:rsid w:val="003742E6"/>
    <w:rsid w:val="00374381"/>
    <w:rsid w:val="003743D6"/>
    <w:rsid w:val="003749E4"/>
    <w:rsid w:val="00374F26"/>
    <w:rsid w:val="003752EF"/>
    <w:rsid w:val="003754CC"/>
    <w:rsid w:val="003756A5"/>
    <w:rsid w:val="00375723"/>
    <w:rsid w:val="00375932"/>
    <w:rsid w:val="00375C07"/>
    <w:rsid w:val="00375E08"/>
    <w:rsid w:val="00375E2F"/>
    <w:rsid w:val="00376181"/>
    <w:rsid w:val="00376542"/>
    <w:rsid w:val="00376613"/>
    <w:rsid w:val="00376648"/>
    <w:rsid w:val="00376E11"/>
    <w:rsid w:val="00376E61"/>
    <w:rsid w:val="00376F6A"/>
    <w:rsid w:val="00376FEA"/>
    <w:rsid w:val="003770B1"/>
    <w:rsid w:val="003770F6"/>
    <w:rsid w:val="003773DB"/>
    <w:rsid w:val="00377768"/>
    <w:rsid w:val="00377777"/>
    <w:rsid w:val="00377908"/>
    <w:rsid w:val="00377AEC"/>
    <w:rsid w:val="003804F9"/>
    <w:rsid w:val="00380577"/>
    <w:rsid w:val="003805C7"/>
    <w:rsid w:val="003805D1"/>
    <w:rsid w:val="00380638"/>
    <w:rsid w:val="003806B9"/>
    <w:rsid w:val="0038086A"/>
    <w:rsid w:val="00380983"/>
    <w:rsid w:val="00380B71"/>
    <w:rsid w:val="00380C6D"/>
    <w:rsid w:val="00380FB1"/>
    <w:rsid w:val="003812E8"/>
    <w:rsid w:val="003816EE"/>
    <w:rsid w:val="00381749"/>
    <w:rsid w:val="00381877"/>
    <w:rsid w:val="0038208E"/>
    <w:rsid w:val="0038214E"/>
    <w:rsid w:val="00382421"/>
    <w:rsid w:val="003825C2"/>
    <w:rsid w:val="00382AE4"/>
    <w:rsid w:val="00382DF7"/>
    <w:rsid w:val="00383092"/>
    <w:rsid w:val="0038310C"/>
    <w:rsid w:val="003836ED"/>
    <w:rsid w:val="00383778"/>
    <w:rsid w:val="00383A4D"/>
    <w:rsid w:val="00383C3A"/>
    <w:rsid w:val="00383F6E"/>
    <w:rsid w:val="00383F96"/>
    <w:rsid w:val="00383FC9"/>
    <w:rsid w:val="003841B4"/>
    <w:rsid w:val="00384445"/>
    <w:rsid w:val="0038465C"/>
    <w:rsid w:val="003849DD"/>
    <w:rsid w:val="00384BF6"/>
    <w:rsid w:val="003850C6"/>
    <w:rsid w:val="003850E2"/>
    <w:rsid w:val="00385211"/>
    <w:rsid w:val="003853EF"/>
    <w:rsid w:val="00385B1B"/>
    <w:rsid w:val="00385C09"/>
    <w:rsid w:val="0038603A"/>
    <w:rsid w:val="003861C6"/>
    <w:rsid w:val="0038630A"/>
    <w:rsid w:val="00386319"/>
    <w:rsid w:val="00386B07"/>
    <w:rsid w:val="00387428"/>
    <w:rsid w:val="00387472"/>
    <w:rsid w:val="00387858"/>
    <w:rsid w:val="003878AB"/>
    <w:rsid w:val="003879B8"/>
    <w:rsid w:val="00387A1E"/>
    <w:rsid w:val="00387B6E"/>
    <w:rsid w:val="00387C5D"/>
    <w:rsid w:val="00387CC9"/>
    <w:rsid w:val="003904E5"/>
    <w:rsid w:val="0039063D"/>
    <w:rsid w:val="00390AAE"/>
    <w:rsid w:val="00391547"/>
    <w:rsid w:val="00391625"/>
    <w:rsid w:val="0039182A"/>
    <w:rsid w:val="00391B60"/>
    <w:rsid w:val="00391C17"/>
    <w:rsid w:val="00391C36"/>
    <w:rsid w:val="00392658"/>
    <w:rsid w:val="003926DC"/>
    <w:rsid w:val="003926FA"/>
    <w:rsid w:val="00392A70"/>
    <w:rsid w:val="00392D10"/>
    <w:rsid w:val="003937AE"/>
    <w:rsid w:val="003937C4"/>
    <w:rsid w:val="003938E9"/>
    <w:rsid w:val="00393BAC"/>
    <w:rsid w:val="00393D1D"/>
    <w:rsid w:val="00393FB9"/>
    <w:rsid w:val="00393FEF"/>
    <w:rsid w:val="003941CE"/>
    <w:rsid w:val="00394201"/>
    <w:rsid w:val="00394229"/>
    <w:rsid w:val="0039444E"/>
    <w:rsid w:val="0039445E"/>
    <w:rsid w:val="003944B6"/>
    <w:rsid w:val="003948E6"/>
    <w:rsid w:val="00394A8E"/>
    <w:rsid w:val="00394C0C"/>
    <w:rsid w:val="00394E51"/>
    <w:rsid w:val="003950C0"/>
    <w:rsid w:val="003951FC"/>
    <w:rsid w:val="003953D1"/>
    <w:rsid w:val="003953D4"/>
    <w:rsid w:val="0039540B"/>
    <w:rsid w:val="003955A7"/>
    <w:rsid w:val="00395926"/>
    <w:rsid w:val="00395994"/>
    <w:rsid w:val="00396229"/>
    <w:rsid w:val="0039686C"/>
    <w:rsid w:val="003968A9"/>
    <w:rsid w:val="00396E3A"/>
    <w:rsid w:val="00396F0C"/>
    <w:rsid w:val="003970A1"/>
    <w:rsid w:val="0039712A"/>
    <w:rsid w:val="00397177"/>
    <w:rsid w:val="003972E6"/>
    <w:rsid w:val="0039742C"/>
    <w:rsid w:val="003978CE"/>
    <w:rsid w:val="003979A5"/>
    <w:rsid w:val="00397CC9"/>
    <w:rsid w:val="003A01F0"/>
    <w:rsid w:val="003A0279"/>
    <w:rsid w:val="003A079F"/>
    <w:rsid w:val="003A0A06"/>
    <w:rsid w:val="003A0A14"/>
    <w:rsid w:val="003A0AD7"/>
    <w:rsid w:val="003A0D28"/>
    <w:rsid w:val="003A106E"/>
    <w:rsid w:val="003A1249"/>
    <w:rsid w:val="003A12D2"/>
    <w:rsid w:val="003A1400"/>
    <w:rsid w:val="003A146F"/>
    <w:rsid w:val="003A19ED"/>
    <w:rsid w:val="003A1A70"/>
    <w:rsid w:val="003A1B35"/>
    <w:rsid w:val="003A1F23"/>
    <w:rsid w:val="003A1FD1"/>
    <w:rsid w:val="003A20A6"/>
    <w:rsid w:val="003A2CDD"/>
    <w:rsid w:val="003A2D40"/>
    <w:rsid w:val="003A2ECA"/>
    <w:rsid w:val="003A30AC"/>
    <w:rsid w:val="003A30DE"/>
    <w:rsid w:val="003A323E"/>
    <w:rsid w:val="003A33C5"/>
    <w:rsid w:val="003A35DA"/>
    <w:rsid w:val="003A366C"/>
    <w:rsid w:val="003A3860"/>
    <w:rsid w:val="003A39A2"/>
    <w:rsid w:val="003A4214"/>
    <w:rsid w:val="003A42A8"/>
    <w:rsid w:val="003A4307"/>
    <w:rsid w:val="003A450A"/>
    <w:rsid w:val="003A458E"/>
    <w:rsid w:val="003A46F9"/>
    <w:rsid w:val="003A472A"/>
    <w:rsid w:val="003A49C5"/>
    <w:rsid w:val="003A4E95"/>
    <w:rsid w:val="003A4F9C"/>
    <w:rsid w:val="003A51F5"/>
    <w:rsid w:val="003A53ED"/>
    <w:rsid w:val="003A549E"/>
    <w:rsid w:val="003A5615"/>
    <w:rsid w:val="003A575F"/>
    <w:rsid w:val="003A58DB"/>
    <w:rsid w:val="003A5CBC"/>
    <w:rsid w:val="003A5EAC"/>
    <w:rsid w:val="003A61E3"/>
    <w:rsid w:val="003A62D8"/>
    <w:rsid w:val="003A6492"/>
    <w:rsid w:val="003A65B5"/>
    <w:rsid w:val="003A684B"/>
    <w:rsid w:val="003A6C35"/>
    <w:rsid w:val="003A6C81"/>
    <w:rsid w:val="003A6E25"/>
    <w:rsid w:val="003A72A0"/>
    <w:rsid w:val="003A748F"/>
    <w:rsid w:val="003B03BB"/>
    <w:rsid w:val="003B041A"/>
    <w:rsid w:val="003B076C"/>
    <w:rsid w:val="003B087B"/>
    <w:rsid w:val="003B0C87"/>
    <w:rsid w:val="003B1082"/>
    <w:rsid w:val="003B12F5"/>
    <w:rsid w:val="003B1AB2"/>
    <w:rsid w:val="003B1E4C"/>
    <w:rsid w:val="003B1F26"/>
    <w:rsid w:val="003B2005"/>
    <w:rsid w:val="003B2301"/>
    <w:rsid w:val="003B2340"/>
    <w:rsid w:val="003B24B8"/>
    <w:rsid w:val="003B2BF6"/>
    <w:rsid w:val="003B2C1E"/>
    <w:rsid w:val="003B2E4C"/>
    <w:rsid w:val="003B342F"/>
    <w:rsid w:val="003B3684"/>
    <w:rsid w:val="003B3767"/>
    <w:rsid w:val="003B3917"/>
    <w:rsid w:val="003B3BCD"/>
    <w:rsid w:val="003B3CE7"/>
    <w:rsid w:val="003B3D06"/>
    <w:rsid w:val="003B3F8E"/>
    <w:rsid w:val="003B3FE4"/>
    <w:rsid w:val="003B435B"/>
    <w:rsid w:val="003B43A2"/>
    <w:rsid w:val="003B49E2"/>
    <w:rsid w:val="003B49F6"/>
    <w:rsid w:val="003B4E4E"/>
    <w:rsid w:val="003B5D4A"/>
    <w:rsid w:val="003B5D62"/>
    <w:rsid w:val="003B63CD"/>
    <w:rsid w:val="003B6583"/>
    <w:rsid w:val="003B6B71"/>
    <w:rsid w:val="003B6B8E"/>
    <w:rsid w:val="003B7037"/>
    <w:rsid w:val="003B72F3"/>
    <w:rsid w:val="003B778C"/>
    <w:rsid w:val="003B7936"/>
    <w:rsid w:val="003B79B5"/>
    <w:rsid w:val="003B7A54"/>
    <w:rsid w:val="003B7A5C"/>
    <w:rsid w:val="003B7B45"/>
    <w:rsid w:val="003B7BC2"/>
    <w:rsid w:val="003B7C24"/>
    <w:rsid w:val="003B7E76"/>
    <w:rsid w:val="003C049C"/>
    <w:rsid w:val="003C05E6"/>
    <w:rsid w:val="003C0A08"/>
    <w:rsid w:val="003C0B86"/>
    <w:rsid w:val="003C10B0"/>
    <w:rsid w:val="003C14D8"/>
    <w:rsid w:val="003C18F1"/>
    <w:rsid w:val="003C1B7C"/>
    <w:rsid w:val="003C1E7D"/>
    <w:rsid w:val="003C1FB8"/>
    <w:rsid w:val="003C2018"/>
    <w:rsid w:val="003C21B3"/>
    <w:rsid w:val="003C2359"/>
    <w:rsid w:val="003C2A4D"/>
    <w:rsid w:val="003C2AEC"/>
    <w:rsid w:val="003C31E1"/>
    <w:rsid w:val="003C32B0"/>
    <w:rsid w:val="003C33D8"/>
    <w:rsid w:val="003C3474"/>
    <w:rsid w:val="003C3AC3"/>
    <w:rsid w:val="003C3AC8"/>
    <w:rsid w:val="003C466A"/>
    <w:rsid w:val="003C4AF7"/>
    <w:rsid w:val="003C51E6"/>
    <w:rsid w:val="003C58E8"/>
    <w:rsid w:val="003C5AE7"/>
    <w:rsid w:val="003C608F"/>
    <w:rsid w:val="003C6D5F"/>
    <w:rsid w:val="003C70DE"/>
    <w:rsid w:val="003C713C"/>
    <w:rsid w:val="003C7184"/>
    <w:rsid w:val="003C7329"/>
    <w:rsid w:val="003C73C2"/>
    <w:rsid w:val="003C7483"/>
    <w:rsid w:val="003C7579"/>
    <w:rsid w:val="003C7598"/>
    <w:rsid w:val="003C78AE"/>
    <w:rsid w:val="003C7A92"/>
    <w:rsid w:val="003C7ABA"/>
    <w:rsid w:val="003C7AF2"/>
    <w:rsid w:val="003C7C97"/>
    <w:rsid w:val="003C7F2D"/>
    <w:rsid w:val="003D0010"/>
    <w:rsid w:val="003D0140"/>
    <w:rsid w:val="003D0158"/>
    <w:rsid w:val="003D02B5"/>
    <w:rsid w:val="003D0543"/>
    <w:rsid w:val="003D0DB2"/>
    <w:rsid w:val="003D0DCC"/>
    <w:rsid w:val="003D12E2"/>
    <w:rsid w:val="003D148D"/>
    <w:rsid w:val="003D1A27"/>
    <w:rsid w:val="003D1B99"/>
    <w:rsid w:val="003D1FC8"/>
    <w:rsid w:val="003D21E1"/>
    <w:rsid w:val="003D244E"/>
    <w:rsid w:val="003D2584"/>
    <w:rsid w:val="003D2645"/>
    <w:rsid w:val="003D2712"/>
    <w:rsid w:val="003D2B92"/>
    <w:rsid w:val="003D2EB0"/>
    <w:rsid w:val="003D3321"/>
    <w:rsid w:val="003D351E"/>
    <w:rsid w:val="003D3568"/>
    <w:rsid w:val="003D3844"/>
    <w:rsid w:val="003D3864"/>
    <w:rsid w:val="003D3AE4"/>
    <w:rsid w:val="003D3BCD"/>
    <w:rsid w:val="003D4240"/>
    <w:rsid w:val="003D43AA"/>
    <w:rsid w:val="003D456D"/>
    <w:rsid w:val="003D4683"/>
    <w:rsid w:val="003D468D"/>
    <w:rsid w:val="003D4AE9"/>
    <w:rsid w:val="003D4EBB"/>
    <w:rsid w:val="003D53FD"/>
    <w:rsid w:val="003D57E8"/>
    <w:rsid w:val="003D58FD"/>
    <w:rsid w:val="003D5AF8"/>
    <w:rsid w:val="003D5B7F"/>
    <w:rsid w:val="003D5DCB"/>
    <w:rsid w:val="003D5F88"/>
    <w:rsid w:val="003D6082"/>
    <w:rsid w:val="003D6223"/>
    <w:rsid w:val="003D649F"/>
    <w:rsid w:val="003D66F8"/>
    <w:rsid w:val="003D6734"/>
    <w:rsid w:val="003D691F"/>
    <w:rsid w:val="003D6B01"/>
    <w:rsid w:val="003D7006"/>
    <w:rsid w:val="003D7011"/>
    <w:rsid w:val="003D7086"/>
    <w:rsid w:val="003D77EB"/>
    <w:rsid w:val="003D7C0A"/>
    <w:rsid w:val="003D7C17"/>
    <w:rsid w:val="003D7D6F"/>
    <w:rsid w:val="003D7E14"/>
    <w:rsid w:val="003D7E19"/>
    <w:rsid w:val="003E0320"/>
    <w:rsid w:val="003E07CC"/>
    <w:rsid w:val="003E0895"/>
    <w:rsid w:val="003E0A4A"/>
    <w:rsid w:val="003E0B49"/>
    <w:rsid w:val="003E1088"/>
    <w:rsid w:val="003E165F"/>
    <w:rsid w:val="003E1946"/>
    <w:rsid w:val="003E1BED"/>
    <w:rsid w:val="003E1C9A"/>
    <w:rsid w:val="003E201D"/>
    <w:rsid w:val="003E24CB"/>
    <w:rsid w:val="003E24EF"/>
    <w:rsid w:val="003E2BBB"/>
    <w:rsid w:val="003E30BF"/>
    <w:rsid w:val="003E332C"/>
    <w:rsid w:val="003E3411"/>
    <w:rsid w:val="003E34D1"/>
    <w:rsid w:val="003E361A"/>
    <w:rsid w:val="003E3A16"/>
    <w:rsid w:val="003E3A56"/>
    <w:rsid w:val="003E3B39"/>
    <w:rsid w:val="003E3E5E"/>
    <w:rsid w:val="003E3EBC"/>
    <w:rsid w:val="003E4130"/>
    <w:rsid w:val="003E4869"/>
    <w:rsid w:val="003E50AF"/>
    <w:rsid w:val="003E5E40"/>
    <w:rsid w:val="003E5E74"/>
    <w:rsid w:val="003E5EF8"/>
    <w:rsid w:val="003E5F44"/>
    <w:rsid w:val="003E5FB1"/>
    <w:rsid w:val="003E647C"/>
    <w:rsid w:val="003E6803"/>
    <w:rsid w:val="003E72C6"/>
    <w:rsid w:val="003E74C4"/>
    <w:rsid w:val="003E75E0"/>
    <w:rsid w:val="003E7703"/>
    <w:rsid w:val="003E77BA"/>
    <w:rsid w:val="003E79B5"/>
    <w:rsid w:val="003E7E63"/>
    <w:rsid w:val="003E7ED1"/>
    <w:rsid w:val="003F009F"/>
    <w:rsid w:val="003F0326"/>
    <w:rsid w:val="003F07EB"/>
    <w:rsid w:val="003F0D1A"/>
    <w:rsid w:val="003F0E03"/>
    <w:rsid w:val="003F0EE0"/>
    <w:rsid w:val="003F12F5"/>
    <w:rsid w:val="003F1336"/>
    <w:rsid w:val="003F14CD"/>
    <w:rsid w:val="003F1550"/>
    <w:rsid w:val="003F175D"/>
    <w:rsid w:val="003F18CF"/>
    <w:rsid w:val="003F1983"/>
    <w:rsid w:val="003F1BB2"/>
    <w:rsid w:val="003F200A"/>
    <w:rsid w:val="003F209C"/>
    <w:rsid w:val="003F2127"/>
    <w:rsid w:val="003F2284"/>
    <w:rsid w:val="003F22A5"/>
    <w:rsid w:val="003F248F"/>
    <w:rsid w:val="003F2801"/>
    <w:rsid w:val="003F2B3D"/>
    <w:rsid w:val="003F2BDE"/>
    <w:rsid w:val="003F2E23"/>
    <w:rsid w:val="003F2E91"/>
    <w:rsid w:val="003F3056"/>
    <w:rsid w:val="003F33AA"/>
    <w:rsid w:val="003F343E"/>
    <w:rsid w:val="003F37E8"/>
    <w:rsid w:val="003F398F"/>
    <w:rsid w:val="003F3FAC"/>
    <w:rsid w:val="003F40BF"/>
    <w:rsid w:val="003F418B"/>
    <w:rsid w:val="003F4195"/>
    <w:rsid w:val="003F4F3B"/>
    <w:rsid w:val="003F527D"/>
    <w:rsid w:val="003F5335"/>
    <w:rsid w:val="003F5658"/>
    <w:rsid w:val="003F59C4"/>
    <w:rsid w:val="003F5A0F"/>
    <w:rsid w:val="003F5BFF"/>
    <w:rsid w:val="003F5CFC"/>
    <w:rsid w:val="003F5E84"/>
    <w:rsid w:val="003F5EFC"/>
    <w:rsid w:val="003F5F41"/>
    <w:rsid w:val="003F60CE"/>
    <w:rsid w:val="003F60DF"/>
    <w:rsid w:val="003F63C3"/>
    <w:rsid w:val="003F6745"/>
    <w:rsid w:val="003F6B51"/>
    <w:rsid w:val="003F6E91"/>
    <w:rsid w:val="003F701E"/>
    <w:rsid w:val="003F707C"/>
    <w:rsid w:val="003F721A"/>
    <w:rsid w:val="003F752D"/>
    <w:rsid w:val="003F7547"/>
    <w:rsid w:val="003F7560"/>
    <w:rsid w:val="003F7577"/>
    <w:rsid w:val="003F7784"/>
    <w:rsid w:val="004002A5"/>
    <w:rsid w:val="00400637"/>
    <w:rsid w:val="00400B4B"/>
    <w:rsid w:val="00400BA3"/>
    <w:rsid w:val="00400D21"/>
    <w:rsid w:val="004012D9"/>
    <w:rsid w:val="00401525"/>
    <w:rsid w:val="00401782"/>
    <w:rsid w:val="00401849"/>
    <w:rsid w:val="004018CA"/>
    <w:rsid w:val="00401FF2"/>
    <w:rsid w:val="00402025"/>
    <w:rsid w:val="004023EC"/>
    <w:rsid w:val="00402791"/>
    <w:rsid w:val="00402878"/>
    <w:rsid w:val="0040297C"/>
    <w:rsid w:val="00402B2B"/>
    <w:rsid w:val="00403194"/>
    <w:rsid w:val="004037B0"/>
    <w:rsid w:val="00403802"/>
    <w:rsid w:val="00404D4B"/>
    <w:rsid w:val="00404E16"/>
    <w:rsid w:val="00404E68"/>
    <w:rsid w:val="00404E89"/>
    <w:rsid w:val="00405082"/>
    <w:rsid w:val="004058C7"/>
    <w:rsid w:val="00405AF7"/>
    <w:rsid w:val="00405D1A"/>
    <w:rsid w:val="00405EB3"/>
    <w:rsid w:val="00406053"/>
    <w:rsid w:val="00406058"/>
    <w:rsid w:val="0040623A"/>
    <w:rsid w:val="00406617"/>
    <w:rsid w:val="0040684D"/>
    <w:rsid w:val="00406AA6"/>
    <w:rsid w:val="00406BF7"/>
    <w:rsid w:val="00406C11"/>
    <w:rsid w:val="00406C7B"/>
    <w:rsid w:val="004071F2"/>
    <w:rsid w:val="004074E8"/>
    <w:rsid w:val="00407802"/>
    <w:rsid w:val="004103B0"/>
    <w:rsid w:val="004103CE"/>
    <w:rsid w:val="00410810"/>
    <w:rsid w:val="00410B59"/>
    <w:rsid w:val="00410C70"/>
    <w:rsid w:val="00410E0D"/>
    <w:rsid w:val="004115E3"/>
    <w:rsid w:val="004117EB"/>
    <w:rsid w:val="004119D1"/>
    <w:rsid w:val="00411BDD"/>
    <w:rsid w:val="00412110"/>
    <w:rsid w:val="004122F7"/>
    <w:rsid w:val="00412412"/>
    <w:rsid w:val="0041248E"/>
    <w:rsid w:val="00412742"/>
    <w:rsid w:val="00412D4B"/>
    <w:rsid w:val="00412E82"/>
    <w:rsid w:val="004131EC"/>
    <w:rsid w:val="0041365C"/>
    <w:rsid w:val="00413721"/>
    <w:rsid w:val="00413A10"/>
    <w:rsid w:val="00413C75"/>
    <w:rsid w:val="00413C8B"/>
    <w:rsid w:val="00413DBE"/>
    <w:rsid w:val="00414078"/>
    <w:rsid w:val="004142FA"/>
    <w:rsid w:val="00414388"/>
    <w:rsid w:val="004146BF"/>
    <w:rsid w:val="00414C33"/>
    <w:rsid w:val="00414DDC"/>
    <w:rsid w:val="0041506D"/>
    <w:rsid w:val="00415150"/>
    <w:rsid w:val="004152B4"/>
    <w:rsid w:val="00415AB9"/>
    <w:rsid w:val="00416259"/>
    <w:rsid w:val="0041629A"/>
    <w:rsid w:val="00416887"/>
    <w:rsid w:val="00416DFA"/>
    <w:rsid w:val="00416E12"/>
    <w:rsid w:val="0041707D"/>
    <w:rsid w:val="004171DF"/>
    <w:rsid w:val="004173DB"/>
    <w:rsid w:val="004174D6"/>
    <w:rsid w:val="0041751F"/>
    <w:rsid w:val="004176AF"/>
    <w:rsid w:val="00417A5C"/>
    <w:rsid w:val="00420220"/>
    <w:rsid w:val="00420430"/>
    <w:rsid w:val="00420561"/>
    <w:rsid w:val="00420767"/>
    <w:rsid w:val="004209AD"/>
    <w:rsid w:val="00420B43"/>
    <w:rsid w:val="00420CB0"/>
    <w:rsid w:val="00420CF0"/>
    <w:rsid w:val="00420E5B"/>
    <w:rsid w:val="00420F85"/>
    <w:rsid w:val="00421531"/>
    <w:rsid w:val="00421580"/>
    <w:rsid w:val="00421619"/>
    <w:rsid w:val="00421C0B"/>
    <w:rsid w:val="0042201F"/>
    <w:rsid w:val="00422462"/>
    <w:rsid w:val="004225AE"/>
    <w:rsid w:val="00422661"/>
    <w:rsid w:val="00422A9D"/>
    <w:rsid w:val="00422B97"/>
    <w:rsid w:val="00422BC4"/>
    <w:rsid w:val="00422E79"/>
    <w:rsid w:val="0042323B"/>
    <w:rsid w:val="00423332"/>
    <w:rsid w:val="00423616"/>
    <w:rsid w:val="004236D9"/>
    <w:rsid w:val="004239CB"/>
    <w:rsid w:val="00423A20"/>
    <w:rsid w:val="00423BC7"/>
    <w:rsid w:val="00424232"/>
    <w:rsid w:val="00424258"/>
    <w:rsid w:val="004242D7"/>
    <w:rsid w:val="00424667"/>
    <w:rsid w:val="00424700"/>
    <w:rsid w:val="004249D2"/>
    <w:rsid w:val="00424A45"/>
    <w:rsid w:val="00424A9E"/>
    <w:rsid w:val="00424E61"/>
    <w:rsid w:val="00424E87"/>
    <w:rsid w:val="00424FC0"/>
    <w:rsid w:val="00425061"/>
    <w:rsid w:val="0042512C"/>
    <w:rsid w:val="00425183"/>
    <w:rsid w:val="004251B4"/>
    <w:rsid w:val="00425293"/>
    <w:rsid w:val="004253B3"/>
    <w:rsid w:val="0042548D"/>
    <w:rsid w:val="004255D7"/>
    <w:rsid w:val="0042571A"/>
    <w:rsid w:val="004257F0"/>
    <w:rsid w:val="00425863"/>
    <w:rsid w:val="004258E9"/>
    <w:rsid w:val="00425DAF"/>
    <w:rsid w:val="0042622C"/>
    <w:rsid w:val="00426242"/>
    <w:rsid w:val="00426342"/>
    <w:rsid w:val="004263D3"/>
    <w:rsid w:val="004267D7"/>
    <w:rsid w:val="004269E7"/>
    <w:rsid w:val="00426A8A"/>
    <w:rsid w:val="00426ABB"/>
    <w:rsid w:val="00426BCB"/>
    <w:rsid w:val="00426CA3"/>
    <w:rsid w:val="00426FB6"/>
    <w:rsid w:val="00426FF4"/>
    <w:rsid w:val="00427051"/>
    <w:rsid w:val="004272DD"/>
    <w:rsid w:val="00427506"/>
    <w:rsid w:val="0042769A"/>
    <w:rsid w:val="00427739"/>
    <w:rsid w:val="00427881"/>
    <w:rsid w:val="004279A6"/>
    <w:rsid w:val="00427BBD"/>
    <w:rsid w:val="0043017E"/>
    <w:rsid w:val="004302A3"/>
    <w:rsid w:val="00430584"/>
    <w:rsid w:val="00430AF0"/>
    <w:rsid w:val="00430DA0"/>
    <w:rsid w:val="00430F6B"/>
    <w:rsid w:val="004312C9"/>
    <w:rsid w:val="004316A6"/>
    <w:rsid w:val="004316B1"/>
    <w:rsid w:val="00431731"/>
    <w:rsid w:val="00431911"/>
    <w:rsid w:val="00431A31"/>
    <w:rsid w:val="00431C2A"/>
    <w:rsid w:val="00431F54"/>
    <w:rsid w:val="00432391"/>
    <w:rsid w:val="00432891"/>
    <w:rsid w:val="00432B1A"/>
    <w:rsid w:val="00432BC8"/>
    <w:rsid w:val="00432F90"/>
    <w:rsid w:val="00432FE0"/>
    <w:rsid w:val="00433BBC"/>
    <w:rsid w:val="00433E35"/>
    <w:rsid w:val="0043440C"/>
    <w:rsid w:val="004345C6"/>
    <w:rsid w:val="004347F7"/>
    <w:rsid w:val="00434927"/>
    <w:rsid w:val="00434C76"/>
    <w:rsid w:val="00434D11"/>
    <w:rsid w:val="0043529B"/>
    <w:rsid w:val="00435320"/>
    <w:rsid w:val="0043532F"/>
    <w:rsid w:val="00435A08"/>
    <w:rsid w:val="00435A09"/>
    <w:rsid w:val="00435CCF"/>
    <w:rsid w:val="00435F4E"/>
    <w:rsid w:val="00436418"/>
    <w:rsid w:val="00436D92"/>
    <w:rsid w:val="00436FBB"/>
    <w:rsid w:val="004375EF"/>
    <w:rsid w:val="00437E49"/>
    <w:rsid w:val="004401C0"/>
    <w:rsid w:val="004403F2"/>
    <w:rsid w:val="00440472"/>
    <w:rsid w:val="00440FEB"/>
    <w:rsid w:val="004411AB"/>
    <w:rsid w:val="00441218"/>
    <w:rsid w:val="004412C4"/>
    <w:rsid w:val="004417E5"/>
    <w:rsid w:val="00441820"/>
    <w:rsid w:val="004419DF"/>
    <w:rsid w:val="00441A86"/>
    <w:rsid w:val="00441C78"/>
    <w:rsid w:val="00441E3D"/>
    <w:rsid w:val="004422E4"/>
    <w:rsid w:val="00442617"/>
    <w:rsid w:val="0044296D"/>
    <w:rsid w:val="00442CD9"/>
    <w:rsid w:val="00442EDD"/>
    <w:rsid w:val="00443160"/>
    <w:rsid w:val="00443DB0"/>
    <w:rsid w:val="00443E17"/>
    <w:rsid w:val="00444071"/>
    <w:rsid w:val="004444B2"/>
    <w:rsid w:val="00444E2D"/>
    <w:rsid w:val="0044524A"/>
    <w:rsid w:val="00445883"/>
    <w:rsid w:val="00445E5C"/>
    <w:rsid w:val="00445ED0"/>
    <w:rsid w:val="00445F10"/>
    <w:rsid w:val="00446370"/>
    <w:rsid w:val="00446571"/>
    <w:rsid w:val="00446E93"/>
    <w:rsid w:val="00447276"/>
    <w:rsid w:val="004472D2"/>
    <w:rsid w:val="00447525"/>
    <w:rsid w:val="004477AB"/>
    <w:rsid w:val="00447947"/>
    <w:rsid w:val="00447A89"/>
    <w:rsid w:val="00447B7C"/>
    <w:rsid w:val="00447DCD"/>
    <w:rsid w:val="00450148"/>
    <w:rsid w:val="004501A4"/>
    <w:rsid w:val="004505FF"/>
    <w:rsid w:val="004506C8"/>
    <w:rsid w:val="00451400"/>
    <w:rsid w:val="00451C39"/>
    <w:rsid w:val="00451CFD"/>
    <w:rsid w:val="00451D72"/>
    <w:rsid w:val="00451D9B"/>
    <w:rsid w:val="0045232D"/>
    <w:rsid w:val="00452404"/>
    <w:rsid w:val="004524CF"/>
    <w:rsid w:val="004526B1"/>
    <w:rsid w:val="004526EB"/>
    <w:rsid w:val="004530FD"/>
    <w:rsid w:val="00453326"/>
    <w:rsid w:val="00453A0F"/>
    <w:rsid w:val="00453A81"/>
    <w:rsid w:val="00453D61"/>
    <w:rsid w:val="00453E44"/>
    <w:rsid w:val="00454092"/>
    <w:rsid w:val="004546D2"/>
    <w:rsid w:val="004548CD"/>
    <w:rsid w:val="004548F3"/>
    <w:rsid w:val="00454B61"/>
    <w:rsid w:val="00454CEC"/>
    <w:rsid w:val="00454D2D"/>
    <w:rsid w:val="00454D58"/>
    <w:rsid w:val="00454E1E"/>
    <w:rsid w:val="00454E6E"/>
    <w:rsid w:val="004559D8"/>
    <w:rsid w:val="00455D6D"/>
    <w:rsid w:val="00456115"/>
    <w:rsid w:val="00456156"/>
    <w:rsid w:val="004562B6"/>
    <w:rsid w:val="00456556"/>
    <w:rsid w:val="00456918"/>
    <w:rsid w:val="0045694A"/>
    <w:rsid w:val="00456A45"/>
    <w:rsid w:val="00456A62"/>
    <w:rsid w:val="00456BCB"/>
    <w:rsid w:val="00457264"/>
    <w:rsid w:val="00457294"/>
    <w:rsid w:val="00457587"/>
    <w:rsid w:val="00457BBF"/>
    <w:rsid w:val="00457DE5"/>
    <w:rsid w:val="004603ED"/>
    <w:rsid w:val="004603F0"/>
    <w:rsid w:val="0046075B"/>
    <w:rsid w:val="004613F2"/>
    <w:rsid w:val="00461467"/>
    <w:rsid w:val="004616D2"/>
    <w:rsid w:val="00461BEC"/>
    <w:rsid w:val="00461D89"/>
    <w:rsid w:val="004620A3"/>
    <w:rsid w:val="004620A5"/>
    <w:rsid w:val="004622A6"/>
    <w:rsid w:val="00462372"/>
    <w:rsid w:val="004625E7"/>
    <w:rsid w:val="004629CA"/>
    <w:rsid w:val="00463032"/>
    <w:rsid w:val="00463302"/>
    <w:rsid w:val="0046364C"/>
    <w:rsid w:val="004636C9"/>
    <w:rsid w:val="004639DA"/>
    <w:rsid w:val="00463A4D"/>
    <w:rsid w:val="00463AD9"/>
    <w:rsid w:val="004643F4"/>
    <w:rsid w:val="00464999"/>
    <w:rsid w:val="00464E14"/>
    <w:rsid w:val="00464F3C"/>
    <w:rsid w:val="00464F58"/>
    <w:rsid w:val="004652BE"/>
    <w:rsid w:val="0046552C"/>
    <w:rsid w:val="004655D4"/>
    <w:rsid w:val="00465AC0"/>
    <w:rsid w:val="00465B1E"/>
    <w:rsid w:val="00466251"/>
    <w:rsid w:val="004665A1"/>
    <w:rsid w:val="0046663D"/>
    <w:rsid w:val="00466654"/>
    <w:rsid w:val="00466765"/>
    <w:rsid w:val="004668B9"/>
    <w:rsid w:val="0046694F"/>
    <w:rsid w:val="00466956"/>
    <w:rsid w:val="00466DDF"/>
    <w:rsid w:val="00466E0A"/>
    <w:rsid w:val="004675E9"/>
    <w:rsid w:val="004678FF"/>
    <w:rsid w:val="00467D49"/>
    <w:rsid w:val="00470225"/>
    <w:rsid w:val="00470600"/>
    <w:rsid w:val="00470626"/>
    <w:rsid w:val="00470EF6"/>
    <w:rsid w:val="0047117D"/>
    <w:rsid w:val="00471208"/>
    <w:rsid w:val="004712D0"/>
    <w:rsid w:val="0047145D"/>
    <w:rsid w:val="004716A8"/>
    <w:rsid w:val="00471C2B"/>
    <w:rsid w:val="00471DFE"/>
    <w:rsid w:val="004720DA"/>
    <w:rsid w:val="0047240A"/>
    <w:rsid w:val="0047241D"/>
    <w:rsid w:val="00472D06"/>
    <w:rsid w:val="00473427"/>
    <w:rsid w:val="00473489"/>
    <w:rsid w:val="00473738"/>
    <w:rsid w:val="00473A04"/>
    <w:rsid w:val="00473BFF"/>
    <w:rsid w:val="00473C1B"/>
    <w:rsid w:val="00473D44"/>
    <w:rsid w:val="00473FE0"/>
    <w:rsid w:val="004742F1"/>
    <w:rsid w:val="0047458B"/>
    <w:rsid w:val="0047459D"/>
    <w:rsid w:val="00474778"/>
    <w:rsid w:val="00474793"/>
    <w:rsid w:val="00474CB5"/>
    <w:rsid w:val="00474D3B"/>
    <w:rsid w:val="004751DC"/>
    <w:rsid w:val="00475310"/>
    <w:rsid w:val="00475403"/>
    <w:rsid w:val="0047564E"/>
    <w:rsid w:val="00475A09"/>
    <w:rsid w:val="00475ABD"/>
    <w:rsid w:val="00475D8C"/>
    <w:rsid w:val="00475FE0"/>
    <w:rsid w:val="00476235"/>
    <w:rsid w:val="0047640B"/>
    <w:rsid w:val="00476688"/>
    <w:rsid w:val="004768AC"/>
    <w:rsid w:val="00476A84"/>
    <w:rsid w:val="00476CFF"/>
    <w:rsid w:val="00477081"/>
    <w:rsid w:val="00477505"/>
    <w:rsid w:val="004775DE"/>
    <w:rsid w:val="00477731"/>
    <w:rsid w:val="00477A6E"/>
    <w:rsid w:val="0048020A"/>
    <w:rsid w:val="004802DF"/>
    <w:rsid w:val="004802FC"/>
    <w:rsid w:val="0048043B"/>
    <w:rsid w:val="00480572"/>
    <w:rsid w:val="004806A0"/>
    <w:rsid w:val="00480B6E"/>
    <w:rsid w:val="00480C72"/>
    <w:rsid w:val="00480DEF"/>
    <w:rsid w:val="00480EA6"/>
    <w:rsid w:val="00481725"/>
    <w:rsid w:val="004817C9"/>
    <w:rsid w:val="00481A0F"/>
    <w:rsid w:val="00481B77"/>
    <w:rsid w:val="00481D41"/>
    <w:rsid w:val="00481E35"/>
    <w:rsid w:val="0048220D"/>
    <w:rsid w:val="00482D56"/>
    <w:rsid w:val="00482F7D"/>
    <w:rsid w:val="00483005"/>
    <w:rsid w:val="004833F7"/>
    <w:rsid w:val="004834A9"/>
    <w:rsid w:val="0048361E"/>
    <w:rsid w:val="00483721"/>
    <w:rsid w:val="004839AE"/>
    <w:rsid w:val="00483BAC"/>
    <w:rsid w:val="00483D87"/>
    <w:rsid w:val="00484026"/>
    <w:rsid w:val="004840B0"/>
    <w:rsid w:val="00484ADF"/>
    <w:rsid w:val="0048500D"/>
    <w:rsid w:val="004850BE"/>
    <w:rsid w:val="0048521B"/>
    <w:rsid w:val="00485CD9"/>
    <w:rsid w:val="00485CF1"/>
    <w:rsid w:val="00485F82"/>
    <w:rsid w:val="004863A0"/>
    <w:rsid w:val="0048655D"/>
    <w:rsid w:val="004867F0"/>
    <w:rsid w:val="004868A5"/>
    <w:rsid w:val="00486EF3"/>
    <w:rsid w:val="00487092"/>
    <w:rsid w:val="0048711A"/>
    <w:rsid w:val="00487480"/>
    <w:rsid w:val="00487AA2"/>
    <w:rsid w:val="00487D14"/>
    <w:rsid w:val="00490136"/>
    <w:rsid w:val="00490380"/>
    <w:rsid w:val="00490591"/>
    <w:rsid w:val="00490B05"/>
    <w:rsid w:val="00490D32"/>
    <w:rsid w:val="0049108C"/>
    <w:rsid w:val="004911DF"/>
    <w:rsid w:val="00491755"/>
    <w:rsid w:val="004919C8"/>
    <w:rsid w:val="00491B10"/>
    <w:rsid w:val="00492257"/>
    <w:rsid w:val="004925DD"/>
    <w:rsid w:val="004926E1"/>
    <w:rsid w:val="004927B4"/>
    <w:rsid w:val="00492B2D"/>
    <w:rsid w:val="00492EFA"/>
    <w:rsid w:val="00493220"/>
    <w:rsid w:val="00493629"/>
    <w:rsid w:val="00493884"/>
    <w:rsid w:val="004938B1"/>
    <w:rsid w:val="0049393B"/>
    <w:rsid w:val="00493D3C"/>
    <w:rsid w:val="00493E0E"/>
    <w:rsid w:val="00494A84"/>
    <w:rsid w:val="00494BAC"/>
    <w:rsid w:val="00494BFE"/>
    <w:rsid w:val="0049500B"/>
    <w:rsid w:val="004954B6"/>
    <w:rsid w:val="00495619"/>
    <w:rsid w:val="00495676"/>
    <w:rsid w:val="00495687"/>
    <w:rsid w:val="004956B9"/>
    <w:rsid w:val="004956D2"/>
    <w:rsid w:val="00495B27"/>
    <w:rsid w:val="00495B44"/>
    <w:rsid w:val="00495F72"/>
    <w:rsid w:val="00496012"/>
    <w:rsid w:val="00496070"/>
    <w:rsid w:val="004960A6"/>
    <w:rsid w:val="004962C5"/>
    <w:rsid w:val="004962F2"/>
    <w:rsid w:val="00496546"/>
    <w:rsid w:val="00496594"/>
    <w:rsid w:val="004967E5"/>
    <w:rsid w:val="00496943"/>
    <w:rsid w:val="004969D4"/>
    <w:rsid w:val="004969F4"/>
    <w:rsid w:val="00496B7D"/>
    <w:rsid w:val="00497075"/>
    <w:rsid w:val="00497239"/>
    <w:rsid w:val="00497448"/>
    <w:rsid w:val="00497967"/>
    <w:rsid w:val="0049797A"/>
    <w:rsid w:val="00497AA2"/>
    <w:rsid w:val="004A00FB"/>
    <w:rsid w:val="004A01DF"/>
    <w:rsid w:val="004A046A"/>
    <w:rsid w:val="004A055B"/>
    <w:rsid w:val="004A06F2"/>
    <w:rsid w:val="004A0B23"/>
    <w:rsid w:val="004A0CD2"/>
    <w:rsid w:val="004A15D9"/>
    <w:rsid w:val="004A160F"/>
    <w:rsid w:val="004A17AE"/>
    <w:rsid w:val="004A1826"/>
    <w:rsid w:val="004A1835"/>
    <w:rsid w:val="004A1AA0"/>
    <w:rsid w:val="004A24D9"/>
    <w:rsid w:val="004A2729"/>
    <w:rsid w:val="004A2A32"/>
    <w:rsid w:val="004A2BD5"/>
    <w:rsid w:val="004A2E32"/>
    <w:rsid w:val="004A34EC"/>
    <w:rsid w:val="004A3658"/>
    <w:rsid w:val="004A3A12"/>
    <w:rsid w:val="004A3A8A"/>
    <w:rsid w:val="004A3B44"/>
    <w:rsid w:val="004A3C24"/>
    <w:rsid w:val="004A3EA5"/>
    <w:rsid w:val="004A3F8A"/>
    <w:rsid w:val="004A4131"/>
    <w:rsid w:val="004A49E8"/>
    <w:rsid w:val="004A4D99"/>
    <w:rsid w:val="004A5ACC"/>
    <w:rsid w:val="004A5BB5"/>
    <w:rsid w:val="004A5D2A"/>
    <w:rsid w:val="004A5F16"/>
    <w:rsid w:val="004A6201"/>
    <w:rsid w:val="004A6836"/>
    <w:rsid w:val="004A6E0C"/>
    <w:rsid w:val="004A7244"/>
    <w:rsid w:val="004A724C"/>
    <w:rsid w:val="004A757F"/>
    <w:rsid w:val="004A75FE"/>
    <w:rsid w:val="004A7759"/>
    <w:rsid w:val="004A7D75"/>
    <w:rsid w:val="004A7E99"/>
    <w:rsid w:val="004B01A4"/>
    <w:rsid w:val="004B087C"/>
    <w:rsid w:val="004B091F"/>
    <w:rsid w:val="004B0A3E"/>
    <w:rsid w:val="004B0A70"/>
    <w:rsid w:val="004B0DF0"/>
    <w:rsid w:val="004B13DC"/>
    <w:rsid w:val="004B15B6"/>
    <w:rsid w:val="004B21A5"/>
    <w:rsid w:val="004B2373"/>
    <w:rsid w:val="004B2991"/>
    <w:rsid w:val="004B2E0E"/>
    <w:rsid w:val="004B2F03"/>
    <w:rsid w:val="004B3099"/>
    <w:rsid w:val="004B3AF6"/>
    <w:rsid w:val="004B3B43"/>
    <w:rsid w:val="004B40A3"/>
    <w:rsid w:val="004B40E7"/>
    <w:rsid w:val="004B4188"/>
    <w:rsid w:val="004B42FF"/>
    <w:rsid w:val="004B436E"/>
    <w:rsid w:val="004B4671"/>
    <w:rsid w:val="004B471D"/>
    <w:rsid w:val="004B4916"/>
    <w:rsid w:val="004B510F"/>
    <w:rsid w:val="004B56C6"/>
    <w:rsid w:val="004B5976"/>
    <w:rsid w:val="004B5A41"/>
    <w:rsid w:val="004B5A69"/>
    <w:rsid w:val="004B5B03"/>
    <w:rsid w:val="004B5C60"/>
    <w:rsid w:val="004B5E5B"/>
    <w:rsid w:val="004B5F65"/>
    <w:rsid w:val="004B6096"/>
    <w:rsid w:val="004B611A"/>
    <w:rsid w:val="004B638C"/>
    <w:rsid w:val="004B650B"/>
    <w:rsid w:val="004B6B48"/>
    <w:rsid w:val="004B6D07"/>
    <w:rsid w:val="004B7074"/>
    <w:rsid w:val="004B7238"/>
    <w:rsid w:val="004C0260"/>
    <w:rsid w:val="004C035F"/>
    <w:rsid w:val="004C06E6"/>
    <w:rsid w:val="004C096F"/>
    <w:rsid w:val="004C0A2D"/>
    <w:rsid w:val="004C0C76"/>
    <w:rsid w:val="004C0EC9"/>
    <w:rsid w:val="004C0F80"/>
    <w:rsid w:val="004C0F98"/>
    <w:rsid w:val="004C1244"/>
    <w:rsid w:val="004C15C0"/>
    <w:rsid w:val="004C1682"/>
    <w:rsid w:val="004C16CA"/>
    <w:rsid w:val="004C1BB3"/>
    <w:rsid w:val="004C1F6F"/>
    <w:rsid w:val="004C23F1"/>
    <w:rsid w:val="004C2406"/>
    <w:rsid w:val="004C277B"/>
    <w:rsid w:val="004C2800"/>
    <w:rsid w:val="004C2D37"/>
    <w:rsid w:val="004C30C6"/>
    <w:rsid w:val="004C37A5"/>
    <w:rsid w:val="004C3991"/>
    <w:rsid w:val="004C39DB"/>
    <w:rsid w:val="004C3A7B"/>
    <w:rsid w:val="004C3EF3"/>
    <w:rsid w:val="004C448F"/>
    <w:rsid w:val="004C4529"/>
    <w:rsid w:val="004C4726"/>
    <w:rsid w:val="004C4CBD"/>
    <w:rsid w:val="004C4CC0"/>
    <w:rsid w:val="004C4CC6"/>
    <w:rsid w:val="004C4EE5"/>
    <w:rsid w:val="004C5053"/>
    <w:rsid w:val="004C57D4"/>
    <w:rsid w:val="004C583E"/>
    <w:rsid w:val="004C5966"/>
    <w:rsid w:val="004C5B02"/>
    <w:rsid w:val="004C5CC8"/>
    <w:rsid w:val="004C5E0F"/>
    <w:rsid w:val="004C60E7"/>
    <w:rsid w:val="004C60FB"/>
    <w:rsid w:val="004C6775"/>
    <w:rsid w:val="004C6C0B"/>
    <w:rsid w:val="004C6E01"/>
    <w:rsid w:val="004C7671"/>
    <w:rsid w:val="004C78B7"/>
    <w:rsid w:val="004C7BB1"/>
    <w:rsid w:val="004C7F05"/>
    <w:rsid w:val="004D02FB"/>
    <w:rsid w:val="004D0434"/>
    <w:rsid w:val="004D06D3"/>
    <w:rsid w:val="004D075F"/>
    <w:rsid w:val="004D081E"/>
    <w:rsid w:val="004D0A82"/>
    <w:rsid w:val="004D13C0"/>
    <w:rsid w:val="004D175C"/>
    <w:rsid w:val="004D186E"/>
    <w:rsid w:val="004D19EE"/>
    <w:rsid w:val="004D1CB0"/>
    <w:rsid w:val="004D1D7B"/>
    <w:rsid w:val="004D1F7D"/>
    <w:rsid w:val="004D2131"/>
    <w:rsid w:val="004D22DB"/>
    <w:rsid w:val="004D26EE"/>
    <w:rsid w:val="004D279F"/>
    <w:rsid w:val="004D2897"/>
    <w:rsid w:val="004D28DA"/>
    <w:rsid w:val="004D2BED"/>
    <w:rsid w:val="004D2CEE"/>
    <w:rsid w:val="004D2D2A"/>
    <w:rsid w:val="004D3247"/>
    <w:rsid w:val="004D3344"/>
    <w:rsid w:val="004D33AF"/>
    <w:rsid w:val="004D359C"/>
    <w:rsid w:val="004D35DA"/>
    <w:rsid w:val="004D364B"/>
    <w:rsid w:val="004D37CD"/>
    <w:rsid w:val="004D3EC3"/>
    <w:rsid w:val="004D44E4"/>
    <w:rsid w:val="004D45FC"/>
    <w:rsid w:val="004D497A"/>
    <w:rsid w:val="004D4B95"/>
    <w:rsid w:val="004D4F42"/>
    <w:rsid w:val="004D4F51"/>
    <w:rsid w:val="004D574F"/>
    <w:rsid w:val="004D61B0"/>
    <w:rsid w:val="004D6731"/>
    <w:rsid w:val="004D6858"/>
    <w:rsid w:val="004D68B2"/>
    <w:rsid w:val="004D6DE5"/>
    <w:rsid w:val="004D7041"/>
    <w:rsid w:val="004D7369"/>
    <w:rsid w:val="004D73E0"/>
    <w:rsid w:val="004D778C"/>
    <w:rsid w:val="004D78D4"/>
    <w:rsid w:val="004D7AFF"/>
    <w:rsid w:val="004D7CE8"/>
    <w:rsid w:val="004D7FE3"/>
    <w:rsid w:val="004E01B6"/>
    <w:rsid w:val="004E0217"/>
    <w:rsid w:val="004E025A"/>
    <w:rsid w:val="004E0388"/>
    <w:rsid w:val="004E0A8F"/>
    <w:rsid w:val="004E0F4B"/>
    <w:rsid w:val="004E0F62"/>
    <w:rsid w:val="004E0FAA"/>
    <w:rsid w:val="004E0FF8"/>
    <w:rsid w:val="004E11AF"/>
    <w:rsid w:val="004E1323"/>
    <w:rsid w:val="004E1B40"/>
    <w:rsid w:val="004E1C64"/>
    <w:rsid w:val="004E1CCF"/>
    <w:rsid w:val="004E20BE"/>
    <w:rsid w:val="004E21D5"/>
    <w:rsid w:val="004E22E4"/>
    <w:rsid w:val="004E33FD"/>
    <w:rsid w:val="004E3A77"/>
    <w:rsid w:val="004E3C8E"/>
    <w:rsid w:val="004E4016"/>
    <w:rsid w:val="004E457C"/>
    <w:rsid w:val="004E4784"/>
    <w:rsid w:val="004E4D25"/>
    <w:rsid w:val="004E4DC8"/>
    <w:rsid w:val="004E4FFD"/>
    <w:rsid w:val="004E5613"/>
    <w:rsid w:val="004E568C"/>
    <w:rsid w:val="004E5762"/>
    <w:rsid w:val="004E5CC5"/>
    <w:rsid w:val="004E5F38"/>
    <w:rsid w:val="004E6172"/>
    <w:rsid w:val="004E66B9"/>
    <w:rsid w:val="004E66D4"/>
    <w:rsid w:val="004E677D"/>
    <w:rsid w:val="004E6D8C"/>
    <w:rsid w:val="004E6DA6"/>
    <w:rsid w:val="004E6E25"/>
    <w:rsid w:val="004E6E94"/>
    <w:rsid w:val="004E7478"/>
    <w:rsid w:val="004E7643"/>
    <w:rsid w:val="004E7756"/>
    <w:rsid w:val="004E777A"/>
    <w:rsid w:val="004E7AF0"/>
    <w:rsid w:val="004E7D72"/>
    <w:rsid w:val="004F0464"/>
    <w:rsid w:val="004F05EF"/>
    <w:rsid w:val="004F083C"/>
    <w:rsid w:val="004F0D94"/>
    <w:rsid w:val="004F0E13"/>
    <w:rsid w:val="004F0EAB"/>
    <w:rsid w:val="004F0F8A"/>
    <w:rsid w:val="004F1269"/>
    <w:rsid w:val="004F1371"/>
    <w:rsid w:val="004F13CE"/>
    <w:rsid w:val="004F14B6"/>
    <w:rsid w:val="004F219A"/>
    <w:rsid w:val="004F21D8"/>
    <w:rsid w:val="004F2248"/>
    <w:rsid w:val="004F23C4"/>
    <w:rsid w:val="004F2D71"/>
    <w:rsid w:val="004F2FEB"/>
    <w:rsid w:val="004F317D"/>
    <w:rsid w:val="004F3BC1"/>
    <w:rsid w:val="004F3EB8"/>
    <w:rsid w:val="004F41FE"/>
    <w:rsid w:val="004F44C3"/>
    <w:rsid w:val="004F4526"/>
    <w:rsid w:val="004F46AA"/>
    <w:rsid w:val="004F472A"/>
    <w:rsid w:val="004F4897"/>
    <w:rsid w:val="004F514B"/>
    <w:rsid w:val="004F515E"/>
    <w:rsid w:val="004F55FB"/>
    <w:rsid w:val="004F571C"/>
    <w:rsid w:val="004F5A3A"/>
    <w:rsid w:val="004F5B4B"/>
    <w:rsid w:val="004F5D5B"/>
    <w:rsid w:val="004F5F69"/>
    <w:rsid w:val="004F5FDA"/>
    <w:rsid w:val="004F6358"/>
    <w:rsid w:val="004F68D5"/>
    <w:rsid w:val="004F71A7"/>
    <w:rsid w:val="004F72EC"/>
    <w:rsid w:val="004F7A8E"/>
    <w:rsid w:val="005000F9"/>
    <w:rsid w:val="00500130"/>
    <w:rsid w:val="00500565"/>
    <w:rsid w:val="005006C2"/>
    <w:rsid w:val="00500A53"/>
    <w:rsid w:val="00500A7A"/>
    <w:rsid w:val="00500D2C"/>
    <w:rsid w:val="00501625"/>
    <w:rsid w:val="00501626"/>
    <w:rsid w:val="00501865"/>
    <w:rsid w:val="005018A3"/>
    <w:rsid w:val="00501A6D"/>
    <w:rsid w:val="00501C13"/>
    <w:rsid w:val="00502070"/>
    <w:rsid w:val="0050267F"/>
    <w:rsid w:val="0050291F"/>
    <w:rsid w:val="00502E1B"/>
    <w:rsid w:val="00503391"/>
    <w:rsid w:val="00503404"/>
    <w:rsid w:val="0050340B"/>
    <w:rsid w:val="005034BC"/>
    <w:rsid w:val="00503504"/>
    <w:rsid w:val="00503677"/>
    <w:rsid w:val="005037C6"/>
    <w:rsid w:val="0050391D"/>
    <w:rsid w:val="00503AE4"/>
    <w:rsid w:val="00503D4D"/>
    <w:rsid w:val="00503E81"/>
    <w:rsid w:val="005042C2"/>
    <w:rsid w:val="00504D50"/>
    <w:rsid w:val="00504DAF"/>
    <w:rsid w:val="00504EF1"/>
    <w:rsid w:val="00504F38"/>
    <w:rsid w:val="00505144"/>
    <w:rsid w:val="0050555B"/>
    <w:rsid w:val="00505745"/>
    <w:rsid w:val="00505B4E"/>
    <w:rsid w:val="00505C5B"/>
    <w:rsid w:val="00505F6F"/>
    <w:rsid w:val="005063C0"/>
    <w:rsid w:val="00506494"/>
    <w:rsid w:val="00506555"/>
    <w:rsid w:val="00507AE0"/>
    <w:rsid w:val="00507D26"/>
    <w:rsid w:val="00507DAF"/>
    <w:rsid w:val="0051011B"/>
    <w:rsid w:val="005102A1"/>
    <w:rsid w:val="005106E3"/>
    <w:rsid w:val="005109B4"/>
    <w:rsid w:val="00510B83"/>
    <w:rsid w:val="00510BC6"/>
    <w:rsid w:val="00510CEB"/>
    <w:rsid w:val="00510DB5"/>
    <w:rsid w:val="00511F77"/>
    <w:rsid w:val="00511F9E"/>
    <w:rsid w:val="00512211"/>
    <w:rsid w:val="005123ED"/>
    <w:rsid w:val="00512530"/>
    <w:rsid w:val="0051253E"/>
    <w:rsid w:val="00512612"/>
    <w:rsid w:val="00513847"/>
    <w:rsid w:val="00513A28"/>
    <w:rsid w:val="00513C39"/>
    <w:rsid w:val="0051416C"/>
    <w:rsid w:val="005141B1"/>
    <w:rsid w:val="005141E4"/>
    <w:rsid w:val="00514255"/>
    <w:rsid w:val="005143CB"/>
    <w:rsid w:val="0051455F"/>
    <w:rsid w:val="0051556D"/>
    <w:rsid w:val="00515586"/>
    <w:rsid w:val="005156A2"/>
    <w:rsid w:val="00515747"/>
    <w:rsid w:val="00515985"/>
    <w:rsid w:val="00515C7D"/>
    <w:rsid w:val="00515E90"/>
    <w:rsid w:val="00515EDB"/>
    <w:rsid w:val="00515EFA"/>
    <w:rsid w:val="005164F9"/>
    <w:rsid w:val="005167F1"/>
    <w:rsid w:val="0051694F"/>
    <w:rsid w:val="00516A4D"/>
    <w:rsid w:val="00516AF9"/>
    <w:rsid w:val="00516E2F"/>
    <w:rsid w:val="0051723A"/>
    <w:rsid w:val="005178BA"/>
    <w:rsid w:val="00517A51"/>
    <w:rsid w:val="00517A64"/>
    <w:rsid w:val="00517BE0"/>
    <w:rsid w:val="00517FA8"/>
    <w:rsid w:val="0052035A"/>
    <w:rsid w:val="005204FA"/>
    <w:rsid w:val="00520819"/>
    <w:rsid w:val="005209FD"/>
    <w:rsid w:val="00520A29"/>
    <w:rsid w:val="00520BAC"/>
    <w:rsid w:val="00520CDB"/>
    <w:rsid w:val="00521567"/>
    <w:rsid w:val="00521A64"/>
    <w:rsid w:val="00521EC0"/>
    <w:rsid w:val="00521ED9"/>
    <w:rsid w:val="005220C0"/>
    <w:rsid w:val="005220D0"/>
    <w:rsid w:val="00522898"/>
    <w:rsid w:val="00522AB4"/>
    <w:rsid w:val="00522DAC"/>
    <w:rsid w:val="00523215"/>
    <w:rsid w:val="0052374D"/>
    <w:rsid w:val="0052396F"/>
    <w:rsid w:val="00524796"/>
    <w:rsid w:val="005247A4"/>
    <w:rsid w:val="0052490D"/>
    <w:rsid w:val="0052496F"/>
    <w:rsid w:val="00524D93"/>
    <w:rsid w:val="005250D4"/>
    <w:rsid w:val="005252B5"/>
    <w:rsid w:val="00525E32"/>
    <w:rsid w:val="00525FFC"/>
    <w:rsid w:val="005260FE"/>
    <w:rsid w:val="005261D7"/>
    <w:rsid w:val="005262C1"/>
    <w:rsid w:val="00526300"/>
    <w:rsid w:val="005264D1"/>
    <w:rsid w:val="005269A1"/>
    <w:rsid w:val="00526A2F"/>
    <w:rsid w:val="00526AE7"/>
    <w:rsid w:val="00526B9D"/>
    <w:rsid w:val="00526BC3"/>
    <w:rsid w:val="00526C4A"/>
    <w:rsid w:val="00526DEA"/>
    <w:rsid w:val="00526E4F"/>
    <w:rsid w:val="00527077"/>
    <w:rsid w:val="0052713F"/>
    <w:rsid w:val="005271C5"/>
    <w:rsid w:val="0052749E"/>
    <w:rsid w:val="00527549"/>
    <w:rsid w:val="0052763F"/>
    <w:rsid w:val="0052784C"/>
    <w:rsid w:val="005278D2"/>
    <w:rsid w:val="005279D3"/>
    <w:rsid w:val="00527A76"/>
    <w:rsid w:val="00527C0C"/>
    <w:rsid w:val="00527DE1"/>
    <w:rsid w:val="00527E03"/>
    <w:rsid w:val="0053006F"/>
    <w:rsid w:val="005306D6"/>
    <w:rsid w:val="005306F8"/>
    <w:rsid w:val="0053072B"/>
    <w:rsid w:val="005307EB"/>
    <w:rsid w:val="00530A14"/>
    <w:rsid w:val="00530AB7"/>
    <w:rsid w:val="00531137"/>
    <w:rsid w:val="0053117A"/>
    <w:rsid w:val="005318F7"/>
    <w:rsid w:val="00531B17"/>
    <w:rsid w:val="00531B5D"/>
    <w:rsid w:val="00531F4F"/>
    <w:rsid w:val="00532716"/>
    <w:rsid w:val="0053289E"/>
    <w:rsid w:val="005332F5"/>
    <w:rsid w:val="0053333B"/>
    <w:rsid w:val="005334FB"/>
    <w:rsid w:val="0053358A"/>
    <w:rsid w:val="00533BF7"/>
    <w:rsid w:val="00533CCB"/>
    <w:rsid w:val="00533DCA"/>
    <w:rsid w:val="00534087"/>
    <w:rsid w:val="00534116"/>
    <w:rsid w:val="005345A7"/>
    <w:rsid w:val="0053469C"/>
    <w:rsid w:val="00534B30"/>
    <w:rsid w:val="00535016"/>
    <w:rsid w:val="005351F4"/>
    <w:rsid w:val="0053521F"/>
    <w:rsid w:val="005352DB"/>
    <w:rsid w:val="005356B9"/>
    <w:rsid w:val="0053583D"/>
    <w:rsid w:val="00535965"/>
    <w:rsid w:val="00535B5D"/>
    <w:rsid w:val="00535B86"/>
    <w:rsid w:val="00535D48"/>
    <w:rsid w:val="00535F36"/>
    <w:rsid w:val="005360FF"/>
    <w:rsid w:val="005361B0"/>
    <w:rsid w:val="00536564"/>
    <w:rsid w:val="00536A64"/>
    <w:rsid w:val="00536D76"/>
    <w:rsid w:val="00536DD5"/>
    <w:rsid w:val="00536E6B"/>
    <w:rsid w:val="00536EC4"/>
    <w:rsid w:val="00537193"/>
    <w:rsid w:val="00537474"/>
    <w:rsid w:val="00537539"/>
    <w:rsid w:val="0053767A"/>
    <w:rsid w:val="0053767C"/>
    <w:rsid w:val="00537882"/>
    <w:rsid w:val="00537BA1"/>
    <w:rsid w:val="00537C8B"/>
    <w:rsid w:val="00537CC0"/>
    <w:rsid w:val="005406E4"/>
    <w:rsid w:val="0054076C"/>
    <w:rsid w:val="00540A02"/>
    <w:rsid w:val="00540A7E"/>
    <w:rsid w:val="00540B0F"/>
    <w:rsid w:val="00540F78"/>
    <w:rsid w:val="005412CF"/>
    <w:rsid w:val="00541607"/>
    <w:rsid w:val="00541971"/>
    <w:rsid w:val="00541DD7"/>
    <w:rsid w:val="00541F3B"/>
    <w:rsid w:val="005420F8"/>
    <w:rsid w:val="00542404"/>
    <w:rsid w:val="00542CF2"/>
    <w:rsid w:val="00542E7D"/>
    <w:rsid w:val="00542EDA"/>
    <w:rsid w:val="00543472"/>
    <w:rsid w:val="00543581"/>
    <w:rsid w:val="00543821"/>
    <w:rsid w:val="00543FEF"/>
    <w:rsid w:val="005441CD"/>
    <w:rsid w:val="0054432C"/>
    <w:rsid w:val="00544448"/>
    <w:rsid w:val="00544469"/>
    <w:rsid w:val="005444E1"/>
    <w:rsid w:val="00544848"/>
    <w:rsid w:val="005448E5"/>
    <w:rsid w:val="00544966"/>
    <w:rsid w:val="00544AFB"/>
    <w:rsid w:val="00544BF9"/>
    <w:rsid w:val="00544CC3"/>
    <w:rsid w:val="00544F00"/>
    <w:rsid w:val="00544FBF"/>
    <w:rsid w:val="00545904"/>
    <w:rsid w:val="00546163"/>
    <w:rsid w:val="00546246"/>
    <w:rsid w:val="00546267"/>
    <w:rsid w:val="005462BA"/>
    <w:rsid w:val="005462CE"/>
    <w:rsid w:val="005463E8"/>
    <w:rsid w:val="005463F0"/>
    <w:rsid w:val="00546BBB"/>
    <w:rsid w:val="00546C7A"/>
    <w:rsid w:val="00546E34"/>
    <w:rsid w:val="00546ED9"/>
    <w:rsid w:val="0054711C"/>
    <w:rsid w:val="00547438"/>
    <w:rsid w:val="00547614"/>
    <w:rsid w:val="005478BD"/>
    <w:rsid w:val="00547900"/>
    <w:rsid w:val="00547A4B"/>
    <w:rsid w:val="00550134"/>
    <w:rsid w:val="0055070B"/>
    <w:rsid w:val="0055097F"/>
    <w:rsid w:val="00550D41"/>
    <w:rsid w:val="00550FA2"/>
    <w:rsid w:val="0055110C"/>
    <w:rsid w:val="00551B46"/>
    <w:rsid w:val="00551B4F"/>
    <w:rsid w:val="00551C73"/>
    <w:rsid w:val="00551D6D"/>
    <w:rsid w:val="00551F34"/>
    <w:rsid w:val="00551F76"/>
    <w:rsid w:val="00551FE5"/>
    <w:rsid w:val="0055201D"/>
    <w:rsid w:val="005522C4"/>
    <w:rsid w:val="005524C8"/>
    <w:rsid w:val="005526AA"/>
    <w:rsid w:val="0055271D"/>
    <w:rsid w:val="005528BD"/>
    <w:rsid w:val="00552A7F"/>
    <w:rsid w:val="00552E6A"/>
    <w:rsid w:val="00552FDF"/>
    <w:rsid w:val="0055307F"/>
    <w:rsid w:val="005533D5"/>
    <w:rsid w:val="005537D3"/>
    <w:rsid w:val="0055389A"/>
    <w:rsid w:val="005538AF"/>
    <w:rsid w:val="00553DD8"/>
    <w:rsid w:val="0055408F"/>
    <w:rsid w:val="00554147"/>
    <w:rsid w:val="005541A0"/>
    <w:rsid w:val="0055422A"/>
    <w:rsid w:val="005546F4"/>
    <w:rsid w:val="005549C6"/>
    <w:rsid w:val="00554D9D"/>
    <w:rsid w:val="00555299"/>
    <w:rsid w:val="005559BD"/>
    <w:rsid w:val="00555E41"/>
    <w:rsid w:val="005560ED"/>
    <w:rsid w:val="0055621F"/>
    <w:rsid w:val="00556255"/>
    <w:rsid w:val="00556517"/>
    <w:rsid w:val="005567E0"/>
    <w:rsid w:val="00556AFF"/>
    <w:rsid w:val="00556D41"/>
    <w:rsid w:val="00556E3E"/>
    <w:rsid w:val="0055752C"/>
    <w:rsid w:val="005575C9"/>
    <w:rsid w:val="005575DC"/>
    <w:rsid w:val="00557895"/>
    <w:rsid w:val="0055794A"/>
    <w:rsid w:val="00557E1E"/>
    <w:rsid w:val="005603D5"/>
    <w:rsid w:val="005605CE"/>
    <w:rsid w:val="005605FD"/>
    <w:rsid w:val="00560641"/>
    <w:rsid w:val="00560D1B"/>
    <w:rsid w:val="00560E48"/>
    <w:rsid w:val="00560ED1"/>
    <w:rsid w:val="00560FD6"/>
    <w:rsid w:val="005617F0"/>
    <w:rsid w:val="00561A2C"/>
    <w:rsid w:val="00561A71"/>
    <w:rsid w:val="00561AAD"/>
    <w:rsid w:val="00561D35"/>
    <w:rsid w:val="0056263B"/>
    <w:rsid w:val="0056268F"/>
    <w:rsid w:val="0056278C"/>
    <w:rsid w:val="00562F1B"/>
    <w:rsid w:val="00563219"/>
    <w:rsid w:val="00563255"/>
    <w:rsid w:val="005632B4"/>
    <w:rsid w:val="005634B1"/>
    <w:rsid w:val="005634D0"/>
    <w:rsid w:val="005635BF"/>
    <w:rsid w:val="0056362F"/>
    <w:rsid w:val="00563AFF"/>
    <w:rsid w:val="00563B18"/>
    <w:rsid w:val="00563F77"/>
    <w:rsid w:val="005640DA"/>
    <w:rsid w:val="005641D8"/>
    <w:rsid w:val="00564343"/>
    <w:rsid w:val="0056435B"/>
    <w:rsid w:val="00564473"/>
    <w:rsid w:val="005645A0"/>
    <w:rsid w:val="005646C1"/>
    <w:rsid w:val="005648A8"/>
    <w:rsid w:val="005648D0"/>
    <w:rsid w:val="00564B94"/>
    <w:rsid w:val="00564CCB"/>
    <w:rsid w:val="00564F43"/>
    <w:rsid w:val="0056518A"/>
    <w:rsid w:val="0056562B"/>
    <w:rsid w:val="00565770"/>
    <w:rsid w:val="00565942"/>
    <w:rsid w:val="00565C1A"/>
    <w:rsid w:val="00565FFD"/>
    <w:rsid w:val="00566580"/>
    <w:rsid w:val="005665A2"/>
    <w:rsid w:val="005666BF"/>
    <w:rsid w:val="0056676E"/>
    <w:rsid w:val="00566879"/>
    <w:rsid w:val="00566E50"/>
    <w:rsid w:val="005675CF"/>
    <w:rsid w:val="00567987"/>
    <w:rsid w:val="00567E70"/>
    <w:rsid w:val="005700B7"/>
    <w:rsid w:val="005704B5"/>
    <w:rsid w:val="00570550"/>
    <w:rsid w:val="00570648"/>
    <w:rsid w:val="005708A4"/>
    <w:rsid w:val="0057124A"/>
    <w:rsid w:val="00571AB3"/>
    <w:rsid w:val="00571AD7"/>
    <w:rsid w:val="00571B46"/>
    <w:rsid w:val="00571E1A"/>
    <w:rsid w:val="00571ED9"/>
    <w:rsid w:val="0057220F"/>
    <w:rsid w:val="00572322"/>
    <w:rsid w:val="00572544"/>
    <w:rsid w:val="00572887"/>
    <w:rsid w:val="005729E7"/>
    <w:rsid w:val="00572BF1"/>
    <w:rsid w:val="00572F56"/>
    <w:rsid w:val="00572F81"/>
    <w:rsid w:val="0057324C"/>
    <w:rsid w:val="005733D4"/>
    <w:rsid w:val="00573B66"/>
    <w:rsid w:val="00573E73"/>
    <w:rsid w:val="00573F6D"/>
    <w:rsid w:val="005740AC"/>
    <w:rsid w:val="00574293"/>
    <w:rsid w:val="0057436D"/>
    <w:rsid w:val="00574606"/>
    <w:rsid w:val="0057474F"/>
    <w:rsid w:val="005749E1"/>
    <w:rsid w:val="005751E8"/>
    <w:rsid w:val="00575992"/>
    <w:rsid w:val="00575B06"/>
    <w:rsid w:val="00575BB9"/>
    <w:rsid w:val="00575D2A"/>
    <w:rsid w:val="00575D9B"/>
    <w:rsid w:val="00575FEB"/>
    <w:rsid w:val="00575FF6"/>
    <w:rsid w:val="0057611E"/>
    <w:rsid w:val="005762D7"/>
    <w:rsid w:val="005767B8"/>
    <w:rsid w:val="00576CA2"/>
    <w:rsid w:val="00576CEA"/>
    <w:rsid w:val="00576DF7"/>
    <w:rsid w:val="00576FBF"/>
    <w:rsid w:val="0057727F"/>
    <w:rsid w:val="0057730C"/>
    <w:rsid w:val="00577390"/>
    <w:rsid w:val="0057745D"/>
    <w:rsid w:val="005775F3"/>
    <w:rsid w:val="00577C3A"/>
    <w:rsid w:val="00577FDE"/>
    <w:rsid w:val="00577FF8"/>
    <w:rsid w:val="00580408"/>
    <w:rsid w:val="00580451"/>
    <w:rsid w:val="005804D7"/>
    <w:rsid w:val="00580707"/>
    <w:rsid w:val="00580A13"/>
    <w:rsid w:val="00580CDD"/>
    <w:rsid w:val="00580DB7"/>
    <w:rsid w:val="005811D1"/>
    <w:rsid w:val="00581233"/>
    <w:rsid w:val="005814DB"/>
    <w:rsid w:val="0058159D"/>
    <w:rsid w:val="00581603"/>
    <w:rsid w:val="005817F0"/>
    <w:rsid w:val="0058181D"/>
    <w:rsid w:val="00581854"/>
    <w:rsid w:val="00581A8A"/>
    <w:rsid w:val="00581B8D"/>
    <w:rsid w:val="00581C29"/>
    <w:rsid w:val="00581CFD"/>
    <w:rsid w:val="00581ECF"/>
    <w:rsid w:val="00581EEB"/>
    <w:rsid w:val="005820CF"/>
    <w:rsid w:val="005822B6"/>
    <w:rsid w:val="00582317"/>
    <w:rsid w:val="00582723"/>
    <w:rsid w:val="005827E4"/>
    <w:rsid w:val="00582885"/>
    <w:rsid w:val="005828EF"/>
    <w:rsid w:val="00582D1B"/>
    <w:rsid w:val="00582FEA"/>
    <w:rsid w:val="00583055"/>
    <w:rsid w:val="0058345F"/>
    <w:rsid w:val="00583605"/>
    <w:rsid w:val="0058394A"/>
    <w:rsid w:val="005839F2"/>
    <w:rsid w:val="00583AFE"/>
    <w:rsid w:val="0058409F"/>
    <w:rsid w:val="00584492"/>
    <w:rsid w:val="005844FB"/>
    <w:rsid w:val="005846B8"/>
    <w:rsid w:val="0058475F"/>
    <w:rsid w:val="00584795"/>
    <w:rsid w:val="005848EA"/>
    <w:rsid w:val="00584D02"/>
    <w:rsid w:val="00585305"/>
    <w:rsid w:val="005853A6"/>
    <w:rsid w:val="00585580"/>
    <w:rsid w:val="00585791"/>
    <w:rsid w:val="00585CAC"/>
    <w:rsid w:val="00585ED9"/>
    <w:rsid w:val="00586B96"/>
    <w:rsid w:val="00586BD5"/>
    <w:rsid w:val="00586D6E"/>
    <w:rsid w:val="00586D71"/>
    <w:rsid w:val="00586F6C"/>
    <w:rsid w:val="0058739D"/>
    <w:rsid w:val="00587556"/>
    <w:rsid w:val="00587A42"/>
    <w:rsid w:val="00587C35"/>
    <w:rsid w:val="00587E07"/>
    <w:rsid w:val="00587F12"/>
    <w:rsid w:val="00587FF6"/>
    <w:rsid w:val="00590506"/>
    <w:rsid w:val="00590582"/>
    <w:rsid w:val="0059062C"/>
    <w:rsid w:val="005906AD"/>
    <w:rsid w:val="00590852"/>
    <w:rsid w:val="00590894"/>
    <w:rsid w:val="00590989"/>
    <w:rsid w:val="00590DE1"/>
    <w:rsid w:val="0059118B"/>
    <w:rsid w:val="005913E3"/>
    <w:rsid w:val="00591CC8"/>
    <w:rsid w:val="00591F91"/>
    <w:rsid w:val="00592839"/>
    <w:rsid w:val="00592877"/>
    <w:rsid w:val="005929D8"/>
    <w:rsid w:val="00592A0A"/>
    <w:rsid w:val="00592A76"/>
    <w:rsid w:val="00592B41"/>
    <w:rsid w:val="00592B7D"/>
    <w:rsid w:val="00593487"/>
    <w:rsid w:val="005937CC"/>
    <w:rsid w:val="00594209"/>
    <w:rsid w:val="005942EE"/>
    <w:rsid w:val="00594627"/>
    <w:rsid w:val="00594714"/>
    <w:rsid w:val="0059482C"/>
    <w:rsid w:val="005948DF"/>
    <w:rsid w:val="0059492C"/>
    <w:rsid w:val="00594D7E"/>
    <w:rsid w:val="00594DA0"/>
    <w:rsid w:val="00594EBC"/>
    <w:rsid w:val="00595109"/>
    <w:rsid w:val="005951F9"/>
    <w:rsid w:val="0059530B"/>
    <w:rsid w:val="005954E0"/>
    <w:rsid w:val="005955B2"/>
    <w:rsid w:val="00595E07"/>
    <w:rsid w:val="0059656A"/>
    <w:rsid w:val="0059686F"/>
    <w:rsid w:val="00596A83"/>
    <w:rsid w:val="005972C3"/>
    <w:rsid w:val="005972E3"/>
    <w:rsid w:val="00597671"/>
    <w:rsid w:val="005977E9"/>
    <w:rsid w:val="00597A32"/>
    <w:rsid w:val="00597C7B"/>
    <w:rsid w:val="00597CE7"/>
    <w:rsid w:val="00597CF3"/>
    <w:rsid w:val="00597DB5"/>
    <w:rsid w:val="00597DEE"/>
    <w:rsid w:val="005A04FA"/>
    <w:rsid w:val="005A05DB"/>
    <w:rsid w:val="005A0834"/>
    <w:rsid w:val="005A092B"/>
    <w:rsid w:val="005A11F0"/>
    <w:rsid w:val="005A1562"/>
    <w:rsid w:val="005A166F"/>
    <w:rsid w:val="005A1753"/>
    <w:rsid w:val="005A17C6"/>
    <w:rsid w:val="005A18DE"/>
    <w:rsid w:val="005A1D31"/>
    <w:rsid w:val="005A1E9C"/>
    <w:rsid w:val="005A2259"/>
    <w:rsid w:val="005A262E"/>
    <w:rsid w:val="005A2B8C"/>
    <w:rsid w:val="005A2E77"/>
    <w:rsid w:val="005A304C"/>
    <w:rsid w:val="005A309F"/>
    <w:rsid w:val="005A326A"/>
    <w:rsid w:val="005A3778"/>
    <w:rsid w:val="005A3A85"/>
    <w:rsid w:val="005A4252"/>
    <w:rsid w:val="005A4A81"/>
    <w:rsid w:val="005A4D49"/>
    <w:rsid w:val="005A4DFE"/>
    <w:rsid w:val="005A4EE3"/>
    <w:rsid w:val="005A521F"/>
    <w:rsid w:val="005A5486"/>
    <w:rsid w:val="005A5613"/>
    <w:rsid w:val="005A5D4C"/>
    <w:rsid w:val="005A5E04"/>
    <w:rsid w:val="005A5EB2"/>
    <w:rsid w:val="005A6025"/>
    <w:rsid w:val="005A64ED"/>
    <w:rsid w:val="005A6795"/>
    <w:rsid w:val="005A68D6"/>
    <w:rsid w:val="005A6A0C"/>
    <w:rsid w:val="005A6CA2"/>
    <w:rsid w:val="005A6E67"/>
    <w:rsid w:val="005A6F7E"/>
    <w:rsid w:val="005A71FB"/>
    <w:rsid w:val="005A73C8"/>
    <w:rsid w:val="005A759B"/>
    <w:rsid w:val="005A7A0B"/>
    <w:rsid w:val="005A7BF0"/>
    <w:rsid w:val="005B03B4"/>
    <w:rsid w:val="005B0457"/>
    <w:rsid w:val="005B04B6"/>
    <w:rsid w:val="005B054C"/>
    <w:rsid w:val="005B0623"/>
    <w:rsid w:val="005B06BB"/>
    <w:rsid w:val="005B0A82"/>
    <w:rsid w:val="005B0EBA"/>
    <w:rsid w:val="005B0F45"/>
    <w:rsid w:val="005B1011"/>
    <w:rsid w:val="005B1542"/>
    <w:rsid w:val="005B15A1"/>
    <w:rsid w:val="005B174E"/>
    <w:rsid w:val="005B1E09"/>
    <w:rsid w:val="005B1F05"/>
    <w:rsid w:val="005B1F0C"/>
    <w:rsid w:val="005B1F56"/>
    <w:rsid w:val="005B2376"/>
    <w:rsid w:val="005B240A"/>
    <w:rsid w:val="005B275C"/>
    <w:rsid w:val="005B2864"/>
    <w:rsid w:val="005B292B"/>
    <w:rsid w:val="005B29B9"/>
    <w:rsid w:val="005B2A51"/>
    <w:rsid w:val="005B3103"/>
    <w:rsid w:val="005B371D"/>
    <w:rsid w:val="005B38DD"/>
    <w:rsid w:val="005B3B68"/>
    <w:rsid w:val="005B3CA7"/>
    <w:rsid w:val="005B411E"/>
    <w:rsid w:val="005B42D7"/>
    <w:rsid w:val="005B44F3"/>
    <w:rsid w:val="005B48B9"/>
    <w:rsid w:val="005B4C84"/>
    <w:rsid w:val="005B4D58"/>
    <w:rsid w:val="005B50C0"/>
    <w:rsid w:val="005B540B"/>
    <w:rsid w:val="005B54D5"/>
    <w:rsid w:val="005B55CF"/>
    <w:rsid w:val="005B5EE3"/>
    <w:rsid w:val="005B64C8"/>
    <w:rsid w:val="005B6972"/>
    <w:rsid w:val="005B6F99"/>
    <w:rsid w:val="005B7586"/>
    <w:rsid w:val="005B76E8"/>
    <w:rsid w:val="005B7891"/>
    <w:rsid w:val="005C063B"/>
    <w:rsid w:val="005C06E1"/>
    <w:rsid w:val="005C0875"/>
    <w:rsid w:val="005C09F2"/>
    <w:rsid w:val="005C0ACD"/>
    <w:rsid w:val="005C0C7A"/>
    <w:rsid w:val="005C0EA8"/>
    <w:rsid w:val="005C143F"/>
    <w:rsid w:val="005C1503"/>
    <w:rsid w:val="005C1839"/>
    <w:rsid w:val="005C1E80"/>
    <w:rsid w:val="005C2333"/>
    <w:rsid w:val="005C25D3"/>
    <w:rsid w:val="005C260D"/>
    <w:rsid w:val="005C276D"/>
    <w:rsid w:val="005C28A2"/>
    <w:rsid w:val="005C293E"/>
    <w:rsid w:val="005C2AF5"/>
    <w:rsid w:val="005C2E3B"/>
    <w:rsid w:val="005C3C7F"/>
    <w:rsid w:val="005C3CDA"/>
    <w:rsid w:val="005C3CDF"/>
    <w:rsid w:val="005C5342"/>
    <w:rsid w:val="005C58B3"/>
    <w:rsid w:val="005C5B48"/>
    <w:rsid w:val="005C5D96"/>
    <w:rsid w:val="005C60DA"/>
    <w:rsid w:val="005C6828"/>
    <w:rsid w:val="005C6B14"/>
    <w:rsid w:val="005C6FA5"/>
    <w:rsid w:val="005C7063"/>
    <w:rsid w:val="005C74E1"/>
    <w:rsid w:val="005C7D47"/>
    <w:rsid w:val="005C7F48"/>
    <w:rsid w:val="005C7FF5"/>
    <w:rsid w:val="005D0547"/>
    <w:rsid w:val="005D07C5"/>
    <w:rsid w:val="005D08D0"/>
    <w:rsid w:val="005D0CBF"/>
    <w:rsid w:val="005D0D09"/>
    <w:rsid w:val="005D0DB8"/>
    <w:rsid w:val="005D1259"/>
    <w:rsid w:val="005D15ED"/>
    <w:rsid w:val="005D1780"/>
    <w:rsid w:val="005D17ED"/>
    <w:rsid w:val="005D1B0C"/>
    <w:rsid w:val="005D1B7E"/>
    <w:rsid w:val="005D1C03"/>
    <w:rsid w:val="005D1C8F"/>
    <w:rsid w:val="005D1D09"/>
    <w:rsid w:val="005D1F7C"/>
    <w:rsid w:val="005D25A1"/>
    <w:rsid w:val="005D2BEF"/>
    <w:rsid w:val="005D3361"/>
    <w:rsid w:val="005D3398"/>
    <w:rsid w:val="005D386E"/>
    <w:rsid w:val="005D3E6E"/>
    <w:rsid w:val="005D4212"/>
    <w:rsid w:val="005D4393"/>
    <w:rsid w:val="005D45E4"/>
    <w:rsid w:val="005D48AD"/>
    <w:rsid w:val="005D48B4"/>
    <w:rsid w:val="005D4D02"/>
    <w:rsid w:val="005D50D9"/>
    <w:rsid w:val="005D5345"/>
    <w:rsid w:val="005D5672"/>
    <w:rsid w:val="005D5F10"/>
    <w:rsid w:val="005D5FE9"/>
    <w:rsid w:val="005D6283"/>
    <w:rsid w:val="005D6400"/>
    <w:rsid w:val="005D6416"/>
    <w:rsid w:val="005D6441"/>
    <w:rsid w:val="005D6450"/>
    <w:rsid w:val="005D6DE3"/>
    <w:rsid w:val="005D6FC6"/>
    <w:rsid w:val="005D723B"/>
    <w:rsid w:val="005D7572"/>
    <w:rsid w:val="005E0182"/>
    <w:rsid w:val="005E0184"/>
    <w:rsid w:val="005E0437"/>
    <w:rsid w:val="005E07F9"/>
    <w:rsid w:val="005E097A"/>
    <w:rsid w:val="005E09D1"/>
    <w:rsid w:val="005E0A31"/>
    <w:rsid w:val="005E0D3D"/>
    <w:rsid w:val="005E11A4"/>
    <w:rsid w:val="005E1243"/>
    <w:rsid w:val="005E12D7"/>
    <w:rsid w:val="005E15FA"/>
    <w:rsid w:val="005E1780"/>
    <w:rsid w:val="005E1A21"/>
    <w:rsid w:val="005E1ABA"/>
    <w:rsid w:val="005E1EC0"/>
    <w:rsid w:val="005E27A6"/>
    <w:rsid w:val="005E2A98"/>
    <w:rsid w:val="005E3011"/>
    <w:rsid w:val="005E3426"/>
    <w:rsid w:val="005E3459"/>
    <w:rsid w:val="005E3598"/>
    <w:rsid w:val="005E3E71"/>
    <w:rsid w:val="005E3FD4"/>
    <w:rsid w:val="005E4004"/>
    <w:rsid w:val="005E4434"/>
    <w:rsid w:val="005E47CA"/>
    <w:rsid w:val="005E4CB4"/>
    <w:rsid w:val="005E4E46"/>
    <w:rsid w:val="005E50FF"/>
    <w:rsid w:val="005E5111"/>
    <w:rsid w:val="005E5704"/>
    <w:rsid w:val="005E5937"/>
    <w:rsid w:val="005E5955"/>
    <w:rsid w:val="005E5B35"/>
    <w:rsid w:val="005E5DEF"/>
    <w:rsid w:val="005E5F3D"/>
    <w:rsid w:val="005E61CC"/>
    <w:rsid w:val="005E65A1"/>
    <w:rsid w:val="005E660E"/>
    <w:rsid w:val="005E6BDF"/>
    <w:rsid w:val="005E6D65"/>
    <w:rsid w:val="005E6E67"/>
    <w:rsid w:val="005E6E75"/>
    <w:rsid w:val="005E7000"/>
    <w:rsid w:val="005E7590"/>
    <w:rsid w:val="005E76AA"/>
    <w:rsid w:val="005E7810"/>
    <w:rsid w:val="005E79D2"/>
    <w:rsid w:val="005E7C31"/>
    <w:rsid w:val="005E7C4A"/>
    <w:rsid w:val="005E7D72"/>
    <w:rsid w:val="005F0909"/>
    <w:rsid w:val="005F0C5A"/>
    <w:rsid w:val="005F10FF"/>
    <w:rsid w:val="005F1491"/>
    <w:rsid w:val="005F14AB"/>
    <w:rsid w:val="005F1736"/>
    <w:rsid w:val="005F18BA"/>
    <w:rsid w:val="005F18DD"/>
    <w:rsid w:val="005F192C"/>
    <w:rsid w:val="005F1B64"/>
    <w:rsid w:val="005F21B8"/>
    <w:rsid w:val="005F22FB"/>
    <w:rsid w:val="005F2826"/>
    <w:rsid w:val="005F2E35"/>
    <w:rsid w:val="005F39FB"/>
    <w:rsid w:val="005F3B61"/>
    <w:rsid w:val="005F433F"/>
    <w:rsid w:val="005F45BC"/>
    <w:rsid w:val="005F4633"/>
    <w:rsid w:val="005F4ADF"/>
    <w:rsid w:val="005F4EEE"/>
    <w:rsid w:val="005F500B"/>
    <w:rsid w:val="005F5150"/>
    <w:rsid w:val="005F51D8"/>
    <w:rsid w:val="005F5367"/>
    <w:rsid w:val="005F5404"/>
    <w:rsid w:val="005F5965"/>
    <w:rsid w:val="005F5B34"/>
    <w:rsid w:val="005F5C9B"/>
    <w:rsid w:val="005F5D6A"/>
    <w:rsid w:val="005F60C5"/>
    <w:rsid w:val="005F61A9"/>
    <w:rsid w:val="005F6221"/>
    <w:rsid w:val="005F70EC"/>
    <w:rsid w:val="005F784D"/>
    <w:rsid w:val="005F7F69"/>
    <w:rsid w:val="00600555"/>
    <w:rsid w:val="00600767"/>
    <w:rsid w:val="00600964"/>
    <w:rsid w:val="00600CC6"/>
    <w:rsid w:val="00600DC9"/>
    <w:rsid w:val="00600F4C"/>
    <w:rsid w:val="0060125E"/>
    <w:rsid w:val="006014AA"/>
    <w:rsid w:val="00601521"/>
    <w:rsid w:val="0060162D"/>
    <w:rsid w:val="0060173B"/>
    <w:rsid w:val="0060180B"/>
    <w:rsid w:val="0060188C"/>
    <w:rsid w:val="006018C0"/>
    <w:rsid w:val="00601F4F"/>
    <w:rsid w:val="00601FE8"/>
    <w:rsid w:val="006020AE"/>
    <w:rsid w:val="006022BA"/>
    <w:rsid w:val="006024EF"/>
    <w:rsid w:val="006027EE"/>
    <w:rsid w:val="00602F20"/>
    <w:rsid w:val="0060314E"/>
    <w:rsid w:val="0060327C"/>
    <w:rsid w:val="00603319"/>
    <w:rsid w:val="00603506"/>
    <w:rsid w:val="006038B4"/>
    <w:rsid w:val="00603BFF"/>
    <w:rsid w:val="00603F8A"/>
    <w:rsid w:val="00604140"/>
    <w:rsid w:val="0060417A"/>
    <w:rsid w:val="00604785"/>
    <w:rsid w:val="00604AA2"/>
    <w:rsid w:val="00604E7D"/>
    <w:rsid w:val="00604F0A"/>
    <w:rsid w:val="00604F34"/>
    <w:rsid w:val="00605045"/>
    <w:rsid w:val="00605091"/>
    <w:rsid w:val="00605822"/>
    <w:rsid w:val="006058E9"/>
    <w:rsid w:val="00605C50"/>
    <w:rsid w:val="00605F0B"/>
    <w:rsid w:val="0060610F"/>
    <w:rsid w:val="006063F7"/>
    <w:rsid w:val="00606407"/>
    <w:rsid w:val="006066C8"/>
    <w:rsid w:val="00606884"/>
    <w:rsid w:val="00606CEA"/>
    <w:rsid w:val="00606DB0"/>
    <w:rsid w:val="00606E92"/>
    <w:rsid w:val="00607011"/>
    <w:rsid w:val="0060726B"/>
    <w:rsid w:val="00607310"/>
    <w:rsid w:val="00607402"/>
    <w:rsid w:val="00607425"/>
    <w:rsid w:val="00607DF2"/>
    <w:rsid w:val="00607F29"/>
    <w:rsid w:val="00610169"/>
    <w:rsid w:val="006101BD"/>
    <w:rsid w:val="006108D1"/>
    <w:rsid w:val="00610A9A"/>
    <w:rsid w:val="00610CD3"/>
    <w:rsid w:val="00610CE2"/>
    <w:rsid w:val="00610FC4"/>
    <w:rsid w:val="006110AD"/>
    <w:rsid w:val="006111B8"/>
    <w:rsid w:val="00611437"/>
    <w:rsid w:val="006114BF"/>
    <w:rsid w:val="006114C2"/>
    <w:rsid w:val="00611C98"/>
    <w:rsid w:val="00611F17"/>
    <w:rsid w:val="006120FA"/>
    <w:rsid w:val="00612109"/>
    <w:rsid w:val="00612135"/>
    <w:rsid w:val="00612295"/>
    <w:rsid w:val="00612413"/>
    <w:rsid w:val="00612483"/>
    <w:rsid w:val="0061274A"/>
    <w:rsid w:val="00612BEE"/>
    <w:rsid w:val="00612C40"/>
    <w:rsid w:val="00612E46"/>
    <w:rsid w:val="00613061"/>
    <w:rsid w:val="00613221"/>
    <w:rsid w:val="0061384B"/>
    <w:rsid w:val="00613959"/>
    <w:rsid w:val="00613A05"/>
    <w:rsid w:val="00613B23"/>
    <w:rsid w:val="00613DBC"/>
    <w:rsid w:val="0061401C"/>
    <w:rsid w:val="00614297"/>
    <w:rsid w:val="006143E5"/>
    <w:rsid w:val="006147B1"/>
    <w:rsid w:val="00614938"/>
    <w:rsid w:val="00614BFE"/>
    <w:rsid w:val="00615CCA"/>
    <w:rsid w:val="00616014"/>
    <w:rsid w:val="0061657E"/>
    <w:rsid w:val="006167FF"/>
    <w:rsid w:val="00616CD7"/>
    <w:rsid w:val="00616D07"/>
    <w:rsid w:val="0061754D"/>
    <w:rsid w:val="00617CEF"/>
    <w:rsid w:val="00617E37"/>
    <w:rsid w:val="00620045"/>
    <w:rsid w:val="00620061"/>
    <w:rsid w:val="00620097"/>
    <w:rsid w:val="006205D6"/>
    <w:rsid w:val="006206DC"/>
    <w:rsid w:val="006208D5"/>
    <w:rsid w:val="00620C13"/>
    <w:rsid w:val="00620D13"/>
    <w:rsid w:val="00621308"/>
    <w:rsid w:val="0062132F"/>
    <w:rsid w:val="00621441"/>
    <w:rsid w:val="00621585"/>
    <w:rsid w:val="00621B0C"/>
    <w:rsid w:val="00621CA7"/>
    <w:rsid w:val="00621CCD"/>
    <w:rsid w:val="00621FC1"/>
    <w:rsid w:val="00622576"/>
    <w:rsid w:val="006226B8"/>
    <w:rsid w:val="00622E96"/>
    <w:rsid w:val="00622FA8"/>
    <w:rsid w:val="00623386"/>
    <w:rsid w:val="006234AA"/>
    <w:rsid w:val="006239A7"/>
    <w:rsid w:val="00623A00"/>
    <w:rsid w:val="00623A3E"/>
    <w:rsid w:val="00623D29"/>
    <w:rsid w:val="00623ED7"/>
    <w:rsid w:val="0062449C"/>
    <w:rsid w:val="0062481C"/>
    <w:rsid w:val="00624A53"/>
    <w:rsid w:val="00624ECA"/>
    <w:rsid w:val="00625533"/>
    <w:rsid w:val="00625787"/>
    <w:rsid w:val="00625EC9"/>
    <w:rsid w:val="00625F94"/>
    <w:rsid w:val="006260DB"/>
    <w:rsid w:val="006261AF"/>
    <w:rsid w:val="006265DD"/>
    <w:rsid w:val="006265FE"/>
    <w:rsid w:val="00626C29"/>
    <w:rsid w:val="00626CC2"/>
    <w:rsid w:val="00626CE2"/>
    <w:rsid w:val="00626D64"/>
    <w:rsid w:val="00626E73"/>
    <w:rsid w:val="0062717C"/>
    <w:rsid w:val="006276E0"/>
    <w:rsid w:val="0062770B"/>
    <w:rsid w:val="00627793"/>
    <w:rsid w:val="00627ACD"/>
    <w:rsid w:val="00627CE2"/>
    <w:rsid w:val="00627CEA"/>
    <w:rsid w:val="00627D66"/>
    <w:rsid w:val="00627D74"/>
    <w:rsid w:val="00627DE2"/>
    <w:rsid w:val="00627E22"/>
    <w:rsid w:val="00630466"/>
    <w:rsid w:val="006309D5"/>
    <w:rsid w:val="00631103"/>
    <w:rsid w:val="0063111A"/>
    <w:rsid w:val="00631178"/>
    <w:rsid w:val="0063134D"/>
    <w:rsid w:val="006313C0"/>
    <w:rsid w:val="00631E11"/>
    <w:rsid w:val="00631F3D"/>
    <w:rsid w:val="00632135"/>
    <w:rsid w:val="00632253"/>
    <w:rsid w:val="006322C2"/>
    <w:rsid w:val="0063293A"/>
    <w:rsid w:val="00632ABA"/>
    <w:rsid w:val="00632B37"/>
    <w:rsid w:val="006333CA"/>
    <w:rsid w:val="00633419"/>
    <w:rsid w:val="006338FA"/>
    <w:rsid w:val="00633992"/>
    <w:rsid w:val="00633AAE"/>
    <w:rsid w:val="00633D2C"/>
    <w:rsid w:val="00633D50"/>
    <w:rsid w:val="00634125"/>
    <w:rsid w:val="0063427B"/>
    <w:rsid w:val="0063459D"/>
    <w:rsid w:val="006347A2"/>
    <w:rsid w:val="00634873"/>
    <w:rsid w:val="00634AF8"/>
    <w:rsid w:val="00634D58"/>
    <w:rsid w:val="00634F92"/>
    <w:rsid w:val="0063502B"/>
    <w:rsid w:val="0063517F"/>
    <w:rsid w:val="006352D9"/>
    <w:rsid w:val="0063534D"/>
    <w:rsid w:val="00635555"/>
    <w:rsid w:val="006355F4"/>
    <w:rsid w:val="0063568C"/>
    <w:rsid w:val="00635D41"/>
    <w:rsid w:val="006365C1"/>
    <w:rsid w:val="00636771"/>
    <w:rsid w:val="00636ABB"/>
    <w:rsid w:val="00636F53"/>
    <w:rsid w:val="006379F3"/>
    <w:rsid w:val="00637A92"/>
    <w:rsid w:val="00637E6A"/>
    <w:rsid w:val="006406B7"/>
    <w:rsid w:val="006406EF"/>
    <w:rsid w:val="00640897"/>
    <w:rsid w:val="006409F6"/>
    <w:rsid w:val="00640D15"/>
    <w:rsid w:val="00640DAA"/>
    <w:rsid w:val="00640EE2"/>
    <w:rsid w:val="00641230"/>
    <w:rsid w:val="006415D5"/>
    <w:rsid w:val="00641BF6"/>
    <w:rsid w:val="00641CF6"/>
    <w:rsid w:val="00641EE7"/>
    <w:rsid w:val="0064230A"/>
    <w:rsid w:val="00642992"/>
    <w:rsid w:val="00642E27"/>
    <w:rsid w:val="00643170"/>
    <w:rsid w:val="00643440"/>
    <w:rsid w:val="006435F2"/>
    <w:rsid w:val="006439D3"/>
    <w:rsid w:val="006439ED"/>
    <w:rsid w:val="006439F4"/>
    <w:rsid w:val="00643ACE"/>
    <w:rsid w:val="00643CAB"/>
    <w:rsid w:val="0064455A"/>
    <w:rsid w:val="00644693"/>
    <w:rsid w:val="00644880"/>
    <w:rsid w:val="00644979"/>
    <w:rsid w:val="006449F2"/>
    <w:rsid w:val="00644B4C"/>
    <w:rsid w:val="00644F98"/>
    <w:rsid w:val="0064517D"/>
    <w:rsid w:val="006452A8"/>
    <w:rsid w:val="0064575E"/>
    <w:rsid w:val="00645BBE"/>
    <w:rsid w:val="00645C41"/>
    <w:rsid w:val="00645C82"/>
    <w:rsid w:val="00645E73"/>
    <w:rsid w:val="00646078"/>
    <w:rsid w:val="00646129"/>
    <w:rsid w:val="006461D1"/>
    <w:rsid w:val="006463E2"/>
    <w:rsid w:val="00646503"/>
    <w:rsid w:val="00646E0B"/>
    <w:rsid w:val="00646E42"/>
    <w:rsid w:val="00647982"/>
    <w:rsid w:val="0064798C"/>
    <w:rsid w:val="00647D1E"/>
    <w:rsid w:val="00647D29"/>
    <w:rsid w:val="00647FEB"/>
    <w:rsid w:val="006502E4"/>
    <w:rsid w:val="00650315"/>
    <w:rsid w:val="00650428"/>
    <w:rsid w:val="0065074F"/>
    <w:rsid w:val="00650815"/>
    <w:rsid w:val="00650869"/>
    <w:rsid w:val="00650F33"/>
    <w:rsid w:val="006511B5"/>
    <w:rsid w:val="0065137B"/>
    <w:rsid w:val="006514FD"/>
    <w:rsid w:val="00651703"/>
    <w:rsid w:val="00651754"/>
    <w:rsid w:val="006518EF"/>
    <w:rsid w:val="006519F7"/>
    <w:rsid w:val="00651A4D"/>
    <w:rsid w:val="00651B65"/>
    <w:rsid w:val="00651FE2"/>
    <w:rsid w:val="00651FF7"/>
    <w:rsid w:val="006522BF"/>
    <w:rsid w:val="00652342"/>
    <w:rsid w:val="006528BC"/>
    <w:rsid w:val="00652B65"/>
    <w:rsid w:val="00652C1C"/>
    <w:rsid w:val="00653037"/>
    <w:rsid w:val="006532EE"/>
    <w:rsid w:val="0065334C"/>
    <w:rsid w:val="00653612"/>
    <w:rsid w:val="00653A2F"/>
    <w:rsid w:val="00653AA6"/>
    <w:rsid w:val="006545B1"/>
    <w:rsid w:val="006548B1"/>
    <w:rsid w:val="00654DE5"/>
    <w:rsid w:val="006553B6"/>
    <w:rsid w:val="006555FA"/>
    <w:rsid w:val="006556AE"/>
    <w:rsid w:val="006558C1"/>
    <w:rsid w:val="00655F00"/>
    <w:rsid w:val="00655F07"/>
    <w:rsid w:val="00655FF8"/>
    <w:rsid w:val="0065608C"/>
    <w:rsid w:val="0065611F"/>
    <w:rsid w:val="0065617A"/>
    <w:rsid w:val="00656603"/>
    <w:rsid w:val="0065677E"/>
    <w:rsid w:val="00656B60"/>
    <w:rsid w:val="00656BA0"/>
    <w:rsid w:val="00657481"/>
    <w:rsid w:val="006574AC"/>
    <w:rsid w:val="00657650"/>
    <w:rsid w:val="006576C3"/>
    <w:rsid w:val="006577BE"/>
    <w:rsid w:val="00657A0E"/>
    <w:rsid w:val="00657CD8"/>
    <w:rsid w:val="00660004"/>
    <w:rsid w:val="00660057"/>
    <w:rsid w:val="00660206"/>
    <w:rsid w:val="0066058C"/>
    <w:rsid w:val="00660A42"/>
    <w:rsid w:val="00660E33"/>
    <w:rsid w:val="00660FDB"/>
    <w:rsid w:val="006611D1"/>
    <w:rsid w:val="006612A6"/>
    <w:rsid w:val="006614ED"/>
    <w:rsid w:val="0066154F"/>
    <w:rsid w:val="00661557"/>
    <w:rsid w:val="006618F6"/>
    <w:rsid w:val="00661CC9"/>
    <w:rsid w:val="00661F6C"/>
    <w:rsid w:val="0066205A"/>
    <w:rsid w:val="006620D7"/>
    <w:rsid w:val="006620E9"/>
    <w:rsid w:val="0066224C"/>
    <w:rsid w:val="006627FB"/>
    <w:rsid w:val="00662A05"/>
    <w:rsid w:val="00662D3E"/>
    <w:rsid w:val="00663357"/>
    <w:rsid w:val="00663447"/>
    <w:rsid w:val="00663648"/>
    <w:rsid w:val="00663660"/>
    <w:rsid w:val="00663AB1"/>
    <w:rsid w:val="00663ACE"/>
    <w:rsid w:val="00663F2C"/>
    <w:rsid w:val="00663F8C"/>
    <w:rsid w:val="006640C1"/>
    <w:rsid w:val="0066425C"/>
    <w:rsid w:val="0066431C"/>
    <w:rsid w:val="006643ED"/>
    <w:rsid w:val="0066441D"/>
    <w:rsid w:val="006644EB"/>
    <w:rsid w:val="00664958"/>
    <w:rsid w:val="006649BD"/>
    <w:rsid w:val="00664E14"/>
    <w:rsid w:val="00664F58"/>
    <w:rsid w:val="00665225"/>
    <w:rsid w:val="006656AD"/>
    <w:rsid w:val="0066572F"/>
    <w:rsid w:val="00665808"/>
    <w:rsid w:val="0066588C"/>
    <w:rsid w:val="00665E14"/>
    <w:rsid w:val="00666985"/>
    <w:rsid w:val="00666FDE"/>
    <w:rsid w:val="0067061B"/>
    <w:rsid w:val="00670750"/>
    <w:rsid w:val="00670D59"/>
    <w:rsid w:val="00671984"/>
    <w:rsid w:val="00671AB8"/>
    <w:rsid w:val="00671C58"/>
    <w:rsid w:val="00671DDB"/>
    <w:rsid w:val="00671E94"/>
    <w:rsid w:val="00671F1A"/>
    <w:rsid w:val="00671F7F"/>
    <w:rsid w:val="006721EF"/>
    <w:rsid w:val="0067252B"/>
    <w:rsid w:val="00672760"/>
    <w:rsid w:val="006727F2"/>
    <w:rsid w:val="00672860"/>
    <w:rsid w:val="00672AC6"/>
    <w:rsid w:val="00672BF8"/>
    <w:rsid w:val="00672CAE"/>
    <w:rsid w:val="00672CB6"/>
    <w:rsid w:val="00672DB8"/>
    <w:rsid w:val="0067308F"/>
    <w:rsid w:val="00673366"/>
    <w:rsid w:val="00673409"/>
    <w:rsid w:val="0067344F"/>
    <w:rsid w:val="00673468"/>
    <w:rsid w:val="0067377A"/>
    <w:rsid w:val="00673C34"/>
    <w:rsid w:val="00673EB8"/>
    <w:rsid w:val="006740D7"/>
    <w:rsid w:val="0067415B"/>
    <w:rsid w:val="006741DC"/>
    <w:rsid w:val="00674335"/>
    <w:rsid w:val="00674771"/>
    <w:rsid w:val="00674BAD"/>
    <w:rsid w:val="00674BB9"/>
    <w:rsid w:val="00674E3A"/>
    <w:rsid w:val="00674F56"/>
    <w:rsid w:val="0067502A"/>
    <w:rsid w:val="0067507F"/>
    <w:rsid w:val="00675298"/>
    <w:rsid w:val="00675372"/>
    <w:rsid w:val="0067581E"/>
    <w:rsid w:val="00675D43"/>
    <w:rsid w:val="00675E10"/>
    <w:rsid w:val="00676560"/>
    <w:rsid w:val="00676873"/>
    <w:rsid w:val="00676914"/>
    <w:rsid w:val="00676C0B"/>
    <w:rsid w:val="00676D4B"/>
    <w:rsid w:val="00676E50"/>
    <w:rsid w:val="00676E5C"/>
    <w:rsid w:val="00677320"/>
    <w:rsid w:val="0067748D"/>
    <w:rsid w:val="00677493"/>
    <w:rsid w:val="0067761A"/>
    <w:rsid w:val="00677A0C"/>
    <w:rsid w:val="00677D90"/>
    <w:rsid w:val="00677DB8"/>
    <w:rsid w:val="00680010"/>
    <w:rsid w:val="00680050"/>
    <w:rsid w:val="00680362"/>
    <w:rsid w:val="006804F7"/>
    <w:rsid w:val="00680625"/>
    <w:rsid w:val="00680A8B"/>
    <w:rsid w:val="00680B54"/>
    <w:rsid w:val="00680C53"/>
    <w:rsid w:val="00680C5C"/>
    <w:rsid w:val="00680CA0"/>
    <w:rsid w:val="00680F88"/>
    <w:rsid w:val="00681164"/>
    <w:rsid w:val="0068116C"/>
    <w:rsid w:val="00681202"/>
    <w:rsid w:val="00681593"/>
    <w:rsid w:val="00681751"/>
    <w:rsid w:val="006818AE"/>
    <w:rsid w:val="00681B00"/>
    <w:rsid w:val="00681CBE"/>
    <w:rsid w:val="00681EC8"/>
    <w:rsid w:val="00681F31"/>
    <w:rsid w:val="00682518"/>
    <w:rsid w:val="00682885"/>
    <w:rsid w:val="00682892"/>
    <w:rsid w:val="00682947"/>
    <w:rsid w:val="00682950"/>
    <w:rsid w:val="00682B0A"/>
    <w:rsid w:val="0068308D"/>
    <w:rsid w:val="00683331"/>
    <w:rsid w:val="006833B7"/>
    <w:rsid w:val="00683592"/>
    <w:rsid w:val="0068366E"/>
    <w:rsid w:val="006838B1"/>
    <w:rsid w:val="0068395B"/>
    <w:rsid w:val="00683AA3"/>
    <w:rsid w:val="00683BCC"/>
    <w:rsid w:val="00684094"/>
    <w:rsid w:val="00684113"/>
    <w:rsid w:val="00684184"/>
    <w:rsid w:val="006841C0"/>
    <w:rsid w:val="00684437"/>
    <w:rsid w:val="006844F2"/>
    <w:rsid w:val="0068473D"/>
    <w:rsid w:val="006847F0"/>
    <w:rsid w:val="006848D4"/>
    <w:rsid w:val="00684AD5"/>
    <w:rsid w:val="00684BAE"/>
    <w:rsid w:val="00685312"/>
    <w:rsid w:val="00685392"/>
    <w:rsid w:val="00685482"/>
    <w:rsid w:val="00685487"/>
    <w:rsid w:val="00685BD6"/>
    <w:rsid w:val="00685D6B"/>
    <w:rsid w:val="00685ECD"/>
    <w:rsid w:val="00686679"/>
    <w:rsid w:val="006868C3"/>
    <w:rsid w:val="006868EC"/>
    <w:rsid w:val="00686AA9"/>
    <w:rsid w:val="00686E74"/>
    <w:rsid w:val="00686ED6"/>
    <w:rsid w:val="006870BC"/>
    <w:rsid w:val="006874E6"/>
    <w:rsid w:val="0068751A"/>
    <w:rsid w:val="00687655"/>
    <w:rsid w:val="00687E50"/>
    <w:rsid w:val="006906B9"/>
    <w:rsid w:val="00690BC8"/>
    <w:rsid w:val="00690CBE"/>
    <w:rsid w:val="00690E93"/>
    <w:rsid w:val="00691426"/>
    <w:rsid w:val="006917B8"/>
    <w:rsid w:val="00691C17"/>
    <w:rsid w:val="0069201C"/>
    <w:rsid w:val="006920A4"/>
    <w:rsid w:val="0069272A"/>
    <w:rsid w:val="00692ACB"/>
    <w:rsid w:val="00692D93"/>
    <w:rsid w:val="006934B3"/>
    <w:rsid w:val="0069366E"/>
    <w:rsid w:val="00693768"/>
    <w:rsid w:val="00693913"/>
    <w:rsid w:val="00693B9B"/>
    <w:rsid w:val="00693C63"/>
    <w:rsid w:val="00693E81"/>
    <w:rsid w:val="00694095"/>
    <w:rsid w:val="006943D5"/>
    <w:rsid w:val="006944F0"/>
    <w:rsid w:val="00694659"/>
    <w:rsid w:val="0069471F"/>
    <w:rsid w:val="00694768"/>
    <w:rsid w:val="00694BEA"/>
    <w:rsid w:val="0069510E"/>
    <w:rsid w:val="006951DD"/>
    <w:rsid w:val="00695566"/>
    <w:rsid w:val="00695E9A"/>
    <w:rsid w:val="00696026"/>
    <w:rsid w:val="00696BEF"/>
    <w:rsid w:val="00696D25"/>
    <w:rsid w:val="0069752C"/>
    <w:rsid w:val="006978A7"/>
    <w:rsid w:val="00697AD7"/>
    <w:rsid w:val="00697FD3"/>
    <w:rsid w:val="006A0312"/>
    <w:rsid w:val="006A039C"/>
    <w:rsid w:val="006A03AF"/>
    <w:rsid w:val="006A0706"/>
    <w:rsid w:val="006A073B"/>
    <w:rsid w:val="006A080D"/>
    <w:rsid w:val="006A082C"/>
    <w:rsid w:val="006A0858"/>
    <w:rsid w:val="006A0859"/>
    <w:rsid w:val="006A0AE4"/>
    <w:rsid w:val="006A0D8A"/>
    <w:rsid w:val="006A0EC0"/>
    <w:rsid w:val="006A1001"/>
    <w:rsid w:val="006A1104"/>
    <w:rsid w:val="006A1193"/>
    <w:rsid w:val="006A14B7"/>
    <w:rsid w:val="006A1CA2"/>
    <w:rsid w:val="006A1D17"/>
    <w:rsid w:val="006A1D70"/>
    <w:rsid w:val="006A1EC0"/>
    <w:rsid w:val="006A212A"/>
    <w:rsid w:val="006A2715"/>
    <w:rsid w:val="006A2A19"/>
    <w:rsid w:val="006A316B"/>
    <w:rsid w:val="006A3A42"/>
    <w:rsid w:val="006A3F2E"/>
    <w:rsid w:val="006A42FC"/>
    <w:rsid w:val="006A46DF"/>
    <w:rsid w:val="006A4F9B"/>
    <w:rsid w:val="006A4FE0"/>
    <w:rsid w:val="006A5156"/>
    <w:rsid w:val="006A53F5"/>
    <w:rsid w:val="006A546D"/>
    <w:rsid w:val="006A54AA"/>
    <w:rsid w:val="006A5CC7"/>
    <w:rsid w:val="006A5D14"/>
    <w:rsid w:val="006A6018"/>
    <w:rsid w:val="006A6064"/>
    <w:rsid w:val="006A638E"/>
    <w:rsid w:val="006A6679"/>
    <w:rsid w:val="006A68DE"/>
    <w:rsid w:val="006A695D"/>
    <w:rsid w:val="006A6D20"/>
    <w:rsid w:val="006A6F8B"/>
    <w:rsid w:val="006A7020"/>
    <w:rsid w:val="006A72DC"/>
    <w:rsid w:val="006A773B"/>
    <w:rsid w:val="006A7841"/>
    <w:rsid w:val="006A7925"/>
    <w:rsid w:val="006A7962"/>
    <w:rsid w:val="006B0033"/>
    <w:rsid w:val="006B0199"/>
    <w:rsid w:val="006B0398"/>
    <w:rsid w:val="006B0669"/>
    <w:rsid w:val="006B06F2"/>
    <w:rsid w:val="006B077A"/>
    <w:rsid w:val="006B089C"/>
    <w:rsid w:val="006B0B3F"/>
    <w:rsid w:val="006B0B66"/>
    <w:rsid w:val="006B138B"/>
    <w:rsid w:val="006B1396"/>
    <w:rsid w:val="006B13E9"/>
    <w:rsid w:val="006B157C"/>
    <w:rsid w:val="006B1603"/>
    <w:rsid w:val="006B1917"/>
    <w:rsid w:val="006B1CEA"/>
    <w:rsid w:val="006B20EF"/>
    <w:rsid w:val="006B228E"/>
    <w:rsid w:val="006B254E"/>
    <w:rsid w:val="006B2763"/>
    <w:rsid w:val="006B2991"/>
    <w:rsid w:val="006B2CDA"/>
    <w:rsid w:val="006B2D07"/>
    <w:rsid w:val="006B30A7"/>
    <w:rsid w:val="006B30C0"/>
    <w:rsid w:val="006B3371"/>
    <w:rsid w:val="006B33A2"/>
    <w:rsid w:val="006B35C4"/>
    <w:rsid w:val="006B35D4"/>
    <w:rsid w:val="006B3C73"/>
    <w:rsid w:val="006B41C6"/>
    <w:rsid w:val="006B41D5"/>
    <w:rsid w:val="006B41F1"/>
    <w:rsid w:val="006B41F5"/>
    <w:rsid w:val="006B4791"/>
    <w:rsid w:val="006B4A5E"/>
    <w:rsid w:val="006B4C1B"/>
    <w:rsid w:val="006B4DC0"/>
    <w:rsid w:val="006B4F07"/>
    <w:rsid w:val="006B5222"/>
    <w:rsid w:val="006B5408"/>
    <w:rsid w:val="006B5942"/>
    <w:rsid w:val="006B605C"/>
    <w:rsid w:val="006B607B"/>
    <w:rsid w:val="006B629C"/>
    <w:rsid w:val="006B688D"/>
    <w:rsid w:val="006B69EF"/>
    <w:rsid w:val="006B6DB1"/>
    <w:rsid w:val="006B78AC"/>
    <w:rsid w:val="006B7B54"/>
    <w:rsid w:val="006B7C7F"/>
    <w:rsid w:val="006B7CBF"/>
    <w:rsid w:val="006B7E91"/>
    <w:rsid w:val="006B7F8F"/>
    <w:rsid w:val="006C011E"/>
    <w:rsid w:val="006C028C"/>
    <w:rsid w:val="006C02BF"/>
    <w:rsid w:val="006C042C"/>
    <w:rsid w:val="006C0A18"/>
    <w:rsid w:val="006C11C7"/>
    <w:rsid w:val="006C12EA"/>
    <w:rsid w:val="006C13B8"/>
    <w:rsid w:val="006C1B27"/>
    <w:rsid w:val="006C1C8E"/>
    <w:rsid w:val="006C1DF8"/>
    <w:rsid w:val="006C1E4F"/>
    <w:rsid w:val="006C1F21"/>
    <w:rsid w:val="006C1F72"/>
    <w:rsid w:val="006C2784"/>
    <w:rsid w:val="006C2834"/>
    <w:rsid w:val="006C2930"/>
    <w:rsid w:val="006C296B"/>
    <w:rsid w:val="006C2DCB"/>
    <w:rsid w:val="006C309C"/>
    <w:rsid w:val="006C3706"/>
    <w:rsid w:val="006C37A7"/>
    <w:rsid w:val="006C3C5F"/>
    <w:rsid w:val="006C3E07"/>
    <w:rsid w:val="006C42F5"/>
    <w:rsid w:val="006C4389"/>
    <w:rsid w:val="006C4858"/>
    <w:rsid w:val="006C49F5"/>
    <w:rsid w:val="006C4DC5"/>
    <w:rsid w:val="006C54EC"/>
    <w:rsid w:val="006C59E7"/>
    <w:rsid w:val="006C6068"/>
    <w:rsid w:val="006C6559"/>
    <w:rsid w:val="006C6849"/>
    <w:rsid w:val="006C6C72"/>
    <w:rsid w:val="006C6DED"/>
    <w:rsid w:val="006C6E0F"/>
    <w:rsid w:val="006C70D0"/>
    <w:rsid w:val="006C723D"/>
    <w:rsid w:val="006C78A7"/>
    <w:rsid w:val="006C791E"/>
    <w:rsid w:val="006C7F06"/>
    <w:rsid w:val="006D0207"/>
    <w:rsid w:val="006D056E"/>
    <w:rsid w:val="006D067F"/>
    <w:rsid w:val="006D0893"/>
    <w:rsid w:val="006D0A26"/>
    <w:rsid w:val="006D0AB2"/>
    <w:rsid w:val="006D0CAB"/>
    <w:rsid w:val="006D0F26"/>
    <w:rsid w:val="006D0F42"/>
    <w:rsid w:val="006D0FDF"/>
    <w:rsid w:val="006D1047"/>
    <w:rsid w:val="006D1199"/>
    <w:rsid w:val="006D16B4"/>
    <w:rsid w:val="006D193F"/>
    <w:rsid w:val="006D1BC8"/>
    <w:rsid w:val="006D23C0"/>
    <w:rsid w:val="006D264D"/>
    <w:rsid w:val="006D2755"/>
    <w:rsid w:val="006D28B3"/>
    <w:rsid w:val="006D2C02"/>
    <w:rsid w:val="006D2DA8"/>
    <w:rsid w:val="006D2E50"/>
    <w:rsid w:val="006D2FA5"/>
    <w:rsid w:val="006D3010"/>
    <w:rsid w:val="006D31FC"/>
    <w:rsid w:val="006D373C"/>
    <w:rsid w:val="006D3F44"/>
    <w:rsid w:val="006D43A6"/>
    <w:rsid w:val="006D479E"/>
    <w:rsid w:val="006D48B9"/>
    <w:rsid w:val="006D4B13"/>
    <w:rsid w:val="006D4CFC"/>
    <w:rsid w:val="006D5014"/>
    <w:rsid w:val="006D5214"/>
    <w:rsid w:val="006D52E8"/>
    <w:rsid w:val="006D5629"/>
    <w:rsid w:val="006D57E6"/>
    <w:rsid w:val="006D5918"/>
    <w:rsid w:val="006D5C1B"/>
    <w:rsid w:val="006D5D48"/>
    <w:rsid w:val="006D5DD1"/>
    <w:rsid w:val="006D5E2E"/>
    <w:rsid w:val="006D61AF"/>
    <w:rsid w:val="006D644A"/>
    <w:rsid w:val="006D6569"/>
    <w:rsid w:val="006D6620"/>
    <w:rsid w:val="006D662F"/>
    <w:rsid w:val="006D6750"/>
    <w:rsid w:val="006D6A6F"/>
    <w:rsid w:val="006D6EF9"/>
    <w:rsid w:val="006D7362"/>
    <w:rsid w:val="006D740A"/>
    <w:rsid w:val="006D7527"/>
    <w:rsid w:val="006D76A9"/>
    <w:rsid w:val="006D7CB7"/>
    <w:rsid w:val="006D7F07"/>
    <w:rsid w:val="006D7FC4"/>
    <w:rsid w:val="006E0030"/>
    <w:rsid w:val="006E004C"/>
    <w:rsid w:val="006E02D5"/>
    <w:rsid w:val="006E030C"/>
    <w:rsid w:val="006E0555"/>
    <w:rsid w:val="006E0612"/>
    <w:rsid w:val="006E0AC8"/>
    <w:rsid w:val="006E0B34"/>
    <w:rsid w:val="006E0FD6"/>
    <w:rsid w:val="006E1667"/>
    <w:rsid w:val="006E18F3"/>
    <w:rsid w:val="006E1A9A"/>
    <w:rsid w:val="006E2313"/>
    <w:rsid w:val="006E259D"/>
    <w:rsid w:val="006E264F"/>
    <w:rsid w:val="006E2D33"/>
    <w:rsid w:val="006E30DC"/>
    <w:rsid w:val="006E387C"/>
    <w:rsid w:val="006E398F"/>
    <w:rsid w:val="006E39CF"/>
    <w:rsid w:val="006E3AEF"/>
    <w:rsid w:val="006E3B3D"/>
    <w:rsid w:val="006E3D68"/>
    <w:rsid w:val="006E3DBF"/>
    <w:rsid w:val="006E3E0C"/>
    <w:rsid w:val="006E3F9D"/>
    <w:rsid w:val="006E428F"/>
    <w:rsid w:val="006E491D"/>
    <w:rsid w:val="006E4C1D"/>
    <w:rsid w:val="006E4D6D"/>
    <w:rsid w:val="006E4EA2"/>
    <w:rsid w:val="006E55F3"/>
    <w:rsid w:val="006E5800"/>
    <w:rsid w:val="006E5B91"/>
    <w:rsid w:val="006E5D79"/>
    <w:rsid w:val="006E6119"/>
    <w:rsid w:val="006E61CB"/>
    <w:rsid w:val="006E63D8"/>
    <w:rsid w:val="006E65E0"/>
    <w:rsid w:val="006E668C"/>
    <w:rsid w:val="006E6F67"/>
    <w:rsid w:val="006E6FB2"/>
    <w:rsid w:val="006E72C0"/>
    <w:rsid w:val="006E75C3"/>
    <w:rsid w:val="006F006D"/>
    <w:rsid w:val="006F0091"/>
    <w:rsid w:val="006F0B31"/>
    <w:rsid w:val="006F0B5B"/>
    <w:rsid w:val="006F0BFF"/>
    <w:rsid w:val="006F0C52"/>
    <w:rsid w:val="006F108B"/>
    <w:rsid w:val="006F12E2"/>
    <w:rsid w:val="006F15B9"/>
    <w:rsid w:val="006F1626"/>
    <w:rsid w:val="006F1A05"/>
    <w:rsid w:val="006F1A2F"/>
    <w:rsid w:val="006F1C65"/>
    <w:rsid w:val="006F1F6B"/>
    <w:rsid w:val="006F23F8"/>
    <w:rsid w:val="006F2445"/>
    <w:rsid w:val="006F2448"/>
    <w:rsid w:val="006F2491"/>
    <w:rsid w:val="006F270C"/>
    <w:rsid w:val="006F27E2"/>
    <w:rsid w:val="006F299D"/>
    <w:rsid w:val="006F2A67"/>
    <w:rsid w:val="006F2B7B"/>
    <w:rsid w:val="006F2B97"/>
    <w:rsid w:val="006F2D3F"/>
    <w:rsid w:val="006F2EDE"/>
    <w:rsid w:val="006F2F6C"/>
    <w:rsid w:val="006F303B"/>
    <w:rsid w:val="006F3382"/>
    <w:rsid w:val="006F33EE"/>
    <w:rsid w:val="006F34EB"/>
    <w:rsid w:val="006F3766"/>
    <w:rsid w:val="006F3DD7"/>
    <w:rsid w:val="006F43B2"/>
    <w:rsid w:val="006F450D"/>
    <w:rsid w:val="006F452F"/>
    <w:rsid w:val="006F4582"/>
    <w:rsid w:val="006F49B8"/>
    <w:rsid w:val="006F4C9C"/>
    <w:rsid w:val="006F4F34"/>
    <w:rsid w:val="006F4FEC"/>
    <w:rsid w:val="006F5296"/>
    <w:rsid w:val="006F546B"/>
    <w:rsid w:val="006F5649"/>
    <w:rsid w:val="006F564C"/>
    <w:rsid w:val="006F5B88"/>
    <w:rsid w:val="006F5D5F"/>
    <w:rsid w:val="006F5F97"/>
    <w:rsid w:val="006F606D"/>
    <w:rsid w:val="006F62CD"/>
    <w:rsid w:val="006F640B"/>
    <w:rsid w:val="006F6708"/>
    <w:rsid w:val="006F68F1"/>
    <w:rsid w:val="006F6A1D"/>
    <w:rsid w:val="006F6E06"/>
    <w:rsid w:val="006F73E8"/>
    <w:rsid w:val="00700732"/>
    <w:rsid w:val="00700A50"/>
    <w:rsid w:val="00700A63"/>
    <w:rsid w:val="00700AE9"/>
    <w:rsid w:val="00700E64"/>
    <w:rsid w:val="0070110F"/>
    <w:rsid w:val="007014C1"/>
    <w:rsid w:val="00701554"/>
    <w:rsid w:val="00701574"/>
    <w:rsid w:val="007018AD"/>
    <w:rsid w:val="00701C08"/>
    <w:rsid w:val="00701D68"/>
    <w:rsid w:val="00701E73"/>
    <w:rsid w:val="00701F24"/>
    <w:rsid w:val="00702114"/>
    <w:rsid w:val="0070247A"/>
    <w:rsid w:val="007024E5"/>
    <w:rsid w:val="0070267B"/>
    <w:rsid w:val="00702707"/>
    <w:rsid w:val="00702875"/>
    <w:rsid w:val="00702884"/>
    <w:rsid w:val="00702F58"/>
    <w:rsid w:val="00702FCD"/>
    <w:rsid w:val="00703044"/>
    <w:rsid w:val="0070329C"/>
    <w:rsid w:val="007032D2"/>
    <w:rsid w:val="007034CB"/>
    <w:rsid w:val="00703AB2"/>
    <w:rsid w:val="00703AD6"/>
    <w:rsid w:val="00703E20"/>
    <w:rsid w:val="00703EFE"/>
    <w:rsid w:val="00704196"/>
    <w:rsid w:val="007041B3"/>
    <w:rsid w:val="007042CB"/>
    <w:rsid w:val="00704672"/>
    <w:rsid w:val="00704C1C"/>
    <w:rsid w:val="00704C6A"/>
    <w:rsid w:val="00704EC9"/>
    <w:rsid w:val="00705127"/>
    <w:rsid w:val="00705216"/>
    <w:rsid w:val="007052EE"/>
    <w:rsid w:val="007053E1"/>
    <w:rsid w:val="00705415"/>
    <w:rsid w:val="007055D5"/>
    <w:rsid w:val="00705603"/>
    <w:rsid w:val="00705B5A"/>
    <w:rsid w:val="00705D83"/>
    <w:rsid w:val="00705E27"/>
    <w:rsid w:val="00705EF6"/>
    <w:rsid w:val="007061FC"/>
    <w:rsid w:val="00706288"/>
    <w:rsid w:val="0070656B"/>
    <w:rsid w:val="0070658D"/>
    <w:rsid w:val="00706A53"/>
    <w:rsid w:val="00706D18"/>
    <w:rsid w:val="00706DD2"/>
    <w:rsid w:val="00707139"/>
    <w:rsid w:val="0070735E"/>
    <w:rsid w:val="0070739B"/>
    <w:rsid w:val="007073CF"/>
    <w:rsid w:val="0070771B"/>
    <w:rsid w:val="0070794A"/>
    <w:rsid w:val="00707E1B"/>
    <w:rsid w:val="00710012"/>
    <w:rsid w:val="0071009D"/>
    <w:rsid w:val="007100CD"/>
    <w:rsid w:val="00710303"/>
    <w:rsid w:val="007108AD"/>
    <w:rsid w:val="00710A6C"/>
    <w:rsid w:val="00710B9C"/>
    <w:rsid w:val="00710CB7"/>
    <w:rsid w:val="00711009"/>
    <w:rsid w:val="007113FC"/>
    <w:rsid w:val="00711612"/>
    <w:rsid w:val="00711923"/>
    <w:rsid w:val="00711AD0"/>
    <w:rsid w:val="00711CC1"/>
    <w:rsid w:val="00712140"/>
    <w:rsid w:val="00712145"/>
    <w:rsid w:val="00712238"/>
    <w:rsid w:val="00712330"/>
    <w:rsid w:val="00712587"/>
    <w:rsid w:val="007126DB"/>
    <w:rsid w:val="0071291C"/>
    <w:rsid w:val="0071291D"/>
    <w:rsid w:val="00712AF2"/>
    <w:rsid w:val="00713607"/>
    <w:rsid w:val="00713616"/>
    <w:rsid w:val="007137BD"/>
    <w:rsid w:val="00713BDE"/>
    <w:rsid w:val="00713CEF"/>
    <w:rsid w:val="00713E7A"/>
    <w:rsid w:val="00713E7B"/>
    <w:rsid w:val="00713F26"/>
    <w:rsid w:val="00713FFB"/>
    <w:rsid w:val="0071404E"/>
    <w:rsid w:val="007141D1"/>
    <w:rsid w:val="00714248"/>
    <w:rsid w:val="0071466E"/>
    <w:rsid w:val="0071490C"/>
    <w:rsid w:val="00714CA4"/>
    <w:rsid w:val="00714D46"/>
    <w:rsid w:val="00714E61"/>
    <w:rsid w:val="0071508B"/>
    <w:rsid w:val="007150EA"/>
    <w:rsid w:val="00715877"/>
    <w:rsid w:val="00715CC7"/>
    <w:rsid w:val="00716281"/>
    <w:rsid w:val="00716D7C"/>
    <w:rsid w:val="00716EDB"/>
    <w:rsid w:val="00716F98"/>
    <w:rsid w:val="00716FD4"/>
    <w:rsid w:val="0071701A"/>
    <w:rsid w:val="007173F7"/>
    <w:rsid w:val="007174ED"/>
    <w:rsid w:val="00717A3B"/>
    <w:rsid w:val="00717FC7"/>
    <w:rsid w:val="00717FD2"/>
    <w:rsid w:val="00720045"/>
    <w:rsid w:val="0072018F"/>
    <w:rsid w:val="00720516"/>
    <w:rsid w:val="007206A0"/>
    <w:rsid w:val="0072071C"/>
    <w:rsid w:val="00720913"/>
    <w:rsid w:val="00720C79"/>
    <w:rsid w:val="00720DD2"/>
    <w:rsid w:val="00720DEE"/>
    <w:rsid w:val="00720E1F"/>
    <w:rsid w:val="007211F8"/>
    <w:rsid w:val="00721722"/>
    <w:rsid w:val="00721AD8"/>
    <w:rsid w:val="00721D62"/>
    <w:rsid w:val="00721EBE"/>
    <w:rsid w:val="00721FDB"/>
    <w:rsid w:val="0072220E"/>
    <w:rsid w:val="007222B3"/>
    <w:rsid w:val="00722431"/>
    <w:rsid w:val="0072291C"/>
    <w:rsid w:val="00722B51"/>
    <w:rsid w:val="00722C69"/>
    <w:rsid w:val="00722E2D"/>
    <w:rsid w:val="00723494"/>
    <w:rsid w:val="00723E7D"/>
    <w:rsid w:val="00724971"/>
    <w:rsid w:val="00724AD0"/>
    <w:rsid w:val="00724EAA"/>
    <w:rsid w:val="0072520A"/>
    <w:rsid w:val="0072554F"/>
    <w:rsid w:val="00725BB6"/>
    <w:rsid w:val="00725BC6"/>
    <w:rsid w:val="00725F6E"/>
    <w:rsid w:val="007261B0"/>
    <w:rsid w:val="00726307"/>
    <w:rsid w:val="007263E4"/>
    <w:rsid w:val="0072661F"/>
    <w:rsid w:val="0072697A"/>
    <w:rsid w:val="00726B63"/>
    <w:rsid w:val="00726BD8"/>
    <w:rsid w:val="00726D56"/>
    <w:rsid w:val="00727037"/>
    <w:rsid w:val="007272AA"/>
    <w:rsid w:val="00727404"/>
    <w:rsid w:val="00727549"/>
    <w:rsid w:val="0072770C"/>
    <w:rsid w:val="00727AC4"/>
    <w:rsid w:val="00727B62"/>
    <w:rsid w:val="00727ED8"/>
    <w:rsid w:val="00730109"/>
    <w:rsid w:val="007302B8"/>
    <w:rsid w:val="007302F1"/>
    <w:rsid w:val="0073075A"/>
    <w:rsid w:val="00730ABD"/>
    <w:rsid w:val="00730C63"/>
    <w:rsid w:val="00730CBF"/>
    <w:rsid w:val="00730D1F"/>
    <w:rsid w:val="00730E1D"/>
    <w:rsid w:val="00731460"/>
    <w:rsid w:val="00731705"/>
    <w:rsid w:val="007318D1"/>
    <w:rsid w:val="007319F0"/>
    <w:rsid w:val="00731C02"/>
    <w:rsid w:val="00731CE9"/>
    <w:rsid w:val="00732BB6"/>
    <w:rsid w:val="00732BF5"/>
    <w:rsid w:val="00732CD0"/>
    <w:rsid w:val="00732E42"/>
    <w:rsid w:val="00732ED0"/>
    <w:rsid w:val="00733161"/>
    <w:rsid w:val="007332FE"/>
    <w:rsid w:val="0073336D"/>
    <w:rsid w:val="00733694"/>
    <w:rsid w:val="00733735"/>
    <w:rsid w:val="0073391E"/>
    <w:rsid w:val="00733CF8"/>
    <w:rsid w:val="00733FD8"/>
    <w:rsid w:val="00733FF4"/>
    <w:rsid w:val="007343F2"/>
    <w:rsid w:val="007344BA"/>
    <w:rsid w:val="0073451C"/>
    <w:rsid w:val="00734580"/>
    <w:rsid w:val="00734678"/>
    <w:rsid w:val="00734754"/>
    <w:rsid w:val="00734773"/>
    <w:rsid w:val="00734A0F"/>
    <w:rsid w:val="00734BB9"/>
    <w:rsid w:val="00734C66"/>
    <w:rsid w:val="00734C74"/>
    <w:rsid w:val="00735262"/>
    <w:rsid w:val="007353C7"/>
    <w:rsid w:val="007355FD"/>
    <w:rsid w:val="00735AB7"/>
    <w:rsid w:val="00735C20"/>
    <w:rsid w:val="00735CE0"/>
    <w:rsid w:val="00735FE9"/>
    <w:rsid w:val="0073615E"/>
    <w:rsid w:val="0073616A"/>
    <w:rsid w:val="0073624B"/>
    <w:rsid w:val="007362D4"/>
    <w:rsid w:val="007363BD"/>
    <w:rsid w:val="00736512"/>
    <w:rsid w:val="007365FE"/>
    <w:rsid w:val="00736644"/>
    <w:rsid w:val="00736CDB"/>
    <w:rsid w:val="007370B1"/>
    <w:rsid w:val="00737474"/>
    <w:rsid w:val="007376BE"/>
    <w:rsid w:val="00737715"/>
    <w:rsid w:val="00737767"/>
    <w:rsid w:val="00737ED2"/>
    <w:rsid w:val="0074009B"/>
    <w:rsid w:val="007404D5"/>
    <w:rsid w:val="0074062A"/>
    <w:rsid w:val="007406E6"/>
    <w:rsid w:val="00740A17"/>
    <w:rsid w:val="00740B40"/>
    <w:rsid w:val="00740BDD"/>
    <w:rsid w:val="00740D37"/>
    <w:rsid w:val="00741498"/>
    <w:rsid w:val="00741B39"/>
    <w:rsid w:val="00742284"/>
    <w:rsid w:val="00742529"/>
    <w:rsid w:val="00742765"/>
    <w:rsid w:val="007427B8"/>
    <w:rsid w:val="00742A83"/>
    <w:rsid w:val="00742AC3"/>
    <w:rsid w:val="00742B57"/>
    <w:rsid w:val="00743282"/>
    <w:rsid w:val="007433BB"/>
    <w:rsid w:val="0074357E"/>
    <w:rsid w:val="00743588"/>
    <w:rsid w:val="00743628"/>
    <w:rsid w:val="00743732"/>
    <w:rsid w:val="0074380A"/>
    <w:rsid w:val="00743C7A"/>
    <w:rsid w:val="007441FD"/>
    <w:rsid w:val="00744409"/>
    <w:rsid w:val="007446C2"/>
    <w:rsid w:val="0074471B"/>
    <w:rsid w:val="0074478C"/>
    <w:rsid w:val="00744BBF"/>
    <w:rsid w:val="00744C1D"/>
    <w:rsid w:val="00744ED2"/>
    <w:rsid w:val="00744F82"/>
    <w:rsid w:val="00745DBE"/>
    <w:rsid w:val="007460EA"/>
    <w:rsid w:val="00746302"/>
    <w:rsid w:val="00746CB4"/>
    <w:rsid w:val="00746ED1"/>
    <w:rsid w:val="00747B2D"/>
    <w:rsid w:val="00747E94"/>
    <w:rsid w:val="00747EBD"/>
    <w:rsid w:val="00750139"/>
    <w:rsid w:val="00750498"/>
    <w:rsid w:val="00750816"/>
    <w:rsid w:val="00750B7D"/>
    <w:rsid w:val="00750FE9"/>
    <w:rsid w:val="0075145E"/>
    <w:rsid w:val="007515FB"/>
    <w:rsid w:val="00751612"/>
    <w:rsid w:val="007516D9"/>
    <w:rsid w:val="007517D0"/>
    <w:rsid w:val="00751863"/>
    <w:rsid w:val="00751A46"/>
    <w:rsid w:val="00751E96"/>
    <w:rsid w:val="00751EC5"/>
    <w:rsid w:val="00752107"/>
    <w:rsid w:val="007521D2"/>
    <w:rsid w:val="007523D4"/>
    <w:rsid w:val="0075252B"/>
    <w:rsid w:val="0075262B"/>
    <w:rsid w:val="00752941"/>
    <w:rsid w:val="00752CDC"/>
    <w:rsid w:val="007531B9"/>
    <w:rsid w:val="0075332D"/>
    <w:rsid w:val="00753474"/>
    <w:rsid w:val="0075376D"/>
    <w:rsid w:val="00753D66"/>
    <w:rsid w:val="00753F02"/>
    <w:rsid w:val="00754014"/>
    <w:rsid w:val="00754103"/>
    <w:rsid w:val="00754137"/>
    <w:rsid w:val="00754249"/>
    <w:rsid w:val="00754559"/>
    <w:rsid w:val="007545C5"/>
    <w:rsid w:val="007553AB"/>
    <w:rsid w:val="00755829"/>
    <w:rsid w:val="00755ACE"/>
    <w:rsid w:val="00755AFE"/>
    <w:rsid w:val="00755C3E"/>
    <w:rsid w:val="00755DE0"/>
    <w:rsid w:val="00756446"/>
    <w:rsid w:val="007567AC"/>
    <w:rsid w:val="00756B9C"/>
    <w:rsid w:val="007600FB"/>
    <w:rsid w:val="007602EA"/>
    <w:rsid w:val="007603F6"/>
    <w:rsid w:val="00760568"/>
    <w:rsid w:val="00760571"/>
    <w:rsid w:val="007607D5"/>
    <w:rsid w:val="00760C12"/>
    <w:rsid w:val="00760DAD"/>
    <w:rsid w:val="00761CE8"/>
    <w:rsid w:val="00761EE1"/>
    <w:rsid w:val="0076224C"/>
    <w:rsid w:val="00762306"/>
    <w:rsid w:val="007626D4"/>
    <w:rsid w:val="0076273B"/>
    <w:rsid w:val="00762B86"/>
    <w:rsid w:val="00762D65"/>
    <w:rsid w:val="00762E69"/>
    <w:rsid w:val="00762FF3"/>
    <w:rsid w:val="0076315D"/>
    <w:rsid w:val="00763B54"/>
    <w:rsid w:val="00763CC1"/>
    <w:rsid w:val="00764200"/>
    <w:rsid w:val="007645CC"/>
    <w:rsid w:val="007649A7"/>
    <w:rsid w:val="00764C42"/>
    <w:rsid w:val="00764CDD"/>
    <w:rsid w:val="00764EA4"/>
    <w:rsid w:val="0076501B"/>
    <w:rsid w:val="00765241"/>
    <w:rsid w:val="007656FF"/>
    <w:rsid w:val="00765711"/>
    <w:rsid w:val="0076594E"/>
    <w:rsid w:val="00765A7E"/>
    <w:rsid w:val="00765C87"/>
    <w:rsid w:val="00765DF3"/>
    <w:rsid w:val="00765F83"/>
    <w:rsid w:val="007660A5"/>
    <w:rsid w:val="00766911"/>
    <w:rsid w:val="00766ABB"/>
    <w:rsid w:val="00766BB1"/>
    <w:rsid w:val="00766BBD"/>
    <w:rsid w:val="00767160"/>
    <w:rsid w:val="007671EB"/>
    <w:rsid w:val="0076721A"/>
    <w:rsid w:val="00767539"/>
    <w:rsid w:val="00767695"/>
    <w:rsid w:val="00767808"/>
    <w:rsid w:val="00767B05"/>
    <w:rsid w:val="00770421"/>
    <w:rsid w:val="00770469"/>
    <w:rsid w:val="00770579"/>
    <w:rsid w:val="00770762"/>
    <w:rsid w:val="00770833"/>
    <w:rsid w:val="007710A8"/>
    <w:rsid w:val="00771261"/>
    <w:rsid w:val="00771451"/>
    <w:rsid w:val="00771720"/>
    <w:rsid w:val="00771FA2"/>
    <w:rsid w:val="0077215F"/>
    <w:rsid w:val="00772390"/>
    <w:rsid w:val="00772447"/>
    <w:rsid w:val="00772AD3"/>
    <w:rsid w:val="00773362"/>
    <w:rsid w:val="007733DE"/>
    <w:rsid w:val="00773BE0"/>
    <w:rsid w:val="00773F2C"/>
    <w:rsid w:val="00774037"/>
    <w:rsid w:val="00774562"/>
    <w:rsid w:val="00774614"/>
    <w:rsid w:val="00774DFD"/>
    <w:rsid w:val="00775014"/>
    <w:rsid w:val="00775077"/>
    <w:rsid w:val="00775139"/>
    <w:rsid w:val="00775760"/>
    <w:rsid w:val="0077576A"/>
    <w:rsid w:val="00775E77"/>
    <w:rsid w:val="007763FC"/>
    <w:rsid w:val="007767B1"/>
    <w:rsid w:val="007768C0"/>
    <w:rsid w:val="007769E2"/>
    <w:rsid w:val="00776AD3"/>
    <w:rsid w:val="00776B04"/>
    <w:rsid w:val="00776D6E"/>
    <w:rsid w:val="00776DA9"/>
    <w:rsid w:val="00776EE7"/>
    <w:rsid w:val="00776FAA"/>
    <w:rsid w:val="007770DD"/>
    <w:rsid w:val="0077753B"/>
    <w:rsid w:val="00777A42"/>
    <w:rsid w:val="00777A90"/>
    <w:rsid w:val="00777C3B"/>
    <w:rsid w:val="00777DF6"/>
    <w:rsid w:val="00780054"/>
    <w:rsid w:val="00780276"/>
    <w:rsid w:val="007802F1"/>
    <w:rsid w:val="00780345"/>
    <w:rsid w:val="00780584"/>
    <w:rsid w:val="007806EE"/>
    <w:rsid w:val="00780874"/>
    <w:rsid w:val="00781307"/>
    <w:rsid w:val="00781393"/>
    <w:rsid w:val="0078188D"/>
    <w:rsid w:val="00782458"/>
    <w:rsid w:val="007827EE"/>
    <w:rsid w:val="007829F6"/>
    <w:rsid w:val="00782A13"/>
    <w:rsid w:val="00782BA8"/>
    <w:rsid w:val="00782C85"/>
    <w:rsid w:val="00782E33"/>
    <w:rsid w:val="00782FDF"/>
    <w:rsid w:val="0078303E"/>
    <w:rsid w:val="00783117"/>
    <w:rsid w:val="00783142"/>
    <w:rsid w:val="00783290"/>
    <w:rsid w:val="007832E7"/>
    <w:rsid w:val="007837B9"/>
    <w:rsid w:val="00783F90"/>
    <w:rsid w:val="0078400F"/>
    <w:rsid w:val="0078460D"/>
    <w:rsid w:val="007849BF"/>
    <w:rsid w:val="00784ECB"/>
    <w:rsid w:val="00785188"/>
    <w:rsid w:val="007852C4"/>
    <w:rsid w:val="0078565B"/>
    <w:rsid w:val="00785865"/>
    <w:rsid w:val="00785B9D"/>
    <w:rsid w:val="00786195"/>
    <w:rsid w:val="007862AB"/>
    <w:rsid w:val="007863FF"/>
    <w:rsid w:val="00786D1D"/>
    <w:rsid w:val="00786D2E"/>
    <w:rsid w:val="00786FA0"/>
    <w:rsid w:val="0078748C"/>
    <w:rsid w:val="007875B0"/>
    <w:rsid w:val="007876C2"/>
    <w:rsid w:val="00787702"/>
    <w:rsid w:val="00787939"/>
    <w:rsid w:val="0078795E"/>
    <w:rsid w:val="00787CC6"/>
    <w:rsid w:val="00790108"/>
    <w:rsid w:val="00790139"/>
    <w:rsid w:val="0079063E"/>
    <w:rsid w:val="007909AF"/>
    <w:rsid w:val="00791025"/>
    <w:rsid w:val="0079134C"/>
    <w:rsid w:val="00791399"/>
    <w:rsid w:val="00791806"/>
    <w:rsid w:val="00791B23"/>
    <w:rsid w:val="00791F32"/>
    <w:rsid w:val="00792434"/>
    <w:rsid w:val="00792537"/>
    <w:rsid w:val="00792657"/>
    <w:rsid w:val="00792795"/>
    <w:rsid w:val="00792FF3"/>
    <w:rsid w:val="0079305E"/>
    <w:rsid w:val="007934FF"/>
    <w:rsid w:val="00793928"/>
    <w:rsid w:val="0079394A"/>
    <w:rsid w:val="00794403"/>
    <w:rsid w:val="007946BD"/>
    <w:rsid w:val="00794915"/>
    <w:rsid w:val="0079492C"/>
    <w:rsid w:val="00794A6E"/>
    <w:rsid w:val="00794C78"/>
    <w:rsid w:val="00794DE9"/>
    <w:rsid w:val="00794FFB"/>
    <w:rsid w:val="007951F3"/>
    <w:rsid w:val="00795371"/>
    <w:rsid w:val="007954D3"/>
    <w:rsid w:val="00795565"/>
    <w:rsid w:val="00795AA6"/>
    <w:rsid w:val="00795E45"/>
    <w:rsid w:val="00796068"/>
    <w:rsid w:val="00796092"/>
    <w:rsid w:val="00796317"/>
    <w:rsid w:val="007964A0"/>
    <w:rsid w:val="00796808"/>
    <w:rsid w:val="00796BD8"/>
    <w:rsid w:val="00796C21"/>
    <w:rsid w:val="00796F5E"/>
    <w:rsid w:val="00796F61"/>
    <w:rsid w:val="00796F9B"/>
    <w:rsid w:val="00797666"/>
    <w:rsid w:val="007978C1"/>
    <w:rsid w:val="007A003E"/>
    <w:rsid w:val="007A00F7"/>
    <w:rsid w:val="007A021D"/>
    <w:rsid w:val="007A02C9"/>
    <w:rsid w:val="007A08E4"/>
    <w:rsid w:val="007A0AA8"/>
    <w:rsid w:val="007A0C5D"/>
    <w:rsid w:val="007A0CA2"/>
    <w:rsid w:val="007A0E68"/>
    <w:rsid w:val="007A1407"/>
    <w:rsid w:val="007A1D9F"/>
    <w:rsid w:val="007A1E56"/>
    <w:rsid w:val="007A20B3"/>
    <w:rsid w:val="007A2213"/>
    <w:rsid w:val="007A265B"/>
    <w:rsid w:val="007A27C6"/>
    <w:rsid w:val="007A2CC6"/>
    <w:rsid w:val="007A3360"/>
    <w:rsid w:val="007A336F"/>
    <w:rsid w:val="007A3473"/>
    <w:rsid w:val="007A34A1"/>
    <w:rsid w:val="007A34CF"/>
    <w:rsid w:val="007A358C"/>
    <w:rsid w:val="007A35F3"/>
    <w:rsid w:val="007A3A8F"/>
    <w:rsid w:val="007A3BE1"/>
    <w:rsid w:val="007A3F8B"/>
    <w:rsid w:val="007A43F0"/>
    <w:rsid w:val="007A4BDC"/>
    <w:rsid w:val="007A4CBE"/>
    <w:rsid w:val="007A4FE8"/>
    <w:rsid w:val="007A5266"/>
    <w:rsid w:val="007A53B5"/>
    <w:rsid w:val="007A569F"/>
    <w:rsid w:val="007A5B22"/>
    <w:rsid w:val="007A5C0B"/>
    <w:rsid w:val="007A5DD2"/>
    <w:rsid w:val="007A5FEE"/>
    <w:rsid w:val="007A6134"/>
    <w:rsid w:val="007A614B"/>
    <w:rsid w:val="007A6A90"/>
    <w:rsid w:val="007A6D13"/>
    <w:rsid w:val="007A6FDC"/>
    <w:rsid w:val="007A7049"/>
    <w:rsid w:val="007A7148"/>
    <w:rsid w:val="007A7188"/>
    <w:rsid w:val="007A750B"/>
    <w:rsid w:val="007A778D"/>
    <w:rsid w:val="007A78D6"/>
    <w:rsid w:val="007A7EF3"/>
    <w:rsid w:val="007B0288"/>
    <w:rsid w:val="007B03AF"/>
    <w:rsid w:val="007B047C"/>
    <w:rsid w:val="007B0534"/>
    <w:rsid w:val="007B0676"/>
    <w:rsid w:val="007B082A"/>
    <w:rsid w:val="007B0AB9"/>
    <w:rsid w:val="007B0BB0"/>
    <w:rsid w:val="007B0E9F"/>
    <w:rsid w:val="007B1134"/>
    <w:rsid w:val="007B1730"/>
    <w:rsid w:val="007B1B02"/>
    <w:rsid w:val="007B1C5A"/>
    <w:rsid w:val="007B1E27"/>
    <w:rsid w:val="007B211A"/>
    <w:rsid w:val="007B21E8"/>
    <w:rsid w:val="007B257D"/>
    <w:rsid w:val="007B2FBC"/>
    <w:rsid w:val="007B30A5"/>
    <w:rsid w:val="007B3B7D"/>
    <w:rsid w:val="007B3BDE"/>
    <w:rsid w:val="007B3C19"/>
    <w:rsid w:val="007B3D1C"/>
    <w:rsid w:val="007B4352"/>
    <w:rsid w:val="007B45EC"/>
    <w:rsid w:val="007B4613"/>
    <w:rsid w:val="007B4B83"/>
    <w:rsid w:val="007B4DC7"/>
    <w:rsid w:val="007B4EF0"/>
    <w:rsid w:val="007B50E6"/>
    <w:rsid w:val="007B5251"/>
    <w:rsid w:val="007B59B3"/>
    <w:rsid w:val="007B5C93"/>
    <w:rsid w:val="007B5D65"/>
    <w:rsid w:val="007B60E1"/>
    <w:rsid w:val="007B621B"/>
    <w:rsid w:val="007B64C2"/>
    <w:rsid w:val="007B6974"/>
    <w:rsid w:val="007B6A2A"/>
    <w:rsid w:val="007B6CFD"/>
    <w:rsid w:val="007B6D96"/>
    <w:rsid w:val="007B75E4"/>
    <w:rsid w:val="007B7642"/>
    <w:rsid w:val="007B77C3"/>
    <w:rsid w:val="007B792D"/>
    <w:rsid w:val="007B7B51"/>
    <w:rsid w:val="007C031B"/>
    <w:rsid w:val="007C03D6"/>
    <w:rsid w:val="007C0818"/>
    <w:rsid w:val="007C097F"/>
    <w:rsid w:val="007C0A4F"/>
    <w:rsid w:val="007C0DBF"/>
    <w:rsid w:val="007C0E1D"/>
    <w:rsid w:val="007C0E64"/>
    <w:rsid w:val="007C0F5B"/>
    <w:rsid w:val="007C1052"/>
    <w:rsid w:val="007C10DA"/>
    <w:rsid w:val="007C1243"/>
    <w:rsid w:val="007C12CD"/>
    <w:rsid w:val="007C1D04"/>
    <w:rsid w:val="007C2004"/>
    <w:rsid w:val="007C21FA"/>
    <w:rsid w:val="007C2345"/>
    <w:rsid w:val="007C2890"/>
    <w:rsid w:val="007C2CEB"/>
    <w:rsid w:val="007C3023"/>
    <w:rsid w:val="007C34A3"/>
    <w:rsid w:val="007C34FD"/>
    <w:rsid w:val="007C3660"/>
    <w:rsid w:val="007C3914"/>
    <w:rsid w:val="007C3AFD"/>
    <w:rsid w:val="007C3B9E"/>
    <w:rsid w:val="007C3C44"/>
    <w:rsid w:val="007C3EAB"/>
    <w:rsid w:val="007C4332"/>
    <w:rsid w:val="007C445C"/>
    <w:rsid w:val="007C44E8"/>
    <w:rsid w:val="007C453D"/>
    <w:rsid w:val="007C4D92"/>
    <w:rsid w:val="007C4F32"/>
    <w:rsid w:val="007C5382"/>
    <w:rsid w:val="007C57A8"/>
    <w:rsid w:val="007C58ED"/>
    <w:rsid w:val="007C5E5B"/>
    <w:rsid w:val="007C5F1B"/>
    <w:rsid w:val="007C66C9"/>
    <w:rsid w:val="007C68B4"/>
    <w:rsid w:val="007C6E10"/>
    <w:rsid w:val="007C72B5"/>
    <w:rsid w:val="007C7413"/>
    <w:rsid w:val="007C7592"/>
    <w:rsid w:val="007C7ABF"/>
    <w:rsid w:val="007C7BA4"/>
    <w:rsid w:val="007C7C14"/>
    <w:rsid w:val="007D018B"/>
    <w:rsid w:val="007D03D9"/>
    <w:rsid w:val="007D03F0"/>
    <w:rsid w:val="007D0489"/>
    <w:rsid w:val="007D0542"/>
    <w:rsid w:val="007D05EF"/>
    <w:rsid w:val="007D079C"/>
    <w:rsid w:val="007D09D2"/>
    <w:rsid w:val="007D0AAA"/>
    <w:rsid w:val="007D0CB8"/>
    <w:rsid w:val="007D0F33"/>
    <w:rsid w:val="007D11F6"/>
    <w:rsid w:val="007D12F5"/>
    <w:rsid w:val="007D1365"/>
    <w:rsid w:val="007D15D9"/>
    <w:rsid w:val="007D16BB"/>
    <w:rsid w:val="007D16EB"/>
    <w:rsid w:val="007D1815"/>
    <w:rsid w:val="007D18D2"/>
    <w:rsid w:val="007D1E06"/>
    <w:rsid w:val="007D2248"/>
    <w:rsid w:val="007D2742"/>
    <w:rsid w:val="007D2E73"/>
    <w:rsid w:val="007D304C"/>
    <w:rsid w:val="007D35BC"/>
    <w:rsid w:val="007D3796"/>
    <w:rsid w:val="007D399E"/>
    <w:rsid w:val="007D3B67"/>
    <w:rsid w:val="007D4157"/>
    <w:rsid w:val="007D4195"/>
    <w:rsid w:val="007D4EBC"/>
    <w:rsid w:val="007D4F16"/>
    <w:rsid w:val="007D4FFA"/>
    <w:rsid w:val="007D575E"/>
    <w:rsid w:val="007D5994"/>
    <w:rsid w:val="007D61E3"/>
    <w:rsid w:val="007D681F"/>
    <w:rsid w:val="007D69E3"/>
    <w:rsid w:val="007D6AC5"/>
    <w:rsid w:val="007D6D64"/>
    <w:rsid w:val="007D6FA7"/>
    <w:rsid w:val="007D78BC"/>
    <w:rsid w:val="007D7932"/>
    <w:rsid w:val="007D7AE4"/>
    <w:rsid w:val="007D7C14"/>
    <w:rsid w:val="007D7E1C"/>
    <w:rsid w:val="007E0019"/>
    <w:rsid w:val="007E01E0"/>
    <w:rsid w:val="007E0575"/>
    <w:rsid w:val="007E0683"/>
    <w:rsid w:val="007E08F3"/>
    <w:rsid w:val="007E0A5D"/>
    <w:rsid w:val="007E0DD2"/>
    <w:rsid w:val="007E0DE1"/>
    <w:rsid w:val="007E1249"/>
    <w:rsid w:val="007E134D"/>
    <w:rsid w:val="007E144E"/>
    <w:rsid w:val="007E170A"/>
    <w:rsid w:val="007E1742"/>
    <w:rsid w:val="007E1AF0"/>
    <w:rsid w:val="007E1B57"/>
    <w:rsid w:val="007E1C55"/>
    <w:rsid w:val="007E1FA6"/>
    <w:rsid w:val="007E22C3"/>
    <w:rsid w:val="007E2A44"/>
    <w:rsid w:val="007E2A90"/>
    <w:rsid w:val="007E2D45"/>
    <w:rsid w:val="007E325E"/>
    <w:rsid w:val="007E39DE"/>
    <w:rsid w:val="007E3B42"/>
    <w:rsid w:val="007E3BB4"/>
    <w:rsid w:val="007E3CDB"/>
    <w:rsid w:val="007E43BE"/>
    <w:rsid w:val="007E460A"/>
    <w:rsid w:val="007E4A3D"/>
    <w:rsid w:val="007E4E90"/>
    <w:rsid w:val="007E4F4C"/>
    <w:rsid w:val="007E5171"/>
    <w:rsid w:val="007E51D2"/>
    <w:rsid w:val="007E5300"/>
    <w:rsid w:val="007E5717"/>
    <w:rsid w:val="007E5822"/>
    <w:rsid w:val="007E5A56"/>
    <w:rsid w:val="007E5B8E"/>
    <w:rsid w:val="007E5C39"/>
    <w:rsid w:val="007E61C2"/>
    <w:rsid w:val="007E61CD"/>
    <w:rsid w:val="007E62E2"/>
    <w:rsid w:val="007E64F6"/>
    <w:rsid w:val="007E67E6"/>
    <w:rsid w:val="007E6A17"/>
    <w:rsid w:val="007E6AE9"/>
    <w:rsid w:val="007E6BAE"/>
    <w:rsid w:val="007E6CBC"/>
    <w:rsid w:val="007E70ED"/>
    <w:rsid w:val="007E721F"/>
    <w:rsid w:val="007E7253"/>
    <w:rsid w:val="007E73C0"/>
    <w:rsid w:val="007E77FC"/>
    <w:rsid w:val="007E7870"/>
    <w:rsid w:val="007E7915"/>
    <w:rsid w:val="007E7E50"/>
    <w:rsid w:val="007F00D8"/>
    <w:rsid w:val="007F06D5"/>
    <w:rsid w:val="007F0777"/>
    <w:rsid w:val="007F08A2"/>
    <w:rsid w:val="007F09AC"/>
    <w:rsid w:val="007F0A1D"/>
    <w:rsid w:val="007F0C51"/>
    <w:rsid w:val="007F0DD7"/>
    <w:rsid w:val="007F0DDD"/>
    <w:rsid w:val="007F1243"/>
    <w:rsid w:val="007F139D"/>
    <w:rsid w:val="007F1D45"/>
    <w:rsid w:val="007F2025"/>
    <w:rsid w:val="007F21A6"/>
    <w:rsid w:val="007F232D"/>
    <w:rsid w:val="007F2672"/>
    <w:rsid w:val="007F288A"/>
    <w:rsid w:val="007F2CD4"/>
    <w:rsid w:val="007F306D"/>
    <w:rsid w:val="007F30A5"/>
    <w:rsid w:val="007F32C5"/>
    <w:rsid w:val="007F3475"/>
    <w:rsid w:val="007F353D"/>
    <w:rsid w:val="007F35BE"/>
    <w:rsid w:val="007F367F"/>
    <w:rsid w:val="007F374E"/>
    <w:rsid w:val="007F38A5"/>
    <w:rsid w:val="007F394B"/>
    <w:rsid w:val="007F3C10"/>
    <w:rsid w:val="007F4203"/>
    <w:rsid w:val="007F472E"/>
    <w:rsid w:val="007F4869"/>
    <w:rsid w:val="007F49B0"/>
    <w:rsid w:val="007F4B04"/>
    <w:rsid w:val="007F4CA1"/>
    <w:rsid w:val="007F4DDE"/>
    <w:rsid w:val="007F50CD"/>
    <w:rsid w:val="007F534E"/>
    <w:rsid w:val="007F5649"/>
    <w:rsid w:val="007F564A"/>
    <w:rsid w:val="007F611F"/>
    <w:rsid w:val="007F624B"/>
    <w:rsid w:val="007F656E"/>
    <w:rsid w:val="007F663A"/>
    <w:rsid w:val="007F66EE"/>
    <w:rsid w:val="007F671F"/>
    <w:rsid w:val="007F68C4"/>
    <w:rsid w:val="007F68F5"/>
    <w:rsid w:val="007F76FF"/>
    <w:rsid w:val="007F7836"/>
    <w:rsid w:val="007F79BE"/>
    <w:rsid w:val="007F7BC2"/>
    <w:rsid w:val="00800141"/>
    <w:rsid w:val="008005BE"/>
    <w:rsid w:val="0080083F"/>
    <w:rsid w:val="00800893"/>
    <w:rsid w:val="008009F0"/>
    <w:rsid w:val="00800B9C"/>
    <w:rsid w:val="00800F84"/>
    <w:rsid w:val="00801137"/>
    <w:rsid w:val="008011CA"/>
    <w:rsid w:val="00801294"/>
    <w:rsid w:val="008018C6"/>
    <w:rsid w:val="008018FA"/>
    <w:rsid w:val="008019D1"/>
    <w:rsid w:val="00801D89"/>
    <w:rsid w:val="0080212D"/>
    <w:rsid w:val="008023FD"/>
    <w:rsid w:val="0080258D"/>
    <w:rsid w:val="0080271F"/>
    <w:rsid w:val="008027DA"/>
    <w:rsid w:val="008027F5"/>
    <w:rsid w:val="00802A79"/>
    <w:rsid w:val="00802A9B"/>
    <w:rsid w:val="00802CB9"/>
    <w:rsid w:val="00802D16"/>
    <w:rsid w:val="00802DC9"/>
    <w:rsid w:val="008030E4"/>
    <w:rsid w:val="008031EC"/>
    <w:rsid w:val="00803739"/>
    <w:rsid w:val="00803940"/>
    <w:rsid w:val="008039CA"/>
    <w:rsid w:val="008039D2"/>
    <w:rsid w:val="00803DF1"/>
    <w:rsid w:val="0080435C"/>
    <w:rsid w:val="00804522"/>
    <w:rsid w:val="008046B5"/>
    <w:rsid w:val="00804869"/>
    <w:rsid w:val="00804AD6"/>
    <w:rsid w:val="00804F2D"/>
    <w:rsid w:val="00805119"/>
    <w:rsid w:val="00805494"/>
    <w:rsid w:val="008056B5"/>
    <w:rsid w:val="008057E8"/>
    <w:rsid w:val="00805A3C"/>
    <w:rsid w:val="00805AFF"/>
    <w:rsid w:val="00805B9B"/>
    <w:rsid w:val="00805D28"/>
    <w:rsid w:val="00805FB0"/>
    <w:rsid w:val="00806161"/>
    <w:rsid w:val="00806200"/>
    <w:rsid w:val="00806348"/>
    <w:rsid w:val="00806558"/>
    <w:rsid w:val="008068EB"/>
    <w:rsid w:val="0080692A"/>
    <w:rsid w:val="00806C92"/>
    <w:rsid w:val="00806D64"/>
    <w:rsid w:val="00806E8F"/>
    <w:rsid w:val="00807028"/>
    <w:rsid w:val="0080715D"/>
    <w:rsid w:val="008072D6"/>
    <w:rsid w:val="00807482"/>
    <w:rsid w:val="008075DA"/>
    <w:rsid w:val="0080790F"/>
    <w:rsid w:val="0080794E"/>
    <w:rsid w:val="00807CDC"/>
    <w:rsid w:val="00807E25"/>
    <w:rsid w:val="008102F7"/>
    <w:rsid w:val="00810672"/>
    <w:rsid w:val="00810872"/>
    <w:rsid w:val="008109D4"/>
    <w:rsid w:val="00810AD1"/>
    <w:rsid w:val="00810B51"/>
    <w:rsid w:val="008110A4"/>
    <w:rsid w:val="00811257"/>
    <w:rsid w:val="00811A05"/>
    <w:rsid w:val="00811A64"/>
    <w:rsid w:val="00811ACC"/>
    <w:rsid w:val="00811C1C"/>
    <w:rsid w:val="00811E47"/>
    <w:rsid w:val="008121AC"/>
    <w:rsid w:val="0081254C"/>
    <w:rsid w:val="0081258E"/>
    <w:rsid w:val="00812E84"/>
    <w:rsid w:val="0081322D"/>
    <w:rsid w:val="008134CB"/>
    <w:rsid w:val="00813677"/>
    <w:rsid w:val="008137B0"/>
    <w:rsid w:val="008137E2"/>
    <w:rsid w:val="008138BE"/>
    <w:rsid w:val="00813E33"/>
    <w:rsid w:val="00813F1D"/>
    <w:rsid w:val="008140F3"/>
    <w:rsid w:val="00814265"/>
    <w:rsid w:val="00814472"/>
    <w:rsid w:val="008148E6"/>
    <w:rsid w:val="00814A14"/>
    <w:rsid w:val="00814C51"/>
    <w:rsid w:val="00814D64"/>
    <w:rsid w:val="00814FAA"/>
    <w:rsid w:val="00815050"/>
    <w:rsid w:val="008154BD"/>
    <w:rsid w:val="008155A3"/>
    <w:rsid w:val="00815616"/>
    <w:rsid w:val="00815645"/>
    <w:rsid w:val="00815C08"/>
    <w:rsid w:val="00815C35"/>
    <w:rsid w:val="008161E2"/>
    <w:rsid w:val="008162A3"/>
    <w:rsid w:val="0081694F"/>
    <w:rsid w:val="00816C34"/>
    <w:rsid w:val="00816D54"/>
    <w:rsid w:val="00816DAD"/>
    <w:rsid w:val="00816E64"/>
    <w:rsid w:val="00817606"/>
    <w:rsid w:val="0081762B"/>
    <w:rsid w:val="008176D5"/>
    <w:rsid w:val="00817F19"/>
    <w:rsid w:val="008205CD"/>
    <w:rsid w:val="00820674"/>
    <w:rsid w:val="00820767"/>
    <w:rsid w:val="008208AD"/>
    <w:rsid w:val="00820A39"/>
    <w:rsid w:val="00820BFF"/>
    <w:rsid w:val="00820D7E"/>
    <w:rsid w:val="00820E53"/>
    <w:rsid w:val="00821182"/>
    <w:rsid w:val="00821EFE"/>
    <w:rsid w:val="00821FFC"/>
    <w:rsid w:val="00822020"/>
    <w:rsid w:val="00822415"/>
    <w:rsid w:val="0082288B"/>
    <w:rsid w:val="008229D7"/>
    <w:rsid w:val="00822CD5"/>
    <w:rsid w:val="00822E66"/>
    <w:rsid w:val="00822E80"/>
    <w:rsid w:val="00822EF9"/>
    <w:rsid w:val="00822F8D"/>
    <w:rsid w:val="00824610"/>
    <w:rsid w:val="00824616"/>
    <w:rsid w:val="00824689"/>
    <w:rsid w:val="00824864"/>
    <w:rsid w:val="00824885"/>
    <w:rsid w:val="00824B38"/>
    <w:rsid w:val="00824CAB"/>
    <w:rsid w:val="00825068"/>
    <w:rsid w:val="00825180"/>
    <w:rsid w:val="0082527B"/>
    <w:rsid w:val="00825413"/>
    <w:rsid w:val="008254A7"/>
    <w:rsid w:val="008258DE"/>
    <w:rsid w:val="00825AAC"/>
    <w:rsid w:val="00825D1C"/>
    <w:rsid w:val="00826C51"/>
    <w:rsid w:val="00826D41"/>
    <w:rsid w:val="00826D7B"/>
    <w:rsid w:val="00826D9B"/>
    <w:rsid w:val="00826E4A"/>
    <w:rsid w:val="00826F9E"/>
    <w:rsid w:val="00827273"/>
    <w:rsid w:val="008276DE"/>
    <w:rsid w:val="00827750"/>
    <w:rsid w:val="008300A6"/>
    <w:rsid w:val="00830203"/>
    <w:rsid w:val="00830320"/>
    <w:rsid w:val="00831230"/>
    <w:rsid w:val="00831247"/>
    <w:rsid w:val="0083158A"/>
    <w:rsid w:val="00831A10"/>
    <w:rsid w:val="00831A47"/>
    <w:rsid w:val="00831C78"/>
    <w:rsid w:val="00831DC8"/>
    <w:rsid w:val="00831E69"/>
    <w:rsid w:val="0083203B"/>
    <w:rsid w:val="00832A3B"/>
    <w:rsid w:val="00832BE7"/>
    <w:rsid w:val="00832C3C"/>
    <w:rsid w:val="00832D64"/>
    <w:rsid w:val="00832D77"/>
    <w:rsid w:val="008332E0"/>
    <w:rsid w:val="00833365"/>
    <w:rsid w:val="00833554"/>
    <w:rsid w:val="008335E1"/>
    <w:rsid w:val="008336DD"/>
    <w:rsid w:val="00833994"/>
    <w:rsid w:val="00833DA8"/>
    <w:rsid w:val="00833F2B"/>
    <w:rsid w:val="00834029"/>
    <w:rsid w:val="008342E8"/>
    <w:rsid w:val="0083437D"/>
    <w:rsid w:val="0083443B"/>
    <w:rsid w:val="00834A73"/>
    <w:rsid w:val="00834BAA"/>
    <w:rsid w:val="00835110"/>
    <w:rsid w:val="0083540F"/>
    <w:rsid w:val="00835BA2"/>
    <w:rsid w:val="00836250"/>
    <w:rsid w:val="0083683B"/>
    <w:rsid w:val="00836A1F"/>
    <w:rsid w:val="00836B8B"/>
    <w:rsid w:val="00836BC5"/>
    <w:rsid w:val="00836D38"/>
    <w:rsid w:val="0083716A"/>
    <w:rsid w:val="00837225"/>
    <w:rsid w:val="008374DB"/>
    <w:rsid w:val="008374EA"/>
    <w:rsid w:val="0083781F"/>
    <w:rsid w:val="0083786A"/>
    <w:rsid w:val="00837A45"/>
    <w:rsid w:val="00840205"/>
    <w:rsid w:val="008402CD"/>
    <w:rsid w:val="008403D3"/>
    <w:rsid w:val="008404B1"/>
    <w:rsid w:val="0084082B"/>
    <w:rsid w:val="00840995"/>
    <w:rsid w:val="00840A55"/>
    <w:rsid w:val="00840AA8"/>
    <w:rsid w:val="00840B99"/>
    <w:rsid w:val="00840CAE"/>
    <w:rsid w:val="00840CEC"/>
    <w:rsid w:val="00840FE9"/>
    <w:rsid w:val="008417BF"/>
    <w:rsid w:val="0084197D"/>
    <w:rsid w:val="00841A03"/>
    <w:rsid w:val="00841C6A"/>
    <w:rsid w:val="00841F40"/>
    <w:rsid w:val="00842081"/>
    <w:rsid w:val="0084231A"/>
    <w:rsid w:val="008423CA"/>
    <w:rsid w:val="00842606"/>
    <w:rsid w:val="00842733"/>
    <w:rsid w:val="0084286A"/>
    <w:rsid w:val="00842A37"/>
    <w:rsid w:val="00842B3E"/>
    <w:rsid w:val="00842B94"/>
    <w:rsid w:val="00842BDE"/>
    <w:rsid w:val="00843173"/>
    <w:rsid w:val="00843441"/>
    <w:rsid w:val="00843667"/>
    <w:rsid w:val="00843819"/>
    <w:rsid w:val="00843AD1"/>
    <w:rsid w:val="00843BBF"/>
    <w:rsid w:val="00843C10"/>
    <w:rsid w:val="00843DD2"/>
    <w:rsid w:val="00843F56"/>
    <w:rsid w:val="00844C90"/>
    <w:rsid w:val="00844CA6"/>
    <w:rsid w:val="00844E06"/>
    <w:rsid w:val="00844FF7"/>
    <w:rsid w:val="008451B6"/>
    <w:rsid w:val="00845535"/>
    <w:rsid w:val="008457AF"/>
    <w:rsid w:val="008459D5"/>
    <w:rsid w:val="008460AD"/>
    <w:rsid w:val="0084610A"/>
    <w:rsid w:val="008464E1"/>
    <w:rsid w:val="00846A4A"/>
    <w:rsid w:val="00846C2F"/>
    <w:rsid w:val="00846E4F"/>
    <w:rsid w:val="00846F3A"/>
    <w:rsid w:val="008470BA"/>
    <w:rsid w:val="00847270"/>
    <w:rsid w:val="00847930"/>
    <w:rsid w:val="00847AE9"/>
    <w:rsid w:val="00850054"/>
    <w:rsid w:val="00850136"/>
    <w:rsid w:val="00850189"/>
    <w:rsid w:val="00850237"/>
    <w:rsid w:val="00850602"/>
    <w:rsid w:val="00850906"/>
    <w:rsid w:val="00850A64"/>
    <w:rsid w:val="00850D41"/>
    <w:rsid w:val="00850F79"/>
    <w:rsid w:val="00851278"/>
    <w:rsid w:val="008516B4"/>
    <w:rsid w:val="00851742"/>
    <w:rsid w:val="00851A83"/>
    <w:rsid w:val="00851BD1"/>
    <w:rsid w:val="008524BD"/>
    <w:rsid w:val="00852A0A"/>
    <w:rsid w:val="00852FCF"/>
    <w:rsid w:val="00853247"/>
    <w:rsid w:val="00853678"/>
    <w:rsid w:val="00853695"/>
    <w:rsid w:val="00853989"/>
    <w:rsid w:val="00853B87"/>
    <w:rsid w:val="00853C49"/>
    <w:rsid w:val="00853D9E"/>
    <w:rsid w:val="00853F04"/>
    <w:rsid w:val="008541E8"/>
    <w:rsid w:val="008542F4"/>
    <w:rsid w:val="00854ADC"/>
    <w:rsid w:val="00854DF2"/>
    <w:rsid w:val="00855287"/>
    <w:rsid w:val="008552AF"/>
    <w:rsid w:val="008552EE"/>
    <w:rsid w:val="00855768"/>
    <w:rsid w:val="00855D33"/>
    <w:rsid w:val="00855E0C"/>
    <w:rsid w:val="00855FE3"/>
    <w:rsid w:val="00855FE4"/>
    <w:rsid w:val="0085602F"/>
    <w:rsid w:val="0085673F"/>
    <w:rsid w:val="008569FE"/>
    <w:rsid w:val="00856AB1"/>
    <w:rsid w:val="00856B95"/>
    <w:rsid w:val="00856ED4"/>
    <w:rsid w:val="00856FD7"/>
    <w:rsid w:val="0085707E"/>
    <w:rsid w:val="0085748A"/>
    <w:rsid w:val="0085781A"/>
    <w:rsid w:val="00857945"/>
    <w:rsid w:val="00857B7E"/>
    <w:rsid w:val="00857DC1"/>
    <w:rsid w:val="00860003"/>
    <w:rsid w:val="00860207"/>
    <w:rsid w:val="00860208"/>
    <w:rsid w:val="00860B29"/>
    <w:rsid w:val="00860EFF"/>
    <w:rsid w:val="008611C8"/>
    <w:rsid w:val="008614FC"/>
    <w:rsid w:val="00861658"/>
    <w:rsid w:val="008618C7"/>
    <w:rsid w:val="0086196D"/>
    <w:rsid w:val="008619F1"/>
    <w:rsid w:val="00861A32"/>
    <w:rsid w:val="00861E69"/>
    <w:rsid w:val="00861EC7"/>
    <w:rsid w:val="00862444"/>
    <w:rsid w:val="008625BA"/>
    <w:rsid w:val="008626EA"/>
    <w:rsid w:val="00862799"/>
    <w:rsid w:val="0086288C"/>
    <w:rsid w:val="0086292A"/>
    <w:rsid w:val="00862A36"/>
    <w:rsid w:val="00862DA8"/>
    <w:rsid w:val="00862F36"/>
    <w:rsid w:val="0086326D"/>
    <w:rsid w:val="0086458E"/>
    <w:rsid w:val="008646A6"/>
    <w:rsid w:val="0086489F"/>
    <w:rsid w:val="00864968"/>
    <w:rsid w:val="008649D7"/>
    <w:rsid w:val="00864C64"/>
    <w:rsid w:val="00865108"/>
    <w:rsid w:val="0086549F"/>
    <w:rsid w:val="00865657"/>
    <w:rsid w:val="008656E1"/>
    <w:rsid w:val="008658A1"/>
    <w:rsid w:val="008661CA"/>
    <w:rsid w:val="00866225"/>
    <w:rsid w:val="0086669D"/>
    <w:rsid w:val="008668E3"/>
    <w:rsid w:val="00866BFC"/>
    <w:rsid w:val="00866D5A"/>
    <w:rsid w:val="00866E94"/>
    <w:rsid w:val="0086712C"/>
    <w:rsid w:val="00867174"/>
    <w:rsid w:val="00867339"/>
    <w:rsid w:val="00867715"/>
    <w:rsid w:val="00867823"/>
    <w:rsid w:val="008678E7"/>
    <w:rsid w:val="008679CD"/>
    <w:rsid w:val="00867FDF"/>
    <w:rsid w:val="00870129"/>
    <w:rsid w:val="0087048B"/>
    <w:rsid w:val="00870544"/>
    <w:rsid w:val="00870B35"/>
    <w:rsid w:val="00870B55"/>
    <w:rsid w:val="00870E0A"/>
    <w:rsid w:val="0087148D"/>
    <w:rsid w:val="00871BE8"/>
    <w:rsid w:val="00871DCF"/>
    <w:rsid w:val="008721DD"/>
    <w:rsid w:val="008721FC"/>
    <w:rsid w:val="00872228"/>
    <w:rsid w:val="008726E2"/>
    <w:rsid w:val="008728A5"/>
    <w:rsid w:val="00872AE1"/>
    <w:rsid w:val="00872BC0"/>
    <w:rsid w:val="00872E94"/>
    <w:rsid w:val="00872FD0"/>
    <w:rsid w:val="008730F9"/>
    <w:rsid w:val="0087350C"/>
    <w:rsid w:val="0087383A"/>
    <w:rsid w:val="00873902"/>
    <w:rsid w:val="00873AB0"/>
    <w:rsid w:val="00873B51"/>
    <w:rsid w:val="00873C09"/>
    <w:rsid w:val="00873C6D"/>
    <w:rsid w:val="00874147"/>
    <w:rsid w:val="00874206"/>
    <w:rsid w:val="008746A6"/>
    <w:rsid w:val="008747C4"/>
    <w:rsid w:val="00874995"/>
    <w:rsid w:val="00874C2B"/>
    <w:rsid w:val="00874C32"/>
    <w:rsid w:val="0087504E"/>
    <w:rsid w:val="00875183"/>
    <w:rsid w:val="008753EE"/>
    <w:rsid w:val="008754E2"/>
    <w:rsid w:val="0087573A"/>
    <w:rsid w:val="0087582E"/>
    <w:rsid w:val="00875CBB"/>
    <w:rsid w:val="00875F21"/>
    <w:rsid w:val="00875F38"/>
    <w:rsid w:val="0087679D"/>
    <w:rsid w:val="00877070"/>
    <w:rsid w:val="00877161"/>
    <w:rsid w:val="00877275"/>
    <w:rsid w:val="0087731A"/>
    <w:rsid w:val="008773FA"/>
    <w:rsid w:val="008778FF"/>
    <w:rsid w:val="00877AA4"/>
    <w:rsid w:val="0088003D"/>
    <w:rsid w:val="008804D7"/>
    <w:rsid w:val="00880611"/>
    <w:rsid w:val="0088083C"/>
    <w:rsid w:val="00880905"/>
    <w:rsid w:val="0088131A"/>
    <w:rsid w:val="008813EB"/>
    <w:rsid w:val="00881736"/>
    <w:rsid w:val="0088176A"/>
    <w:rsid w:val="00881B01"/>
    <w:rsid w:val="00881D0A"/>
    <w:rsid w:val="008821DC"/>
    <w:rsid w:val="0088244F"/>
    <w:rsid w:val="008827FC"/>
    <w:rsid w:val="0088299B"/>
    <w:rsid w:val="0088325F"/>
    <w:rsid w:val="00883E7D"/>
    <w:rsid w:val="00883FC6"/>
    <w:rsid w:val="00884028"/>
    <w:rsid w:val="0088471A"/>
    <w:rsid w:val="00884FAA"/>
    <w:rsid w:val="00885212"/>
    <w:rsid w:val="008856BC"/>
    <w:rsid w:val="0088582D"/>
    <w:rsid w:val="00886142"/>
    <w:rsid w:val="008861DC"/>
    <w:rsid w:val="008863F5"/>
    <w:rsid w:val="00886408"/>
    <w:rsid w:val="008864CD"/>
    <w:rsid w:val="00886A8F"/>
    <w:rsid w:val="00886F0D"/>
    <w:rsid w:val="0088719A"/>
    <w:rsid w:val="008871B7"/>
    <w:rsid w:val="008878B7"/>
    <w:rsid w:val="0088796F"/>
    <w:rsid w:val="008879FF"/>
    <w:rsid w:val="00887B4D"/>
    <w:rsid w:val="00887D58"/>
    <w:rsid w:val="00887FED"/>
    <w:rsid w:val="008905AF"/>
    <w:rsid w:val="008906AF"/>
    <w:rsid w:val="00890B01"/>
    <w:rsid w:val="00890CCC"/>
    <w:rsid w:val="00891046"/>
    <w:rsid w:val="008911B2"/>
    <w:rsid w:val="00891D87"/>
    <w:rsid w:val="00891E75"/>
    <w:rsid w:val="00891FB9"/>
    <w:rsid w:val="008921B2"/>
    <w:rsid w:val="008925C3"/>
    <w:rsid w:val="008927FD"/>
    <w:rsid w:val="0089282F"/>
    <w:rsid w:val="008928DD"/>
    <w:rsid w:val="00893058"/>
    <w:rsid w:val="00893084"/>
    <w:rsid w:val="008933AE"/>
    <w:rsid w:val="00893490"/>
    <w:rsid w:val="008934B6"/>
    <w:rsid w:val="008935EA"/>
    <w:rsid w:val="0089372B"/>
    <w:rsid w:val="00893AA4"/>
    <w:rsid w:val="00893D44"/>
    <w:rsid w:val="00893F73"/>
    <w:rsid w:val="00894945"/>
    <w:rsid w:val="00894C42"/>
    <w:rsid w:val="00894F2A"/>
    <w:rsid w:val="00895383"/>
    <w:rsid w:val="00895392"/>
    <w:rsid w:val="0089540B"/>
    <w:rsid w:val="0089541B"/>
    <w:rsid w:val="0089576E"/>
    <w:rsid w:val="008957AF"/>
    <w:rsid w:val="00896630"/>
    <w:rsid w:val="0089694E"/>
    <w:rsid w:val="008969AC"/>
    <w:rsid w:val="008978EF"/>
    <w:rsid w:val="00897C98"/>
    <w:rsid w:val="00897DEB"/>
    <w:rsid w:val="008A0109"/>
    <w:rsid w:val="008A0131"/>
    <w:rsid w:val="008A091F"/>
    <w:rsid w:val="008A0CB0"/>
    <w:rsid w:val="008A150D"/>
    <w:rsid w:val="008A15E9"/>
    <w:rsid w:val="008A1A6D"/>
    <w:rsid w:val="008A1CF0"/>
    <w:rsid w:val="008A2001"/>
    <w:rsid w:val="008A2011"/>
    <w:rsid w:val="008A21C2"/>
    <w:rsid w:val="008A2967"/>
    <w:rsid w:val="008A2B3C"/>
    <w:rsid w:val="008A32AD"/>
    <w:rsid w:val="008A33E0"/>
    <w:rsid w:val="008A34B8"/>
    <w:rsid w:val="008A3BDB"/>
    <w:rsid w:val="008A3BE4"/>
    <w:rsid w:val="008A4326"/>
    <w:rsid w:val="008A4397"/>
    <w:rsid w:val="008A4F60"/>
    <w:rsid w:val="008A4FC6"/>
    <w:rsid w:val="008A503C"/>
    <w:rsid w:val="008A54DB"/>
    <w:rsid w:val="008A552C"/>
    <w:rsid w:val="008A5876"/>
    <w:rsid w:val="008A5B7B"/>
    <w:rsid w:val="008A5C00"/>
    <w:rsid w:val="008A5FA8"/>
    <w:rsid w:val="008A61CB"/>
    <w:rsid w:val="008A627D"/>
    <w:rsid w:val="008A6B38"/>
    <w:rsid w:val="008A6EE6"/>
    <w:rsid w:val="008A72C2"/>
    <w:rsid w:val="008A72DF"/>
    <w:rsid w:val="008A7406"/>
    <w:rsid w:val="008A77E4"/>
    <w:rsid w:val="008A7D72"/>
    <w:rsid w:val="008B009D"/>
    <w:rsid w:val="008B06CF"/>
    <w:rsid w:val="008B08BA"/>
    <w:rsid w:val="008B0A28"/>
    <w:rsid w:val="008B0C18"/>
    <w:rsid w:val="008B0C1E"/>
    <w:rsid w:val="008B1086"/>
    <w:rsid w:val="008B19B2"/>
    <w:rsid w:val="008B27A0"/>
    <w:rsid w:val="008B2C0A"/>
    <w:rsid w:val="008B30C5"/>
    <w:rsid w:val="008B31C5"/>
    <w:rsid w:val="008B3329"/>
    <w:rsid w:val="008B3BC3"/>
    <w:rsid w:val="008B3D82"/>
    <w:rsid w:val="008B3E5A"/>
    <w:rsid w:val="008B3F00"/>
    <w:rsid w:val="008B401E"/>
    <w:rsid w:val="008B4251"/>
    <w:rsid w:val="008B4472"/>
    <w:rsid w:val="008B44E4"/>
    <w:rsid w:val="008B47CC"/>
    <w:rsid w:val="008B4816"/>
    <w:rsid w:val="008B4A5D"/>
    <w:rsid w:val="008B4AB1"/>
    <w:rsid w:val="008B4B19"/>
    <w:rsid w:val="008B52B1"/>
    <w:rsid w:val="008B5688"/>
    <w:rsid w:val="008B57AA"/>
    <w:rsid w:val="008B57E6"/>
    <w:rsid w:val="008B5AA1"/>
    <w:rsid w:val="008B5B8B"/>
    <w:rsid w:val="008B6163"/>
    <w:rsid w:val="008B6491"/>
    <w:rsid w:val="008B682C"/>
    <w:rsid w:val="008B69EB"/>
    <w:rsid w:val="008B6AC3"/>
    <w:rsid w:val="008B6C6F"/>
    <w:rsid w:val="008B6F1D"/>
    <w:rsid w:val="008B6FF5"/>
    <w:rsid w:val="008B73F7"/>
    <w:rsid w:val="008B7552"/>
    <w:rsid w:val="008B7A13"/>
    <w:rsid w:val="008B7D0A"/>
    <w:rsid w:val="008B7E54"/>
    <w:rsid w:val="008C0527"/>
    <w:rsid w:val="008C061C"/>
    <w:rsid w:val="008C0A31"/>
    <w:rsid w:val="008C0B12"/>
    <w:rsid w:val="008C0CAA"/>
    <w:rsid w:val="008C0FD2"/>
    <w:rsid w:val="008C0FFA"/>
    <w:rsid w:val="008C1397"/>
    <w:rsid w:val="008C17EA"/>
    <w:rsid w:val="008C1C0B"/>
    <w:rsid w:val="008C20AA"/>
    <w:rsid w:val="008C26FD"/>
    <w:rsid w:val="008C2B66"/>
    <w:rsid w:val="008C2ED5"/>
    <w:rsid w:val="008C308E"/>
    <w:rsid w:val="008C38BE"/>
    <w:rsid w:val="008C3CD4"/>
    <w:rsid w:val="008C4584"/>
    <w:rsid w:val="008C45FA"/>
    <w:rsid w:val="008C4696"/>
    <w:rsid w:val="008C4AE9"/>
    <w:rsid w:val="008C4D31"/>
    <w:rsid w:val="008C4D9E"/>
    <w:rsid w:val="008C4F82"/>
    <w:rsid w:val="008C520E"/>
    <w:rsid w:val="008C5250"/>
    <w:rsid w:val="008C556C"/>
    <w:rsid w:val="008C5AF1"/>
    <w:rsid w:val="008C5C2A"/>
    <w:rsid w:val="008C5D11"/>
    <w:rsid w:val="008C6966"/>
    <w:rsid w:val="008C6A6C"/>
    <w:rsid w:val="008C6AA9"/>
    <w:rsid w:val="008C6E21"/>
    <w:rsid w:val="008C728E"/>
    <w:rsid w:val="008C74E3"/>
    <w:rsid w:val="008C779E"/>
    <w:rsid w:val="008C7A0B"/>
    <w:rsid w:val="008C7A55"/>
    <w:rsid w:val="008C7D92"/>
    <w:rsid w:val="008D023D"/>
    <w:rsid w:val="008D0494"/>
    <w:rsid w:val="008D0A90"/>
    <w:rsid w:val="008D0E54"/>
    <w:rsid w:val="008D1053"/>
    <w:rsid w:val="008D118A"/>
    <w:rsid w:val="008D123D"/>
    <w:rsid w:val="008D1272"/>
    <w:rsid w:val="008D127D"/>
    <w:rsid w:val="008D196B"/>
    <w:rsid w:val="008D1990"/>
    <w:rsid w:val="008D1A5B"/>
    <w:rsid w:val="008D1EF7"/>
    <w:rsid w:val="008D1F1E"/>
    <w:rsid w:val="008D206F"/>
    <w:rsid w:val="008D23CC"/>
    <w:rsid w:val="008D25F3"/>
    <w:rsid w:val="008D283D"/>
    <w:rsid w:val="008D29D9"/>
    <w:rsid w:val="008D2DFB"/>
    <w:rsid w:val="008D31B3"/>
    <w:rsid w:val="008D327B"/>
    <w:rsid w:val="008D35FB"/>
    <w:rsid w:val="008D35FE"/>
    <w:rsid w:val="008D39A8"/>
    <w:rsid w:val="008D3C4F"/>
    <w:rsid w:val="008D3DAE"/>
    <w:rsid w:val="008D47E6"/>
    <w:rsid w:val="008D4848"/>
    <w:rsid w:val="008D4962"/>
    <w:rsid w:val="008D49E9"/>
    <w:rsid w:val="008D4E66"/>
    <w:rsid w:val="008D4F7A"/>
    <w:rsid w:val="008D50F7"/>
    <w:rsid w:val="008D53C5"/>
    <w:rsid w:val="008D57B3"/>
    <w:rsid w:val="008D58A4"/>
    <w:rsid w:val="008D5929"/>
    <w:rsid w:val="008D596D"/>
    <w:rsid w:val="008D59AD"/>
    <w:rsid w:val="008D5A0E"/>
    <w:rsid w:val="008D5EF1"/>
    <w:rsid w:val="008D61B9"/>
    <w:rsid w:val="008D61D0"/>
    <w:rsid w:val="008D641C"/>
    <w:rsid w:val="008D644E"/>
    <w:rsid w:val="008D6B66"/>
    <w:rsid w:val="008D6BAA"/>
    <w:rsid w:val="008D73DC"/>
    <w:rsid w:val="008D76FF"/>
    <w:rsid w:val="008D7B3C"/>
    <w:rsid w:val="008E0009"/>
    <w:rsid w:val="008E0557"/>
    <w:rsid w:val="008E0BBB"/>
    <w:rsid w:val="008E0C41"/>
    <w:rsid w:val="008E0F4E"/>
    <w:rsid w:val="008E1019"/>
    <w:rsid w:val="008E1D24"/>
    <w:rsid w:val="008E2A26"/>
    <w:rsid w:val="008E2B8B"/>
    <w:rsid w:val="008E2D3D"/>
    <w:rsid w:val="008E2F33"/>
    <w:rsid w:val="008E3202"/>
    <w:rsid w:val="008E3875"/>
    <w:rsid w:val="008E397D"/>
    <w:rsid w:val="008E39E6"/>
    <w:rsid w:val="008E3AF1"/>
    <w:rsid w:val="008E5295"/>
    <w:rsid w:val="008E5735"/>
    <w:rsid w:val="008E5759"/>
    <w:rsid w:val="008E5A47"/>
    <w:rsid w:val="008E5C11"/>
    <w:rsid w:val="008E6435"/>
    <w:rsid w:val="008E6440"/>
    <w:rsid w:val="008E657B"/>
    <w:rsid w:val="008E6616"/>
    <w:rsid w:val="008E6617"/>
    <w:rsid w:val="008E6619"/>
    <w:rsid w:val="008E6731"/>
    <w:rsid w:val="008E6E53"/>
    <w:rsid w:val="008E6FEE"/>
    <w:rsid w:val="008E7189"/>
    <w:rsid w:val="008E7368"/>
    <w:rsid w:val="008E743F"/>
    <w:rsid w:val="008E74E2"/>
    <w:rsid w:val="008E7572"/>
    <w:rsid w:val="008E7584"/>
    <w:rsid w:val="008E7927"/>
    <w:rsid w:val="008E7B19"/>
    <w:rsid w:val="008F026F"/>
    <w:rsid w:val="008F05B3"/>
    <w:rsid w:val="008F088E"/>
    <w:rsid w:val="008F09AB"/>
    <w:rsid w:val="008F0E86"/>
    <w:rsid w:val="008F10B6"/>
    <w:rsid w:val="008F14D5"/>
    <w:rsid w:val="008F1667"/>
    <w:rsid w:val="008F17CA"/>
    <w:rsid w:val="008F1D42"/>
    <w:rsid w:val="008F1F0F"/>
    <w:rsid w:val="008F238C"/>
    <w:rsid w:val="008F2C1C"/>
    <w:rsid w:val="008F2C81"/>
    <w:rsid w:val="008F3376"/>
    <w:rsid w:val="008F3C27"/>
    <w:rsid w:val="008F4C54"/>
    <w:rsid w:val="008F4D81"/>
    <w:rsid w:val="008F5490"/>
    <w:rsid w:val="008F5A7C"/>
    <w:rsid w:val="008F5CDF"/>
    <w:rsid w:val="008F5D73"/>
    <w:rsid w:val="008F60EA"/>
    <w:rsid w:val="008F60F9"/>
    <w:rsid w:val="008F65BC"/>
    <w:rsid w:val="008F6609"/>
    <w:rsid w:val="008F6655"/>
    <w:rsid w:val="008F6C53"/>
    <w:rsid w:val="008F6CA0"/>
    <w:rsid w:val="008F6FA8"/>
    <w:rsid w:val="008F727E"/>
    <w:rsid w:val="008F75E2"/>
    <w:rsid w:val="008F7ADA"/>
    <w:rsid w:val="008F7EB6"/>
    <w:rsid w:val="00900131"/>
    <w:rsid w:val="0090071C"/>
    <w:rsid w:val="00900721"/>
    <w:rsid w:val="009007CE"/>
    <w:rsid w:val="00900C40"/>
    <w:rsid w:val="00900C55"/>
    <w:rsid w:val="009010B1"/>
    <w:rsid w:val="00901166"/>
    <w:rsid w:val="009019CD"/>
    <w:rsid w:val="00901E89"/>
    <w:rsid w:val="0090229C"/>
    <w:rsid w:val="0090309D"/>
    <w:rsid w:val="00903226"/>
    <w:rsid w:val="00903258"/>
    <w:rsid w:val="00904198"/>
    <w:rsid w:val="0090422A"/>
    <w:rsid w:val="0090447D"/>
    <w:rsid w:val="009046A3"/>
    <w:rsid w:val="0090480D"/>
    <w:rsid w:val="009048B4"/>
    <w:rsid w:val="009048CA"/>
    <w:rsid w:val="00904A7C"/>
    <w:rsid w:val="00904C37"/>
    <w:rsid w:val="00904DED"/>
    <w:rsid w:val="00904E16"/>
    <w:rsid w:val="00904F59"/>
    <w:rsid w:val="009050DF"/>
    <w:rsid w:val="0090550D"/>
    <w:rsid w:val="0090565C"/>
    <w:rsid w:val="00905663"/>
    <w:rsid w:val="00906258"/>
    <w:rsid w:val="0090628E"/>
    <w:rsid w:val="00906491"/>
    <w:rsid w:val="00906E6E"/>
    <w:rsid w:val="00906FD9"/>
    <w:rsid w:val="0090704F"/>
    <w:rsid w:val="00907133"/>
    <w:rsid w:val="009071A0"/>
    <w:rsid w:val="00907651"/>
    <w:rsid w:val="00907BE9"/>
    <w:rsid w:val="00907D77"/>
    <w:rsid w:val="00907E83"/>
    <w:rsid w:val="00907FB7"/>
    <w:rsid w:val="00910052"/>
    <w:rsid w:val="009101DA"/>
    <w:rsid w:val="0091024C"/>
    <w:rsid w:val="00910602"/>
    <w:rsid w:val="0091060F"/>
    <w:rsid w:val="0091068F"/>
    <w:rsid w:val="0091091C"/>
    <w:rsid w:val="009109C9"/>
    <w:rsid w:val="00910AAC"/>
    <w:rsid w:val="00910B46"/>
    <w:rsid w:val="00910BA8"/>
    <w:rsid w:val="00910CEB"/>
    <w:rsid w:val="00910E02"/>
    <w:rsid w:val="00910F83"/>
    <w:rsid w:val="00910FCF"/>
    <w:rsid w:val="00911258"/>
    <w:rsid w:val="009114E2"/>
    <w:rsid w:val="00911624"/>
    <w:rsid w:val="00911813"/>
    <w:rsid w:val="00911884"/>
    <w:rsid w:val="0091190C"/>
    <w:rsid w:val="00911F51"/>
    <w:rsid w:val="009120B8"/>
    <w:rsid w:val="00912361"/>
    <w:rsid w:val="009123B1"/>
    <w:rsid w:val="00912D95"/>
    <w:rsid w:val="00912ECE"/>
    <w:rsid w:val="0091337C"/>
    <w:rsid w:val="00913466"/>
    <w:rsid w:val="009136ED"/>
    <w:rsid w:val="00913992"/>
    <w:rsid w:val="00913BFE"/>
    <w:rsid w:val="00913DC9"/>
    <w:rsid w:val="00913DE9"/>
    <w:rsid w:val="00913EDF"/>
    <w:rsid w:val="00914413"/>
    <w:rsid w:val="009144AA"/>
    <w:rsid w:val="00914821"/>
    <w:rsid w:val="00914B60"/>
    <w:rsid w:val="00914D6E"/>
    <w:rsid w:val="00914EEF"/>
    <w:rsid w:val="009153E7"/>
    <w:rsid w:val="009159BE"/>
    <w:rsid w:val="00915C87"/>
    <w:rsid w:val="00915D35"/>
    <w:rsid w:val="00915EAD"/>
    <w:rsid w:val="009160AE"/>
    <w:rsid w:val="009160BD"/>
    <w:rsid w:val="009161AF"/>
    <w:rsid w:val="00916AAB"/>
    <w:rsid w:val="00916F23"/>
    <w:rsid w:val="00916FC6"/>
    <w:rsid w:val="00917015"/>
    <w:rsid w:val="00917075"/>
    <w:rsid w:val="0091757D"/>
    <w:rsid w:val="00917788"/>
    <w:rsid w:val="00917847"/>
    <w:rsid w:val="009179F8"/>
    <w:rsid w:val="00917AED"/>
    <w:rsid w:val="00917D1D"/>
    <w:rsid w:val="00917D3F"/>
    <w:rsid w:val="00920648"/>
    <w:rsid w:val="009207A2"/>
    <w:rsid w:val="0092097D"/>
    <w:rsid w:val="00920AB5"/>
    <w:rsid w:val="00920CC8"/>
    <w:rsid w:val="00920D89"/>
    <w:rsid w:val="0092111A"/>
    <w:rsid w:val="009213F5"/>
    <w:rsid w:val="0092148E"/>
    <w:rsid w:val="00921539"/>
    <w:rsid w:val="00922485"/>
    <w:rsid w:val="00922761"/>
    <w:rsid w:val="00922ADC"/>
    <w:rsid w:val="00923072"/>
    <w:rsid w:val="00923137"/>
    <w:rsid w:val="009231CE"/>
    <w:rsid w:val="009234B9"/>
    <w:rsid w:val="00923709"/>
    <w:rsid w:val="00924271"/>
    <w:rsid w:val="009242A6"/>
    <w:rsid w:val="0092446C"/>
    <w:rsid w:val="009247AF"/>
    <w:rsid w:val="009249DD"/>
    <w:rsid w:val="00924CBB"/>
    <w:rsid w:val="00925135"/>
    <w:rsid w:val="009251E9"/>
    <w:rsid w:val="00925474"/>
    <w:rsid w:val="00925640"/>
    <w:rsid w:val="009258E1"/>
    <w:rsid w:val="00925937"/>
    <w:rsid w:val="00925996"/>
    <w:rsid w:val="00925AA9"/>
    <w:rsid w:val="00925E40"/>
    <w:rsid w:val="009262F8"/>
    <w:rsid w:val="009263AA"/>
    <w:rsid w:val="0092669E"/>
    <w:rsid w:val="00926858"/>
    <w:rsid w:val="00926C5F"/>
    <w:rsid w:val="00926DB2"/>
    <w:rsid w:val="00926EAE"/>
    <w:rsid w:val="009273D9"/>
    <w:rsid w:val="00927448"/>
    <w:rsid w:val="00927460"/>
    <w:rsid w:val="009275CB"/>
    <w:rsid w:val="009279AD"/>
    <w:rsid w:val="009279C6"/>
    <w:rsid w:val="009279FE"/>
    <w:rsid w:val="00927A46"/>
    <w:rsid w:val="00927AD4"/>
    <w:rsid w:val="009301CD"/>
    <w:rsid w:val="009302A4"/>
    <w:rsid w:val="009309B3"/>
    <w:rsid w:val="00930ADE"/>
    <w:rsid w:val="00930BB8"/>
    <w:rsid w:val="00930C80"/>
    <w:rsid w:val="00930E97"/>
    <w:rsid w:val="00931119"/>
    <w:rsid w:val="00931432"/>
    <w:rsid w:val="0093145E"/>
    <w:rsid w:val="009318CC"/>
    <w:rsid w:val="00931B0B"/>
    <w:rsid w:val="009333D0"/>
    <w:rsid w:val="009335EA"/>
    <w:rsid w:val="00933799"/>
    <w:rsid w:val="0093380C"/>
    <w:rsid w:val="00933B5D"/>
    <w:rsid w:val="00933F23"/>
    <w:rsid w:val="00934218"/>
    <w:rsid w:val="00934234"/>
    <w:rsid w:val="0093436F"/>
    <w:rsid w:val="00934A9C"/>
    <w:rsid w:val="00934AA7"/>
    <w:rsid w:val="00935198"/>
    <w:rsid w:val="00935606"/>
    <w:rsid w:val="009359F6"/>
    <w:rsid w:val="00935EDD"/>
    <w:rsid w:val="00936111"/>
    <w:rsid w:val="00936147"/>
    <w:rsid w:val="00936499"/>
    <w:rsid w:val="009367E5"/>
    <w:rsid w:val="009368E4"/>
    <w:rsid w:val="00936AB4"/>
    <w:rsid w:val="00936B21"/>
    <w:rsid w:val="00936D8F"/>
    <w:rsid w:val="00936ED8"/>
    <w:rsid w:val="00936FA0"/>
    <w:rsid w:val="009377FD"/>
    <w:rsid w:val="00937A19"/>
    <w:rsid w:val="00937ADA"/>
    <w:rsid w:val="00937CD3"/>
    <w:rsid w:val="00937D3B"/>
    <w:rsid w:val="0094056D"/>
    <w:rsid w:val="00940989"/>
    <w:rsid w:val="00940994"/>
    <w:rsid w:val="00940A44"/>
    <w:rsid w:val="00940A49"/>
    <w:rsid w:val="00940DD8"/>
    <w:rsid w:val="00940EDE"/>
    <w:rsid w:val="00940FA8"/>
    <w:rsid w:val="009413A3"/>
    <w:rsid w:val="00941407"/>
    <w:rsid w:val="00941FB5"/>
    <w:rsid w:val="0094203E"/>
    <w:rsid w:val="009423C9"/>
    <w:rsid w:val="009428AA"/>
    <w:rsid w:val="00942E17"/>
    <w:rsid w:val="009432D0"/>
    <w:rsid w:val="0094389F"/>
    <w:rsid w:val="009440CD"/>
    <w:rsid w:val="009443E0"/>
    <w:rsid w:val="009444CB"/>
    <w:rsid w:val="00944E9A"/>
    <w:rsid w:val="00944FC4"/>
    <w:rsid w:val="0094535B"/>
    <w:rsid w:val="009457EC"/>
    <w:rsid w:val="00945946"/>
    <w:rsid w:val="00945A72"/>
    <w:rsid w:val="00945F18"/>
    <w:rsid w:val="00945F4B"/>
    <w:rsid w:val="009460CE"/>
    <w:rsid w:val="009460D9"/>
    <w:rsid w:val="00946183"/>
    <w:rsid w:val="0094628F"/>
    <w:rsid w:val="0094645C"/>
    <w:rsid w:val="00946476"/>
    <w:rsid w:val="0094658A"/>
    <w:rsid w:val="00946844"/>
    <w:rsid w:val="00946AB3"/>
    <w:rsid w:val="00946C7C"/>
    <w:rsid w:val="00946CEA"/>
    <w:rsid w:val="00946D5B"/>
    <w:rsid w:val="00946E0C"/>
    <w:rsid w:val="00946F21"/>
    <w:rsid w:val="0094720C"/>
    <w:rsid w:val="009478A6"/>
    <w:rsid w:val="00947A31"/>
    <w:rsid w:val="00950013"/>
    <w:rsid w:val="00950485"/>
    <w:rsid w:val="00950878"/>
    <w:rsid w:val="00950AD2"/>
    <w:rsid w:val="00950C13"/>
    <w:rsid w:val="00950E50"/>
    <w:rsid w:val="00951214"/>
    <w:rsid w:val="00951480"/>
    <w:rsid w:val="0095183B"/>
    <w:rsid w:val="00951840"/>
    <w:rsid w:val="00951877"/>
    <w:rsid w:val="0095191B"/>
    <w:rsid w:val="00951A43"/>
    <w:rsid w:val="00951E3B"/>
    <w:rsid w:val="0095201E"/>
    <w:rsid w:val="009523BE"/>
    <w:rsid w:val="0095293F"/>
    <w:rsid w:val="00952BC6"/>
    <w:rsid w:val="00952BDB"/>
    <w:rsid w:val="00952C58"/>
    <w:rsid w:val="00952EA2"/>
    <w:rsid w:val="00953622"/>
    <w:rsid w:val="0095376B"/>
    <w:rsid w:val="00953788"/>
    <w:rsid w:val="00953AD6"/>
    <w:rsid w:val="00953C31"/>
    <w:rsid w:val="00954080"/>
    <w:rsid w:val="009541B8"/>
    <w:rsid w:val="009543F1"/>
    <w:rsid w:val="009544C8"/>
    <w:rsid w:val="00954683"/>
    <w:rsid w:val="0095483A"/>
    <w:rsid w:val="00954F59"/>
    <w:rsid w:val="00955081"/>
    <w:rsid w:val="009551B6"/>
    <w:rsid w:val="00955254"/>
    <w:rsid w:val="009552D1"/>
    <w:rsid w:val="0095551A"/>
    <w:rsid w:val="009555E4"/>
    <w:rsid w:val="00955713"/>
    <w:rsid w:val="00955778"/>
    <w:rsid w:val="00955A8A"/>
    <w:rsid w:val="00955CF8"/>
    <w:rsid w:val="00955F22"/>
    <w:rsid w:val="00955FAC"/>
    <w:rsid w:val="009560BA"/>
    <w:rsid w:val="00956407"/>
    <w:rsid w:val="00956704"/>
    <w:rsid w:val="00956E9A"/>
    <w:rsid w:val="00957227"/>
    <w:rsid w:val="009572E3"/>
    <w:rsid w:val="009574DC"/>
    <w:rsid w:val="00957C72"/>
    <w:rsid w:val="00957DA1"/>
    <w:rsid w:val="0096025A"/>
    <w:rsid w:val="009602D0"/>
    <w:rsid w:val="0096033A"/>
    <w:rsid w:val="00960494"/>
    <w:rsid w:val="00960AF9"/>
    <w:rsid w:val="00960BB3"/>
    <w:rsid w:val="009610B9"/>
    <w:rsid w:val="009615B1"/>
    <w:rsid w:val="009615E7"/>
    <w:rsid w:val="009617CF"/>
    <w:rsid w:val="00961A4B"/>
    <w:rsid w:val="009623B0"/>
    <w:rsid w:val="009623C9"/>
    <w:rsid w:val="00962574"/>
    <w:rsid w:val="009625CF"/>
    <w:rsid w:val="009626FA"/>
    <w:rsid w:val="00962A9D"/>
    <w:rsid w:val="00962AC2"/>
    <w:rsid w:val="00962D08"/>
    <w:rsid w:val="0096300C"/>
    <w:rsid w:val="009631D6"/>
    <w:rsid w:val="00963282"/>
    <w:rsid w:val="009632DE"/>
    <w:rsid w:val="00963755"/>
    <w:rsid w:val="00963A99"/>
    <w:rsid w:val="00963CD1"/>
    <w:rsid w:val="00963D1B"/>
    <w:rsid w:val="009640EF"/>
    <w:rsid w:val="00964462"/>
    <w:rsid w:val="009647A5"/>
    <w:rsid w:val="009648B3"/>
    <w:rsid w:val="00964970"/>
    <w:rsid w:val="009649F1"/>
    <w:rsid w:val="00964A72"/>
    <w:rsid w:val="00964AD9"/>
    <w:rsid w:val="00965014"/>
    <w:rsid w:val="00965071"/>
    <w:rsid w:val="009651C1"/>
    <w:rsid w:val="0096520A"/>
    <w:rsid w:val="00965957"/>
    <w:rsid w:val="009659F9"/>
    <w:rsid w:val="00965BF6"/>
    <w:rsid w:val="00965FFC"/>
    <w:rsid w:val="00966231"/>
    <w:rsid w:val="009665B8"/>
    <w:rsid w:val="009668ED"/>
    <w:rsid w:val="00966B8D"/>
    <w:rsid w:val="00967066"/>
    <w:rsid w:val="0096708F"/>
    <w:rsid w:val="0096753C"/>
    <w:rsid w:val="009679E3"/>
    <w:rsid w:val="00967FEE"/>
    <w:rsid w:val="00970122"/>
    <w:rsid w:val="009703E4"/>
    <w:rsid w:val="00970423"/>
    <w:rsid w:val="0097043B"/>
    <w:rsid w:val="0097062F"/>
    <w:rsid w:val="009707A7"/>
    <w:rsid w:val="00971110"/>
    <w:rsid w:val="0097114F"/>
    <w:rsid w:val="009712A8"/>
    <w:rsid w:val="00971AB9"/>
    <w:rsid w:val="00971C56"/>
    <w:rsid w:val="00971CE0"/>
    <w:rsid w:val="00971E74"/>
    <w:rsid w:val="00971FD7"/>
    <w:rsid w:val="009722B0"/>
    <w:rsid w:val="00972313"/>
    <w:rsid w:val="00972684"/>
    <w:rsid w:val="00972D9D"/>
    <w:rsid w:val="0097310A"/>
    <w:rsid w:val="00973261"/>
    <w:rsid w:val="00973780"/>
    <w:rsid w:val="00973851"/>
    <w:rsid w:val="00973854"/>
    <w:rsid w:val="00973940"/>
    <w:rsid w:val="009739CB"/>
    <w:rsid w:val="00973E1A"/>
    <w:rsid w:val="009744A6"/>
    <w:rsid w:val="009744B5"/>
    <w:rsid w:val="00974823"/>
    <w:rsid w:val="00974A47"/>
    <w:rsid w:val="00974A6A"/>
    <w:rsid w:val="00974B22"/>
    <w:rsid w:val="00974B5F"/>
    <w:rsid w:val="00974D21"/>
    <w:rsid w:val="00974EB9"/>
    <w:rsid w:val="00975048"/>
    <w:rsid w:val="009754E5"/>
    <w:rsid w:val="00975B1E"/>
    <w:rsid w:val="00976354"/>
    <w:rsid w:val="009768CA"/>
    <w:rsid w:val="00976963"/>
    <w:rsid w:val="00976DAF"/>
    <w:rsid w:val="00976DCD"/>
    <w:rsid w:val="009770E2"/>
    <w:rsid w:val="009775A1"/>
    <w:rsid w:val="00977732"/>
    <w:rsid w:val="009777B8"/>
    <w:rsid w:val="009777EA"/>
    <w:rsid w:val="009778E3"/>
    <w:rsid w:val="00977C2E"/>
    <w:rsid w:val="0098034B"/>
    <w:rsid w:val="009803A9"/>
    <w:rsid w:val="009803AA"/>
    <w:rsid w:val="009805E9"/>
    <w:rsid w:val="00980994"/>
    <w:rsid w:val="00980A7F"/>
    <w:rsid w:val="00980CA7"/>
    <w:rsid w:val="00980CB9"/>
    <w:rsid w:val="00980D92"/>
    <w:rsid w:val="00980DA7"/>
    <w:rsid w:val="00980ECD"/>
    <w:rsid w:val="00981614"/>
    <w:rsid w:val="00981707"/>
    <w:rsid w:val="009818FC"/>
    <w:rsid w:val="00981B09"/>
    <w:rsid w:val="00981CAC"/>
    <w:rsid w:val="00981D38"/>
    <w:rsid w:val="00981D7C"/>
    <w:rsid w:val="0098218F"/>
    <w:rsid w:val="0098259D"/>
    <w:rsid w:val="009825B7"/>
    <w:rsid w:val="0098283A"/>
    <w:rsid w:val="0098296C"/>
    <w:rsid w:val="009829A1"/>
    <w:rsid w:val="00982B33"/>
    <w:rsid w:val="00982D06"/>
    <w:rsid w:val="00982EA7"/>
    <w:rsid w:val="009831BA"/>
    <w:rsid w:val="00983373"/>
    <w:rsid w:val="0098379D"/>
    <w:rsid w:val="009838A7"/>
    <w:rsid w:val="00983E90"/>
    <w:rsid w:val="00983FCA"/>
    <w:rsid w:val="009841CB"/>
    <w:rsid w:val="0098508F"/>
    <w:rsid w:val="00985092"/>
    <w:rsid w:val="0098513C"/>
    <w:rsid w:val="00985509"/>
    <w:rsid w:val="009855A0"/>
    <w:rsid w:val="00985696"/>
    <w:rsid w:val="00985964"/>
    <w:rsid w:val="00985B62"/>
    <w:rsid w:val="00985C49"/>
    <w:rsid w:val="00985C8A"/>
    <w:rsid w:val="0098619A"/>
    <w:rsid w:val="009865E2"/>
    <w:rsid w:val="009867EC"/>
    <w:rsid w:val="00986B77"/>
    <w:rsid w:val="00986C68"/>
    <w:rsid w:val="00986CEE"/>
    <w:rsid w:val="0098707D"/>
    <w:rsid w:val="009871BD"/>
    <w:rsid w:val="00987258"/>
    <w:rsid w:val="00987263"/>
    <w:rsid w:val="00987A91"/>
    <w:rsid w:val="00987D77"/>
    <w:rsid w:val="00987DC7"/>
    <w:rsid w:val="0099012A"/>
    <w:rsid w:val="009901A6"/>
    <w:rsid w:val="009901F0"/>
    <w:rsid w:val="0099035F"/>
    <w:rsid w:val="0099081E"/>
    <w:rsid w:val="00990820"/>
    <w:rsid w:val="00991446"/>
    <w:rsid w:val="00991B57"/>
    <w:rsid w:val="00991E59"/>
    <w:rsid w:val="0099200F"/>
    <w:rsid w:val="00992276"/>
    <w:rsid w:val="0099227A"/>
    <w:rsid w:val="0099285F"/>
    <w:rsid w:val="00992958"/>
    <w:rsid w:val="009929C8"/>
    <w:rsid w:val="00992C93"/>
    <w:rsid w:val="009934B6"/>
    <w:rsid w:val="009940DB"/>
    <w:rsid w:val="009944DB"/>
    <w:rsid w:val="0099451B"/>
    <w:rsid w:val="0099470B"/>
    <w:rsid w:val="00994C86"/>
    <w:rsid w:val="00994DFA"/>
    <w:rsid w:val="00994F60"/>
    <w:rsid w:val="00995077"/>
    <w:rsid w:val="009951BF"/>
    <w:rsid w:val="0099542F"/>
    <w:rsid w:val="00995624"/>
    <w:rsid w:val="009956C3"/>
    <w:rsid w:val="00995E2D"/>
    <w:rsid w:val="0099616A"/>
    <w:rsid w:val="009961FE"/>
    <w:rsid w:val="00996420"/>
    <w:rsid w:val="0099644F"/>
    <w:rsid w:val="00996632"/>
    <w:rsid w:val="0099670C"/>
    <w:rsid w:val="00996786"/>
    <w:rsid w:val="00996A25"/>
    <w:rsid w:val="00996C80"/>
    <w:rsid w:val="009971AD"/>
    <w:rsid w:val="00997829"/>
    <w:rsid w:val="00997D1E"/>
    <w:rsid w:val="00997DDE"/>
    <w:rsid w:val="00997F32"/>
    <w:rsid w:val="00997F54"/>
    <w:rsid w:val="009A00B6"/>
    <w:rsid w:val="009A0278"/>
    <w:rsid w:val="009A02F0"/>
    <w:rsid w:val="009A040A"/>
    <w:rsid w:val="009A05A3"/>
    <w:rsid w:val="009A05D1"/>
    <w:rsid w:val="009A0920"/>
    <w:rsid w:val="009A0B2B"/>
    <w:rsid w:val="009A0B4F"/>
    <w:rsid w:val="009A0D8E"/>
    <w:rsid w:val="009A0DA8"/>
    <w:rsid w:val="009A0F13"/>
    <w:rsid w:val="009A18ED"/>
    <w:rsid w:val="009A21EE"/>
    <w:rsid w:val="009A22C6"/>
    <w:rsid w:val="009A2766"/>
    <w:rsid w:val="009A2837"/>
    <w:rsid w:val="009A28B5"/>
    <w:rsid w:val="009A297B"/>
    <w:rsid w:val="009A2D6E"/>
    <w:rsid w:val="009A2F8D"/>
    <w:rsid w:val="009A3191"/>
    <w:rsid w:val="009A326C"/>
    <w:rsid w:val="009A32A6"/>
    <w:rsid w:val="009A35C4"/>
    <w:rsid w:val="009A3609"/>
    <w:rsid w:val="009A377D"/>
    <w:rsid w:val="009A3B38"/>
    <w:rsid w:val="009A3B5F"/>
    <w:rsid w:val="009A3EF9"/>
    <w:rsid w:val="009A3F22"/>
    <w:rsid w:val="009A4209"/>
    <w:rsid w:val="009A4255"/>
    <w:rsid w:val="009A439A"/>
    <w:rsid w:val="009A44FA"/>
    <w:rsid w:val="009A4FE5"/>
    <w:rsid w:val="009A518D"/>
    <w:rsid w:val="009A5253"/>
    <w:rsid w:val="009A57E0"/>
    <w:rsid w:val="009A5ADB"/>
    <w:rsid w:val="009A5D7A"/>
    <w:rsid w:val="009A5FE7"/>
    <w:rsid w:val="009A603C"/>
    <w:rsid w:val="009A67C9"/>
    <w:rsid w:val="009A68A2"/>
    <w:rsid w:val="009A68CF"/>
    <w:rsid w:val="009A6CD2"/>
    <w:rsid w:val="009A6D8C"/>
    <w:rsid w:val="009A6EF3"/>
    <w:rsid w:val="009A7268"/>
    <w:rsid w:val="009A73A3"/>
    <w:rsid w:val="009A7AB3"/>
    <w:rsid w:val="009A7C8D"/>
    <w:rsid w:val="009A7DFB"/>
    <w:rsid w:val="009B02CF"/>
    <w:rsid w:val="009B0406"/>
    <w:rsid w:val="009B06AF"/>
    <w:rsid w:val="009B0A3C"/>
    <w:rsid w:val="009B1153"/>
    <w:rsid w:val="009B124E"/>
    <w:rsid w:val="009B1498"/>
    <w:rsid w:val="009B15CD"/>
    <w:rsid w:val="009B1640"/>
    <w:rsid w:val="009B1843"/>
    <w:rsid w:val="009B19F9"/>
    <w:rsid w:val="009B1A13"/>
    <w:rsid w:val="009B1AC1"/>
    <w:rsid w:val="009B1B04"/>
    <w:rsid w:val="009B23B8"/>
    <w:rsid w:val="009B23FC"/>
    <w:rsid w:val="009B249C"/>
    <w:rsid w:val="009B26D2"/>
    <w:rsid w:val="009B27EC"/>
    <w:rsid w:val="009B27F8"/>
    <w:rsid w:val="009B2D50"/>
    <w:rsid w:val="009B3169"/>
    <w:rsid w:val="009B337F"/>
    <w:rsid w:val="009B33F7"/>
    <w:rsid w:val="009B389F"/>
    <w:rsid w:val="009B3ACD"/>
    <w:rsid w:val="009B3E4B"/>
    <w:rsid w:val="009B3F64"/>
    <w:rsid w:val="009B40DA"/>
    <w:rsid w:val="009B44BB"/>
    <w:rsid w:val="009B479A"/>
    <w:rsid w:val="009B4827"/>
    <w:rsid w:val="009B488B"/>
    <w:rsid w:val="009B4BF8"/>
    <w:rsid w:val="009B4C78"/>
    <w:rsid w:val="009B5562"/>
    <w:rsid w:val="009B55A4"/>
    <w:rsid w:val="009B5770"/>
    <w:rsid w:val="009B5CD9"/>
    <w:rsid w:val="009B5D37"/>
    <w:rsid w:val="009B5D5E"/>
    <w:rsid w:val="009B5DCB"/>
    <w:rsid w:val="009B5EBF"/>
    <w:rsid w:val="009B5EC8"/>
    <w:rsid w:val="009B629F"/>
    <w:rsid w:val="009B6465"/>
    <w:rsid w:val="009B67DD"/>
    <w:rsid w:val="009B6EC9"/>
    <w:rsid w:val="009B70F6"/>
    <w:rsid w:val="009B7310"/>
    <w:rsid w:val="009B7390"/>
    <w:rsid w:val="009B7672"/>
    <w:rsid w:val="009B7B88"/>
    <w:rsid w:val="009C006E"/>
    <w:rsid w:val="009C01DE"/>
    <w:rsid w:val="009C02CD"/>
    <w:rsid w:val="009C055B"/>
    <w:rsid w:val="009C0779"/>
    <w:rsid w:val="009C07CC"/>
    <w:rsid w:val="009C0C50"/>
    <w:rsid w:val="009C1223"/>
    <w:rsid w:val="009C18AC"/>
    <w:rsid w:val="009C1A78"/>
    <w:rsid w:val="009C1E46"/>
    <w:rsid w:val="009C236D"/>
    <w:rsid w:val="009C2937"/>
    <w:rsid w:val="009C2CE8"/>
    <w:rsid w:val="009C2D88"/>
    <w:rsid w:val="009C2E3B"/>
    <w:rsid w:val="009C3003"/>
    <w:rsid w:val="009C32A6"/>
    <w:rsid w:val="009C3398"/>
    <w:rsid w:val="009C3623"/>
    <w:rsid w:val="009C3655"/>
    <w:rsid w:val="009C3A3B"/>
    <w:rsid w:val="009C3F44"/>
    <w:rsid w:val="009C40A3"/>
    <w:rsid w:val="009C428B"/>
    <w:rsid w:val="009C4352"/>
    <w:rsid w:val="009C47F8"/>
    <w:rsid w:val="009C4C6D"/>
    <w:rsid w:val="009C4DE9"/>
    <w:rsid w:val="009C4EC8"/>
    <w:rsid w:val="009C52D4"/>
    <w:rsid w:val="009C5436"/>
    <w:rsid w:val="009C543E"/>
    <w:rsid w:val="009C5686"/>
    <w:rsid w:val="009C587E"/>
    <w:rsid w:val="009C5910"/>
    <w:rsid w:val="009C5942"/>
    <w:rsid w:val="009C6001"/>
    <w:rsid w:val="009C6152"/>
    <w:rsid w:val="009C6326"/>
    <w:rsid w:val="009C6926"/>
    <w:rsid w:val="009C6B50"/>
    <w:rsid w:val="009C6DFF"/>
    <w:rsid w:val="009C74EB"/>
    <w:rsid w:val="009C75DB"/>
    <w:rsid w:val="009C7919"/>
    <w:rsid w:val="009C7ACB"/>
    <w:rsid w:val="009D00AC"/>
    <w:rsid w:val="009D06FA"/>
    <w:rsid w:val="009D0777"/>
    <w:rsid w:val="009D0827"/>
    <w:rsid w:val="009D0FA9"/>
    <w:rsid w:val="009D11DB"/>
    <w:rsid w:val="009D18A4"/>
    <w:rsid w:val="009D19AC"/>
    <w:rsid w:val="009D1B1D"/>
    <w:rsid w:val="009D1B38"/>
    <w:rsid w:val="009D1B8B"/>
    <w:rsid w:val="009D1C96"/>
    <w:rsid w:val="009D1CA1"/>
    <w:rsid w:val="009D1DA8"/>
    <w:rsid w:val="009D1FA4"/>
    <w:rsid w:val="009D2262"/>
    <w:rsid w:val="009D230E"/>
    <w:rsid w:val="009D2315"/>
    <w:rsid w:val="009D248E"/>
    <w:rsid w:val="009D2503"/>
    <w:rsid w:val="009D252D"/>
    <w:rsid w:val="009D2950"/>
    <w:rsid w:val="009D2B6C"/>
    <w:rsid w:val="009D2B88"/>
    <w:rsid w:val="009D2DB0"/>
    <w:rsid w:val="009D2F94"/>
    <w:rsid w:val="009D33DE"/>
    <w:rsid w:val="009D349A"/>
    <w:rsid w:val="009D35B1"/>
    <w:rsid w:val="009D3833"/>
    <w:rsid w:val="009D3D0B"/>
    <w:rsid w:val="009D3F0D"/>
    <w:rsid w:val="009D3F76"/>
    <w:rsid w:val="009D496D"/>
    <w:rsid w:val="009D4A07"/>
    <w:rsid w:val="009D4C61"/>
    <w:rsid w:val="009D596B"/>
    <w:rsid w:val="009D5CD2"/>
    <w:rsid w:val="009D5E16"/>
    <w:rsid w:val="009D64D6"/>
    <w:rsid w:val="009D67E6"/>
    <w:rsid w:val="009D68C3"/>
    <w:rsid w:val="009D6E01"/>
    <w:rsid w:val="009D6F15"/>
    <w:rsid w:val="009D7303"/>
    <w:rsid w:val="009D74A4"/>
    <w:rsid w:val="009D78AE"/>
    <w:rsid w:val="009D7EB4"/>
    <w:rsid w:val="009E045B"/>
    <w:rsid w:val="009E050E"/>
    <w:rsid w:val="009E077C"/>
    <w:rsid w:val="009E0A42"/>
    <w:rsid w:val="009E0BAD"/>
    <w:rsid w:val="009E0BD9"/>
    <w:rsid w:val="009E0F45"/>
    <w:rsid w:val="009E10ED"/>
    <w:rsid w:val="009E1501"/>
    <w:rsid w:val="009E1A4B"/>
    <w:rsid w:val="009E1A7F"/>
    <w:rsid w:val="009E1C88"/>
    <w:rsid w:val="009E1D53"/>
    <w:rsid w:val="009E1F1D"/>
    <w:rsid w:val="009E1F2D"/>
    <w:rsid w:val="009E2085"/>
    <w:rsid w:val="009E23FD"/>
    <w:rsid w:val="009E24B3"/>
    <w:rsid w:val="009E2C56"/>
    <w:rsid w:val="009E2F88"/>
    <w:rsid w:val="009E3414"/>
    <w:rsid w:val="009E3649"/>
    <w:rsid w:val="009E3DF3"/>
    <w:rsid w:val="009E4226"/>
    <w:rsid w:val="009E42A3"/>
    <w:rsid w:val="009E44FB"/>
    <w:rsid w:val="009E4B90"/>
    <w:rsid w:val="009E4C77"/>
    <w:rsid w:val="009E4E46"/>
    <w:rsid w:val="009E4F01"/>
    <w:rsid w:val="009E54F6"/>
    <w:rsid w:val="009E5500"/>
    <w:rsid w:val="009E5697"/>
    <w:rsid w:val="009E5B6E"/>
    <w:rsid w:val="009E5D08"/>
    <w:rsid w:val="009E673D"/>
    <w:rsid w:val="009E6993"/>
    <w:rsid w:val="009E6A38"/>
    <w:rsid w:val="009E6C39"/>
    <w:rsid w:val="009E6CB0"/>
    <w:rsid w:val="009E6E9A"/>
    <w:rsid w:val="009E717E"/>
    <w:rsid w:val="009E73DC"/>
    <w:rsid w:val="009E75B3"/>
    <w:rsid w:val="009E7614"/>
    <w:rsid w:val="009E7767"/>
    <w:rsid w:val="009E77D0"/>
    <w:rsid w:val="009E7975"/>
    <w:rsid w:val="009E7AEC"/>
    <w:rsid w:val="009E7B2C"/>
    <w:rsid w:val="009E7BF5"/>
    <w:rsid w:val="009E7C41"/>
    <w:rsid w:val="009E7DD6"/>
    <w:rsid w:val="009F0043"/>
    <w:rsid w:val="009F01F6"/>
    <w:rsid w:val="009F038C"/>
    <w:rsid w:val="009F111A"/>
    <w:rsid w:val="009F115F"/>
    <w:rsid w:val="009F1533"/>
    <w:rsid w:val="009F1623"/>
    <w:rsid w:val="009F1729"/>
    <w:rsid w:val="009F1A71"/>
    <w:rsid w:val="009F1BB9"/>
    <w:rsid w:val="009F1CFA"/>
    <w:rsid w:val="009F2289"/>
    <w:rsid w:val="009F22EF"/>
    <w:rsid w:val="009F299F"/>
    <w:rsid w:val="009F29E6"/>
    <w:rsid w:val="009F2A59"/>
    <w:rsid w:val="009F2DFE"/>
    <w:rsid w:val="009F2E12"/>
    <w:rsid w:val="009F2E79"/>
    <w:rsid w:val="009F2F4B"/>
    <w:rsid w:val="009F3017"/>
    <w:rsid w:val="009F3368"/>
    <w:rsid w:val="009F33E6"/>
    <w:rsid w:val="009F33F4"/>
    <w:rsid w:val="009F3423"/>
    <w:rsid w:val="009F3648"/>
    <w:rsid w:val="009F36A9"/>
    <w:rsid w:val="009F385B"/>
    <w:rsid w:val="009F393B"/>
    <w:rsid w:val="009F3C05"/>
    <w:rsid w:val="009F3E5E"/>
    <w:rsid w:val="009F4007"/>
    <w:rsid w:val="009F40F9"/>
    <w:rsid w:val="009F45D6"/>
    <w:rsid w:val="009F4A5A"/>
    <w:rsid w:val="009F4E60"/>
    <w:rsid w:val="009F51EA"/>
    <w:rsid w:val="009F529B"/>
    <w:rsid w:val="009F547B"/>
    <w:rsid w:val="009F551C"/>
    <w:rsid w:val="009F5967"/>
    <w:rsid w:val="009F5BBD"/>
    <w:rsid w:val="009F5DE8"/>
    <w:rsid w:val="009F622F"/>
    <w:rsid w:val="009F66E4"/>
    <w:rsid w:val="009F6803"/>
    <w:rsid w:val="009F6FE0"/>
    <w:rsid w:val="009F7088"/>
    <w:rsid w:val="009F72BA"/>
    <w:rsid w:val="00A001F4"/>
    <w:rsid w:val="00A004BB"/>
    <w:rsid w:val="00A0079D"/>
    <w:rsid w:val="00A00812"/>
    <w:rsid w:val="00A00B7F"/>
    <w:rsid w:val="00A00C1F"/>
    <w:rsid w:val="00A00E71"/>
    <w:rsid w:val="00A0158D"/>
    <w:rsid w:val="00A01A40"/>
    <w:rsid w:val="00A01D63"/>
    <w:rsid w:val="00A02083"/>
    <w:rsid w:val="00A02242"/>
    <w:rsid w:val="00A026FA"/>
    <w:rsid w:val="00A02777"/>
    <w:rsid w:val="00A02A48"/>
    <w:rsid w:val="00A02B48"/>
    <w:rsid w:val="00A02EF5"/>
    <w:rsid w:val="00A02F86"/>
    <w:rsid w:val="00A0305F"/>
    <w:rsid w:val="00A03777"/>
    <w:rsid w:val="00A03B34"/>
    <w:rsid w:val="00A043EC"/>
    <w:rsid w:val="00A044B3"/>
    <w:rsid w:val="00A0450F"/>
    <w:rsid w:val="00A04B03"/>
    <w:rsid w:val="00A04FD5"/>
    <w:rsid w:val="00A054B7"/>
    <w:rsid w:val="00A05B05"/>
    <w:rsid w:val="00A05B54"/>
    <w:rsid w:val="00A05C0A"/>
    <w:rsid w:val="00A05EF4"/>
    <w:rsid w:val="00A05FD4"/>
    <w:rsid w:val="00A0609A"/>
    <w:rsid w:val="00A063EA"/>
    <w:rsid w:val="00A067DF"/>
    <w:rsid w:val="00A069E9"/>
    <w:rsid w:val="00A06C64"/>
    <w:rsid w:val="00A06C9C"/>
    <w:rsid w:val="00A06EF9"/>
    <w:rsid w:val="00A07149"/>
    <w:rsid w:val="00A07448"/>
    <w:rsid w:val="00A07A8A"/>
    <w:rsid w:val="00A07BA0"/>
    <w:rsid w:val="00A1044B"/>
    <w:rsid w:val="00A10E24"/>
    <w:rsid w:val="00A10F0A"/>
    <w:rsid w:val="00A11052"/>
    <w:rsid w:val="00A11189"/>
    <w:rsid w:val="00A11563"/>
    <w:rsid w:val="00A1179D"/>
    <w:rsid w:val="00A117D1"/>
    <w:rsid w:val="00A1194A"/>
    <w:rsid w:val="00A11BC9"/>
    <w:rsid w:val="00A12076"/>
    <w:rsid w:val="00A126A7"/>
    <w:rsid w:val="00A12779"/>
    <w:rsid w:val="00A1287E"/>
    <w:rsid w:val="00A12A9D"/>
    <w:rsid w:val="00A12B24"/>
    <w:rsid w:val="00A12C27"/>
    <w:rsid w:val="00A12E1C"/>
    <w:rsid w:val="00A12EE4"/>
    <w:rsid w:val="00A13131"/>
    <w:rsid w:val="00A13299"/>
    <w:rsid w:val="00A1347E"/>
    <w:rsid w:val="00A1350E"/>
    <w:rsid w:val="00A136E5"/>
    <w:rsid w:val="00A13A35"/>
    <w:rsid w:val="00A13A8E"/>
    <w:rsid w:val="00A13F56"/>
    <w:rsid w:val="00A14049"/>
    <w:rsid w:val="00A14061"/>
    <w:rsid w:val="00A142D4"/>
    <w:rsid w:val="00A14360"/>
    <w:rsid w:val="00A14BC6"/>
    <w:rsid w:val="00A14E27"/>
    <w:rsid w:val="00A14EA3"/>
    <w:rsid w:val="00A14FA5"/>
    <w:rsid w:val="00A1521F"/>
    <w:rsid w:val="00A15709"/>
    <w:rsid w:val="00A1592E"/>
    <w:rsid w:val="00A15D5F"/>
    <w:rsid w:val="00A160F8"/>
    <w:rsid w:val="00A16C6D"/>
    <w:rsid w:val="00A16F71"/>
    <w:rsid w:val="00A170AC"/>
    <w:rsid w:val="00A172A0"/>
    <w:rsid w:val="00A1744D"/>
    <w:rsid w:val="00A174A1"/>
    <w:rsid w:val="00A179B7"/>
    <w:rsid w:val="00A17A8D"/>
    <w:rsid w:val="00A17BAD"/>
    <w:rsid w:val="00A200A0"/>
    <w:rsid w:val="00A20162"/>
    <w:rsid w:val="00A2018A"/>
    <w:rsid w:val="00A2066E"/>
    <w:rsid w:val="00A20CB3"/>
    <w:rsid w:val="00A21059"/>
    <w:rsid w:val="00A21244"/>
    <w:rsid w:val="00A21546"/>
    <w:rsid w:val="00A216C3"/>
    <w:rsid w:val="00A218F6"/>
    <w:rsid w:val="00A219B8"/>
    <w:rsid w:val="00A21B4D"/>
    <w:rsid w:val="00A21D8D"/>
    <w:rsid w:val="00A21FFC"/>
    <w:rsid w:val="00A2289E"/>
    <w:rsid w:val="00A22962"/>
    <w:rsid w:val="00A22DE1"/>
    <w:rsid w:val="00A23348"/>
    <w:rsid w:val="00A2341B"/>
    <w:rsid w:val="00A23908"/>
    <w:rsid w:val="00A23A07"/>
    <w:rsid w:val="00A23C48"/>
    <w:rsid w:val="00A23F9B"/>
    <w:rsid w:val="00A241D5"/>
    <w:rsid w:val="00A24348"/>
    <w:rsid w:val="00A248A2"/>
    <w:rsid w:val="00A25105"/>
    <w:rsid w:val="00A2517A"/>
    <w:rsid w:val="00A2533D"/>
    <w:rsid w:val="00A25565"/>
    <w:rsid w:val="00A259C3"/>
    <w:rsid w:val="00A26465"/>
    <w:rsid w:val="00A26BF1"/>
    <w:rsid w:val="00A2706E"/>
    <w:rsid w:val="00A2779B"/>
    <w:rsid w:val="00A27826"/>
    <w:rsid w:val="00A278C6"/>
    <w:rsid w:val="00A27973"/>
    <w:rsid w:val="00A27C78"/>
    <w:rsid w:val="00A27D10"/>
    <w:rsid w:val="00A27F63"/>
    <w:rsid w:val="00A30022"/>
    <w:rsid w:val="00A30220"/>
    <w:rsid w:val="00A302BA"/>
    <w:rsid w:val="00A3033B"/>
    <w:rsid w:val="00A308CE"/>
    <w:rsid w:val="00A30A15"/>
    <w:rsid w:val="00A30B5C"/>
    <w:rsid w:val="00A30E0E"/>
    <w:rsid w:val="00A30FD9"/>
    <w:rsid w:val="00A313F0"/>
    <w:rsid w:val="00A315F0"/>
    <w:rsid w:val="00A31A65"/>
    <w:rsid w:val="00A31D97"/>
    <w:rsid w:val="00A322A4"/>
    <w:rsid w:val="00A32704"/>
    <w:rsid w:val="00A32B17"/>
    <w:rsid w:val="00A32DE4"/>
    <w:rsid w:val="00A32DED"/>
    <w:rsid w:val="00A331DA"/>
    <w:rsid w:val="00A3375B"/>
    <w:rsid w:val="00A337D0"/>
    <w:rsid w:val="00A339AA"/>
    <w:rsid w:val="00A33A87"/>
    <w:rsid w:val="00A33C42"/>
    <w:rsid w:val="00A33FEA"/>
    <w:rsid w:val="00A343A9"/>
    <w:rsid w:val="00A34698"/>
    <w:rsid w:val="00A34E62"/>
    <w:rsid w:val="00A350E1"/>
    <w:rsid w:val="00A350EA"/>
    <w:rsid w:val="00A35109"/>
    <w:rsid w:val="00A35427"/>
    <w:rsid w:val="00A355E6"/>
    <w:rsid w:val="00A35ED4"/>
    <w:rsid w:val="00A36127"/>
    <w:rsid w:val="00A36128"/>
    <w:rsid w:val="00A362EF"/>
    <w:rsid w:val="00A3639A"/>
    <w:rsid w:val="00A36F16"/>
    <w:rsid w:val="00A37379"/>
    <w:rsid w:val="00A37651"/>
    <w:rsid w:val="00A376D1"/>
    <w:rsid w:val="00A37733"/>
    <w:rsid w:val="00A37852"/>
    <w:rsid w:val="00A3793D"/>
    <w:rsid w:val="00A37999"/>
    <w:rsid w:val="00A37ABA"/>
    <w:rsid w:val="00A37D30"/>
    <w:rsid w:val="00A37E70"/>
    <w:rsid w:val="00A40248"/>
    <w:rsid w:val="00A40538"/>
    <w:rsid w:val="00A407D3"/>
    <w:rsid w:val="00A40851"/>
    <w:rsid w:val="00A40967"/>
    <w:rsid w:val="00A40D36"/>
    <w:rsid w:val="00A40F2A"/>
    <w:rsid w:val="00A411CF"/>
    <w:rsid w:val="00A41556"/>
    <w:rsid w:val="00A41592"/>
    <w:rsid w:val="00A415D1"/>
    <w:rsid w:val="00A417CD"/>
    <w:rsid w:val="00A41828"/>
    <w:rsid w:val="00A41AB2"/>
    <w:rsid w:val="00A41C14"/>
    <w:rsid w:val="00A41D0B"/>
    <w:rsid w:val="00A41D82"/>
    <w:rsid w:val="00A41DB6"/>
    <w:rsid w:val="00A41FB1"/>
    <w:rsid w:val="00A42021"/>
    <w:rsid w:val="00A422A0"/>
    <w:rsid w:val="00A424A7"/>
    <w:rsid w:val="00A42998"/>
    <w:rsid w:val="00A42D6F"/>
    <w:rsid w:val="00A42EE5"/>
    <w:rsid w:val="00A4313C"/>
    <w:rsid w:val="00A43199"/>
    <w:rsid w:val="00A433AF"/>
    <w:rsid w:val="00A43444"/>
    <w:rsid w:val="00A43918"/>
    <w:rsid w:val="00A43926"/>
    <w:rsid w:val="00A43E40"/>
    <w:rsid w:val="00A440B6"/>
    <w:rsid w:val="00A442C3"/>
    <w:rsid w:val="00A443A6"/>
    <w:rsid w:val="00A44650"/>
    <w:rsid w:val="00A4472E"/>
    <w:rsid w:val="00A44762"/>
    <w:rsid w:val="00A447AC"/>
    <w:rsid w:val="00A4488D"/>
    <w:rsid w:val="00A44A78"/>
    <w:rsid w:val="00A44AB1"/>
    <w:rsid w:val="00A44B62"/>
    <w:rsid w:val="00A44D3A"/>
    <w:rsid w:val="00A45133"/>
    <w:rsid w:val="00A45242"/>
    <w:rsid w:val="00A4535C"/>
    <w:rsid w:val="00A453F4"/>
    <w:rsid w:val="00A4541B"/>
    <w:rsid w:val="00A456BE"/>
    <w:rsid w:val="00A45780"/>
    <w:rsid w:val="00A458C7"/>
    <w:rsid w:val="00A46341"/>
    <w:rsid w:val="00A4665C"/>
    <w:rsid w:val="00A46D38"/>
    <w:rsid w:val="00A46F67"/>
    <w:rsid w:val="00A472C1"/>
    <w:rsid w:val="00A47914"/>
    <w:rsid w:val="00A5015D"/>
    <w:rsid w:val="00A5016B"/>
    <w:rsid w:val="00A501C4"/>
    <w:rsid w:val="00A501D1"/>
    <w:rsid w:val="00A504DC"/>
    <w:rsid w:val="00A505AC"/>
    <w:rsid w:val="00A509B3"/>
    <w:rsid w:val="00A51286"/>
    <w:rsid w:val="00A516B5"/>
    <w:rsid w:val="00A5171D"/>
    <w:rsid w:val="00A51774"/>
    <w:rsid w:val="00A5183D"/>
    <w:rsid w:val="00A51CA7"/>
    <w:rsid w:val="00A51EF0"/>
    <w:rsid w:val="00A520F4"/>
    <w:rsid w:val="00A521E2"/>
    <w:rsid w:val="00A5223E"/>
    <w:rsid w:val="00A52355"/>
    <w:rsid w:val="00A52467"/>
    <w:rsid w:val="00A52920"/>
    <w:rsid w:val="00A52935"/>
    <w:rsid w:val="00A52BDF"/>
    <w:rsid w:val="00A52D0C"/>
    <w:rsid w:val="00A530EA"/>
    <w:rsid w:val="00A53357"/>
    <w:rsid w:val="00A539B0"/>
    <w:rsid w:val="00A539F3"/>
    <w:rsid w:val="00A53EBD"/>
    <w:rsid w:val="00A53FE7"/>
    <w:rsid w:val="00A5432E"/>
    <w:rsid w:val="00A54620"/>
    <w:rsid w:val="00A5472F"/>
    <w:rsid w:val="00A54752"/>
    <w:rsid w:val="00A54794"/>
    <w:rsid w:val="00A54971"/>
    <w:rsid w:val="00A54D1A"/>
    <w:rsid w:val="00A5502E"/>
    <w:rsid w:val="00A55241"/>
    <w:rsid w:val="00A55288"/>
    <w:rsid w:val="00A55848"/>
    <w:rsid w:val="00A55852"/>
    <w:rsid w:val="00A558EC"/>
    <w:rsid w:val="00A55A9E"/>
    <w:rsid w:val="00A55DFF"/>
    <w:rsid w:val="00A5601E"/>
    <w:rsid w:val="00A563BF"/>
    <w:rsid w:val="00A5644B"/>
    <w:rsid w:val="00A566A5"/>
    <w:rsid w:val="00A5681D"/>
    <w:rsid w:val="00A5686C"/>
    <w:rsid w:val="00A56976"/>
    <w:rsid w:val="00A56A31"/>
    <w:rsid w:val="00A56CA5"/>
    <w:rsid w:val="00A56CB0"/>
    <w:rsid w:val="00A56E96"/>
    <w:rsid w:val="00A56FE0"/>
    <w:rsid w:val="00A574D8"/>
    <w:rsid w:val="00A57843"/>
    <w:rsid w:val="00A57871"/>
    <w:rsid w:val="00A57951"/>
    <w:rsid w:val="00A57AA1"/>
    <w:rsid w:val="00A57E24"/>
    <w:rsid w:val="00A57F5E"/>
    <w:rsid w:val="00A60021"/>
    <w:rsid w:val="00A60755"/>
    <w:rsid w:val="00A60A31"/>
    <w:rsid w:val="00A60E57"/>
    <w:rsid w:val="00A60ECB"/>
    <w:rsid w:val="00A610DF"/>
    <w:rsid w:val="00A61183"/>
    <w:rsid w:val="00A61601"/>
    <w:rsid w:val="00A61628"/>
    <w:rsid w:val="00A619CC"/>
    <w:rsid w:val="00A61B95"/>
    <w:rsid w:val="00A61DC1"/>
    <w:rsid w:val="00A61EA8"/>
    <w:rsid w:val="00A62686"/>
    <w:rsid w:val="00A629BF"/>
    <w:rsid w:val="00A62DDB"/>
    <w:rsid w:val="00A62DFA"/>
    <w:rsid w:val="00A62EF7"/>
    <w:rsid w:val="00A62F41"/>
    <w:rsid w:val="00A63400"/>
    <w:rsid w:val="00A635BF"/>
    <w:rsid w:val="00A63667"/>
    <w:rsid w:val="00A636E7"/>
    <w:rsid w:val="00A6391F"/>
    <w:rsid w:val="00A63C54"/>
    <w:rsid w:val="00A63DC9"/>
    <w:rsid w:val="00A63F60"/>
    <w:rsid w:val="00A6497F"/>
    <w:rsid w:val="00A64B5B"/>
    <w:rsid w:val="00A64DF6"/>
    <w:rsid w:val="00A65450"/>
    <w:rsid w:val="00A655A0"/>
    <w:rsid w:val="00A65C90"/>
    <w:rsid w:val="00A65FA5"/>
    <w:rsid w:val="00A6663C"/>
    <w:rsid w:val="00A66982"/>
    <w:rsid w:val="00A66C87"/>
    <w:rsid w:val="00A67113"/>
    <w:rsid w:val="00A6712E"/>
    <w:rsid w:val="00A673E7"/>
    <w:rsid w:val="00A67507"/>
    <w:rsid w:val="00A67A6F"/>
    <w:rsid w:val="00A67F15"/>
    <w:rsid w:val="00A67FB5"/>
    <w:rsid w:val="00A70085"/>
    <w:rsid w:val="00A70281"/>
    <w:rsid w:val="00A709C6"/>
    <w:rsid w:val="00A70B48"/>
    <w:rsid w:val="00A70CBF"/>
    <w:rsid w:val="00A70D4A"/>
    <w:rsid w:val="00A70E78"/>
    <w:rsid w:val="00A70F45"/>
    <w:rsid w:val="00A71135"/>
    <w:rsid w:val="00A712C0"/>
    <w:rsid w:val="00A71349"/>
    <w:rsid w:val="00A716BD"/>
    <w:rsid w:val="00A716ED"/>
    <w:rsid w:val="00A7190E"/>
    <w:rsid w:val="00A71A86"/>
    <w:rsid w:val="00A72268"/>
    <w:rsid w:val="00A72812"/>
    <w:rsid w:val="00A7283C"/>
    <w:rsid w:val="00A7294F"/>
    <w:rsid w:val="00A72DC6"/>
    <w:rsid w:val="00A73280"/>
    <w:rsid w:val="00A73566"/>
    <w:rsid w:val="00A7383D"/>
    <w:rsid w:val="00A73889"/>
    <w:rsid w:val="00A73936"/>
    <w:rsid w:val="00A73A43"/>
    <w:rsid w:val="00A73C1C"/>
    <w:rsid w:val="00A740A2"/>
    <w:rsid w:val="00A7516E"/>
    <w:rsid w:val="00A754D6"/>
    <w:rsid w:val="00A7588D"/>
    <w:rsid w:val="00A75980"/>
    <w:rsid w:val="00A75B9D"/>
    <w:rsid w:val="00A75C52"/>
    <w:rsid w:val="00A75E90"/>
    <w:rsid w:val="00A7638A"/>
    <w:rsid w:val="00A765A3"/>
    <w:rsid w:val="00A767EF"/>
    <w:rsid w:val="00A76A09"/>
    <w:rsid w:val="00A76AB2"/>
    <w:rsid w:val="00A76C65"/>
    <w:rsid w:val="00A76D0E"/>
    <w:rsid w:val="00A76EC5"/>
    <w:rsid w:val="00A7721C"/>
    <w:rsid w:val="00A7750A"/>
    <w:rsid w:val="00A7771A"/>
    <w:rsid w:val="00A777F9"/>
    <w:rsid w:val="00A778F8"/>
    <w:rsid w:val="00A7799F"/>
    <w:rsid w:val="00A77A0F"/>
    <w:rsid w:val="00A77EA6"/>
    <w:rsid w:val="00A77F43"/>
    <w:rsid w:val="00A80021"/>
    <w:rsid w:val="00A80331"/>
    <w:rsid w:val="00A8035C"/>
    <w:rsid w:val="00A80A0D"/>
    <w:rsid w:val="00A80EB2"/>
    <w:rsid w:val="00A80F36"/>
    <w:rsid w:val="00A810BD"/>
    <w:rsid w:val="00A8125D"/>
    <w:rsid w:val="00A8155E"/>
    <w:rsid w:val="00A81729"/>
    <w:rsid w:val="00A817AE"/>
    <w:rsid w:val="00A81820"/>
    <w:rsid w:val="00A81BC9"/>
    <w:rsid w:val="00A822C6"/>
    <w:rsid w:val="00A826B5"/>
    <w:rsid w:val="00A82811"/>
    <w:rsid w:val="00A83194"/>
    <w:rsid w:val="00A8320B"/>
    <w:rsid w:val="00A83782"/>
    <w:rsid w:val="00A837D2"/>
    <w:rsid w:val="00A83D8D"/>
    <w:rsid w:val="00A84328"/>
    <w:rsid w:val="00A84499"/>
    <w:rsid w:val="00A84ADD"/>
    <w:rsid w:val="00A84C1A"/>
    <w:rsid w:val="00A84F3F"/>
    <w:rsid w:val="00A84FE7"/>
    <w:rsid w:val="00A8540F"/>
    <w:rsid w:val="00A85B10"/>
    <w:rsid w:val="00A85E1A"/>
    <w:rsid w:val="00A866B6"/>
    <w:rsid w:val="00A867BB"/>
    <w:rsid w:val="00A869DC"/>
    <w:rsid w:val="00A86B0E"/>
    <w:rsid w:val="00A86D15"/>
    <w:rsid w:val="00A86ED5"/>
    <w:rsid w:val="00A86F7B"/>
    <w:rsid w:val="00A86FE6"/>
    <w:rsid w:val="00A87169"/>
    <w:rsid w:val="00A871BD"/>
    <w:rsid w:val="00A87221"/>
    <w:rsid w:val="00A8733B"/>
    <w:rsid w:val="00A87882"/>
    <w:rsid w:val="00A87CFA"/>
    <w:rsid w:val="00A87D1D"/>
    <w:rsid w:val="00A87F22"/>
    <w:rsid w:val="00A90480"/>
    <w:rsid w:val="00A90561"/>
    <w:rsid w:val="00A9070D"/>
    <w:rsid w:val="00A90790"/>
    <w:rsid w:val="00A907D9"/>
    <w:rsid w:val="00A9095F"/>
    <w:rsid w:val="00A909A9"/>
    <w:rsid w:val="00A90AAB"/>
    <w:rsid w:val="00A90CB5"/>
    <w:rsid w:val="00A90CCD"/>
    <w:rsid w:val="00A90EC4"/>
    <w:rsid w:val="00A9102A"/>
    <w:rsid w:val="00A910BE"/>
    <w:rsid w:val="00A91381"/>
    <w:rsid w:val="00A91C5E"/>
    <w:rsid w:val="00A91D23"/>
    <w:rsid w:val="00A920A6"/>
    <w:rsid w:val="00A92174"/>
    <w:rsid w:val="00A92381"/>
    <w:rsid w:val="00A92440"/>
    <w:rsid w:val="00A92472"/>
    <w:rsid w:val="00A926B6"/>
    <w:rsid w:val="00A92BD5"/>
    <w:rsid w:val="00A92E46"/>
    <w:rsid w:val="00A92FA2"/>
    <w:rsid w:val="00A93251"/>
    <w:rsid w:val="00A9331A"/>
    <w:rsid w:val="00A933F8"/>
    <w:rsid w:val="00A934A1"/>
    <w:rsid w:val="00A934DE"/>
    <w:rsid w:val="00A9375F"/>
    <w:rsid w:val="00A937DF"/>
    <w:rsid w:val="00A938F7"/>
    <w:rsid w:val="00A93C54"/>
    <w:rsid w:val="00A940D5"/>
    <w:rsid w:val="00A947D3"/>
    <w:rsid w:val="00A949F1"/>
    <w:rsid w:val="00A94BB0"/>
    <w:rsid w:val="00A94EFA"/>
    <w:rsid w:val="00A95217"/>
    <w:rsid w:val="00A952CF"/>
    <w:rsid w:val="00A95577"/>
    <w:rsid w:val="00A9564E"/>
    <w:rsid w:val="00A9568B"/>
    <w:rsid w:val="00A959A4"/>
    <w:rsid w:val="00A95C78"/>
    <w:rsid w:val="00A95E75"/>
    <w:rsid w:val="00A95F78"/>
    <w:rsid w:val="00A9616D"/>
    <w:rsid w:val="00A96447"/>
    <w:rsid w:val="00A964C4"/>
    <w:rsid w:val="00A967CB"/>
    <w:rsid w:val="00A96839"/>
    <w:rsid w:val="00A96A69"/>
    <w:rsid w:val="00A96C37"/>
    <w:rsid w:val="00A96DE1"/>
    <w:rsid w:val="00A96F01"/>
    <w:rsid w:val="00A96FC8"/>
    <w:rsid w:val="00A97040"/>
    <w:rsid w:val="00A97166"/>
    <w:rsid w:val="00A97167"/>
    <w:rsid w:val="00A973E7"/>
    <w:rsid w:val="00A978D9"/>
    <w:rsid w:val="00A979C5"/>
    <w:rsid w:val="00A97B0F"/>
    <w:rsid w:val="00A97B5E"/>
    <w:rsid w:val="00A97DA5"/>
    <w:rsid w:val="00A97FDB"/>
    <w:rsid w:val="00A97FFA"/>
    <w:rsid w:val="00AA06C4"/>
    <w:rsid w:val="00AA07EA"/>
    <w:rsid w:val="00AA0906"/>
    <w:rsid w:val="00AA0B2B"/>
    <w:rsid w:val="00AA0E2B"/>
    <w:rsid w:val="00AA107F"/>
    <w:rsid w:val="00AA122E"/>
    <w:rsid w:val="00AA1420"/>
    <w:rsid w:val="00AA15C8"/>
    <w:rsid w:val="00AA168E"/>
    <w:rsid w:val="00AA174E"/>
    <w:rsid w:val="00AA1BE8"/>
    <w:rsid w:val="00AA1C43"/>
    <w:rsid w:val="00AA20C0"/>
    <w:rsid w:val="00AA20C1"/>
    <w:rsid w:val="00AA20F7"/>
    <w:rsid w:val="00AA22FB"/>
    <w:rsid w:val="00AA23C1"/>
    <w:rsid w:val="00AA23D5"/>
    <w:rsid w:val="00AA28B3"/>
    <w:rsid w:val="00AA2A76"/>
    <w:rsid w:val="00AA2E34"/>
    <w:rsid w:val="00AA2F66"/>
    <w:rsid w:val="00AA30D0"/>
    <w:rsid w:val="00AA3152"/>
    <w:rsid w:val="00AA370D"/>
    <w:rsid w:val="00AA396E"/>
    <w:rsid w:val="00AA3A3A"/>
    <w:rsid w:val="00AA3C24"/>
    <w:rsid w:val="00AA3F19"/>
    <w:rsid w:val="00AA4038"/>
    <w:rsid w:val="00AA42F4"/>
    <w:rsid w:val="00AA487E"/>
    <w:rsid w:val="00AA4EA3"/>
    <w:rsid w:val="00AA520F"/>
    <w:rsid w:val="00AA52DA"/>
    <w:rsid w:val="00AA5602"/>
    <w:rsid w:val="00AA5606"/>
    <w:rsid w:val="00AA59C8"/>
    <w:rsid w:val="00AA5B60"/>
    <w:rsid w:val="00AA6052"/>
    <w:rsid w:val="00AA624C"/>
    <w:rsid w:val="00AA639D"/>
    <w:rsid w:val="00AA63D9"/>
    <w:rsid w:val="00AA653A"/>
    <w:rsid w:val="00AA68F5"/>
    <w:rsid w:val="00AA6ABC"/>
    <w:rsid w:val="00AA6CC7"/>
    <w:rsid w:val="00AA6EEA"/>
    <w:rsid w:val="00AA7269"/>
    <w:rsid w:val="00AA72AE"/>
    <w:rsid w:val="00AA7301"/>
    <w:rsid w:val="00AA75D4"/>
    <w:rsid w:val="00AA788D"/>
    <w:rsid w:val="00AA791B"/>
    <w:rsid w:val="00AA79B3"/>
    <w:rsid w:val="00AB0168"/>
    <w:rsid w:val="00AB01F4"/>
    <w:rsid w:val="00AB041E"/>
    <w:rsid w:val="00AB0423"/>
    <w:rsid w:val="00AB05B0"/>
    <w:rsid w:val="00AB06EB"/>
    <w:rsid w:val="00AB0FB3"/>
    <w:rsid w:val="00AB1411"/>
    <w:rsid w:val="00AB15AC"/>
    <w:rsid w:val="00AB1A58"/>
    <w:rsid w:val="00AB203B"/>
    <w:rsid w:val="00AB2242"/>
    <w:rsid w:val="00AB253E"/>
    <w:rsid w:val="00AB2574"/>
    <w:rsid w:val="00AB28A1"/>
    <w:rsid w:val="00AB2A7D"/>
    <w:rsid w:val="00AB2BC5"/>
    <w:rsid w:val="00AB2D3F"/>
    <w:rsid w:val="00AB2E5B"/>
    <w:rsid w:val="00AB2EC3"/>
    <w:rsid w:val="00AB334F"/>
    <w:rsid w:val="00AB3615"/>
    <w:rsid w:val="00AB3633"/>
    <w:rsid w:val="00AB365B"/>
    <w:rsid w:val="00AB37DB"/>
    <w:rsid w:val="00AB3A31"/>
    <w:rsid w:val="00AB3B74"/>
    <w:rsid w:val="00AB3DB1"/>
    <w:rsid w:val="00AB3E10"/>
    <w:rsid w:val="00AB3E97"/>
    <w:rsid w:val="00AB3EC1"/>
    <w:rsid w:val="00AB3FF8"/>
    <w:rsid w:val="00AB41D6"/>
    <w:rsid w:val="00AB450D"/>
    <w:rsid w:val="00AB4738"/>
    <w:rsid w:val="00AB487A"/>
    <w:rsid w:val="00AB4CE2"/>
    <w:rsid w:val="00AB4DB4"/>
    <w:rsid w:val="00AB521B"/>
    <w:rsid w:val="00AB5896"/>
    <w:rsid w:val="00AB5915"/>
    <w:rsid w:val="00AB5A1E"/>
    <w:rsid w:val="00AB65BC"/>
    <w:rsid w:val="00AB69C7"/>
    <w:rsid w:val="00AB69CC"/>
    <w:rsid w:val="00AB6A39"/>
    <w:rsid w:val="00AB6DAE"/>
    <w:rsid w:val="00AB6DD1"/>
    <w:rsid w:val="00AB6E37"/>
    <w:rsid w:val="00AB6F97"/>
    <w:rsid w:val="00AB79DD"/>
    <w:rsid w:val="00AB79E6"/>
    <w:rsid w:val="00AB7A0D"/>
    <w:rsid w:val="00AB7DF3"/>
    <w:rsid w:val="00AC06EE"/>
    <w:rsid w:val="00AC0B67"/>
    <w:rsid w:val="00AC0C66"/>
    <w:rsid w:val="00AC0EBF"/>
    <w:rsid w:val="00AC11C0"/>
    <w:rsid w:val="00AC16CF"/>
    <w:rsid w:val="00AC1D3F"/>
    <w:rsid w:val="00AC1DF6"/>
    <w:rsid w:val="00AC1F56"/>
    <w:rsid w:val="00AC24A3"/>
    <w:rsid w:val="00AC253A"/>
    <w:rsid w:val="00AC2925"/>
    <w:rsid w:val="00AC2ABE"/>
    <w:rsid w:val="00AC2C95"/>
    <w:rsid w:val="00AC2D73"/>
    <w:rsid w:val="00AC2E5C"/>
    <w:rsid w:val="00AC32CA"/>
    <w:rsid w:val="00AC3724"/>
    <w:rsid w:val="00AC436E"/>
    <w:rsid w:val="00AC469A"/>
    <w:rsid w:val="00AC481B"/>
    <w:rsid w:val="00AC494B"/>
    <w:rsid w:val="00AC4CDC"/>
    <w:rsid w:val="00AC5A71"/>
    <w:rsid w:val="00AC5E16"/>
    <w:rsid w:val="00AC5F24"/>
    <w:rsid w:val="00AC6944"/>
    <w:rsid w:val="00AC6B43"/>
    <w:rsid w:val="00AC6E7D"/>
    <w:rsid w:val="00AC6FA6"/>
    <w:rsid w:val="00AC7321"/>
    <w:rsid w:val="00AC7915"/>
    <w:rsid w:val="00AC79E4"/>
    <w:rsid w:val="00AC7A06"/>
    <w:rsid w:val="00AC7A1F"/>
    <w:rsid w:val="00AC7A5D"/>
    <w:rsid w:val="00AC7BC6"/>
    <w:rsid w:val="00AC7BEA"/>
    <w:rsid w:val="00AC7DB4"/>
    <w:rsid w:val="00AD0581"/>
    <w:rsid w:val="00AD08B8"/>
    <w:rsid w:val="00AD0918"/>
    <w:rsid w:val="00AD0E08"/>
    <w:rsid w:val="00AD115B"/>
    <w:rsid w:val="00AD189D"/>
    <w:rsid w:val="00AD19CE"/>
    <w:rsid w:val="00AD1C4E"/>
    <w:rsid w:val="00AD1D8A"/>
    <w:rsid w:val="00AD1F84"/>
    <w:rsid w:val="00AD2039"/>
    <w:rsid w:val="00AD22BF"/>
    <w:rsid w:val="00AD23E9"/>
    <w:rsid w:val="00AD257E"/>
    <w:rsid w:val="00AD2C95"/>
    <w:rsid w:val="00AD2E7A"/>
    <w:rsid w:val="00AD2F35"/>
    <w:rsid w:val="00AD32F3"/>
    <w:rsid w:val="00AD337C"/>
    <w:rsid w:val="00AD36EC"/>
    <w:rsid w:val="00AD38F9"/>
    <w:rsid w:val="00AD3A63"/>
    <w:rsid w:val="00AD3B33"/>
    <w:rsid w:val="00AD3BDD"/>
    <w:rsid w:val="00AD3D2C"/>
    <w:rsid w:val="00AD4489"/>
    <w:rsid w:val="00AD4752"/>
    <w:rsid w:val="00AD4A89"/>
    <w:rsid w:val="00AD4D1A"/>
    <w:rsid w:val="00AD4E27"/>
    <w:rsid w:val="00AD54A5"/>
    <w:rsid w:val="00AD5D71"/>
    <w:rsid w:val="00AD60A8"/>
    <w:rsid w:val="00AD6540"/>
    <w:rsid w:val="00AD67B5"/>
    <w:rsid w:val="00AD705B"/>
    <w:rsid w:val="00AD70E4"/>
    <w:rsid w:val="00AD73AA"/>
    <w:rsid w:val="00AD785D"/>
    <w:rsid w:val="00AD7E20"/>
    <w:rsid w:val="00AE09EA"/>
    <w:rsid w:val="00AE0AE3"/>
    <w:rsid w:val="00AE0C33"/>
    <w:rsid w:val="00AE0CE9"/>
    <w:rsid w:val="00AE0DBC"/>
    <w:rsid w:val="00AE0F71"/>
    <w:rsid w:val="00AE1009"/>
    <w:rsid w:val="00AE1584"/>
    <w:rsid w:val="00AE15F0"/>
    <w:rsid w:val="00AE18A7"/>
    <w:rsid w:val="00AE193D"/>
    <w:rsid w:val="00AE1E1C"/>
    <w:rsid w:val="00AE1EDC"/>
    <w:rsid w:val="00AE2228"/>
    <w:rsid w:val="00AE2396"/>
    <w:rsid w:val="00AE260A"/>
    <w:rsid w:val="00AE2815"/>
    <w:rsid w:val="00AE2939"/>
    <w:rsid w:val="00AE2CC5"/>
    <w:rsid w:val="00AE2DBA"/>
    <w:rsid w:val="00AE2ED3"/>
    <w:rsid w:val="00AE2F10"/>
    <w:rsid w:val="00AE2F73"/>
    <w:rsid w:val="00AE3263"/>
    <w:rsid w:val="00AE4860"/>
    <w:rsid w:val="00AE4BD6"/>
    <w:rsid w:val="00AE4BFA"/>
    <w:rsid w:val="00AE5011"/>
    <w:rsid w:val="00AE5022"/>
    <w:rsid w:val="00AE5117"/>
    <w:rsid w:val="00AE5252"/>
    <w:rsid w:val="00AE579D"/>
    <w:rsid w:val="00AE5EB8"/>
    <w:rsid w:val="00AE641E"/>
    <w:rsid w:val="00AE6451"/>
    <w:rsid w:val="00AE6457"/>
    <w:rsid w:val="00AE64B9"/>
    <w:rsid w:val="00AE6BB1"/>
    <w:rsid w:val="00AE720B"/>
    <w:rsid w:val="00AE722A"/>
    <w:rsid w:val="00AE7603"/>
    <w:rsid w:val="00AF015C"/>
    <w:rsid w:val="00AF05D0"/>
    <w:rsid w:val="00AF0872"/>
    <w:rsid w:val="00AF09CD"/>
    <w:rsid w:val="00AF0A4D"/>
    <w:rsid w:val="00AF0D01"/>
    <w:rsid w:val="00AF114E"/>
    <w:rsid w:val="00AF13E6"/>
    <w:rsid w:val="00AF1DD8"/>
    <w:rsid w:val="00AF1ED2"/>
    <w:rsid w:val="00AF2026"/>
    <w:rsid w:val="00AF2048"/>
    <w:rsid w:val="00AF2139"/>
    <w:rsid w:val="00AF21A4"/>
    <w:rsid w:val="00AF2381"/>
    <w:rsid w:val="00AF24DD"/>
    <w:rsid w:val="00AF2736"/>
    <w:rsid w:val="00AF2BA1"/>
    <w:rsid w:val="00AF2C6A"/>
    <w:rsid w:val="00AF2F99"/>
    <w:rsid w:val="00AF3593"/>
    <w:rsid w:val="00AF3691"/>
    <w:rsid w:val="00AF3870"/>
    <w:rsid w:val="00AF38D6"/>
    <w:rsid w:val="00AF3D3D"/>
    <w:rsid w:val="00AF3D82"/>
    <w:rsid w:val="00AF3D8D"/>
    <w:rsid w:val="00AF3F4A"/>
    <w:rsid w:val="00AF401A"/>
    <w:rsid w:val="00AF4205"/>
    <w:rsid w:val="00AF459E"/>
    <w:rsid w:val="00AF49AC"/>
    <w:rsid w:val="00AF51F9"/>
    <w:rsid w:val="00AF5266"/>
    <w:rsid w:val="00AF53AE"/>
    <w:rsid w:val="00AF550C"/>
    <w:rsid w:val="00AF5528"/>
    <w:rsid w:val="00AF58BD"/>
    <w:rsid w:val="00AF6522"/>
    <w:rsid w:val="00AF6545"/>
    <w:rsid w:val="00AF67D0"/>
    <w:rsid w:val="00AF68A7"/>
    <w:rsid w:val="00AF6A4E"/>
    <w:rsid w:val="00AF6F1B"/>
    <w:rsid w:val="00AF7170"/>
    <w:rsid w:val="00AF7469"/>
    <w:rsid w:val="00AF74C0"/>
    <w:rsid w:val="00AF751F"/>
    <w:rsid w:val="00AF7531"/>
    <w:rsid w:val="00AF78A4"/>
    <w:rsid w:val="00AF796C"/>
    <w:rsid w:val="00AF7AE8"/>
    <w:rsid w:val="00AF7CA3"/>
    <w:rsid w:val="00AF7D96"/>
    <w:rsid w:val="00AF7E6E"/>
    <w:rsid w:val="00B00489"/>
    <w:rsid w:val="00B0050F"/>
    <w:rsid w:val="00B00831"/>
    <w:rsid w:val="00B01274"/>
    <w:rsid w:val="00B0180A"/>
    <w:rsid w:val="00B019D7"/>
    <w:rsid w:val="00B019EE"/>
    <w:rsid w:val="00B01A29"/>
    <w:rsid w:val="00B022BB"/>
    <w:rsid w:val="00B02DDB"/>
    <w:rsid w:val="00B02EAD"/>
    <w:rsid w:val="00B03A8B"/>
    <w:rsid w:val="00B03B6D"/>
    <w:rsid w:val="00B03E9D"/>
    <w:rsid w:val="00B03F24"/>
    <w:rsid w:val="00B04352"/>
    <w:rsid w:val="00B043AD"/>
    <w:rsid w:val="00B04626"/>
    <w:rsid w:val="00B047F3"/>
    <w:rsid w:val="00B04DD6"/>
    <w:rsid w:val="00B04DE5"/>
    <w:rsid w:val="00B04E5F"/>
    <w:rsid w:val="00B04F69"/>
    <w:rsid w:val="00B04FAF"/>
    <w:rsid w:val="00B0517F"/>
    <w:rsid w:val="00B051AF"/>
    <w:rsid w:val="00B05388"/>
    <w:rsid w:val="00B055BB"/>
    <w:rsid w:val="00B0562C"/>
    <w:rsid w:val="00B05D87"/>
    <w:rsid w:val="00B05F23"/>
    <w:rsid w:val="00B05F5C"/>
    <w:rsid w:val="00B06092"/>
    <w:rsid w:val="00B0621A"/>
    <w:rsid w:val="00B062A3"/>
    <w:rsid w:val="00B066F9"/>
    <w:rsid w:val="00B06AED"/>
    <w:rsid w:val="00B06CD4"/>
    <w:rsid w:val="00B06F17"/>
    <w:rsid w:val="00B0708B"/>
    <w:rsid w:val="00B075C3"/>
    <w:rsid w:val="00B07707"/>
    <w:rsid w:val="00B0783D"/>
    <w:rsid w:val="00B078E9"/>
    <w:rsid w:val="00B07B06"/>
    <w:rsid w:val="00B07B53"/>
    <w:rsid w:val="00B07E8B"/>
    <w:rsid w:val="00B07FEB"/>
    <w:rsid w:val="00B10217"/>
    <w:rsid w:val="00B103B5"/>
    <w:rsid w:val="00B10470"/>
    <w:rsid w:val="00B10585"/>
    <w:rsid w:val="00B1061E"/>
    <w:rsid w:val="00B107CF"/>
    <w:rsid w:val="00B10977"/>
    <w:rsid w:val="00B109BA"/>
    <w:rsid w:val="00B1166D"/>
    <w:rsid w:val="00B117CB"/>
    <w:rsid w:val="00B11C91"/>
    <w:rsid w:val="00B1225E"/>
    <w:rsid w:val="00B122CD"/>
    <w:rsid w:val="00B12872"/>
    <w:rsid w:val="00B1296B"/>
    <w:rsid w:val="00B12CB2"/>
    <w:rsid w:val="00B12F8C"/>
    <w:rsid w:val="00B1318B"/>
    <w:rsid w:val="00B13222"/>
    <w:rsid w:val="00B1323F"/>
    <w:rsid w:val="00B132E2"/>
    <w:rsid w:val="00B133C2"/>
    <w:rsid w:val="00B133ED"/>
    <w:rsid w:val="00B13BBB"/>
    <w:rsid w:val="00B13EAE"/>
    <w:rsid w:val="00B13F11"/>
    <w:rsid w:val="00B13F5C"/>
    <w:rsid w:val="00B14060"/>
    <w:rsid w:val="00B140BC"/>
    <w:rsid w:val="00B141BA"/>
    <w:rsid w:val="00B142E7"/>
    <w:rsid w:val="00B14350"/>
    <w:rsid w:val="00B14453"/>
    <w:rsid w:val="00B144C1"/>
    <w:rsid w:val="00B14589"/>
    <w:rsid w:val="00B14625"/>
    <w:rsid w:val="00B14726"/>
    <w:rsid w:val="00B14884"/>
    <w:rsid w:val="00B14AEB"/>
    <w:rsid w:val="00B14D10"/>
    <w:rsid w:val="00B14F6E"/>
    <w:rsid w:val="00B15232"/>
    <w:rsid w:val="00B15B01"/>
    <w:rsid w:val="00B15D4E"/>
    <w:rsid w:val="00B15ED9"/>
    <w:rsid w:val="00B160CF"/>
    <w:rsid w:val="00B16683"/>
    <w:rsid w:val="00B167C2"/>
    <w:rsid w:val="00B16875"/>
    <w:rsid w:val="00B171EF"/>
    <w:rsid w:val="00B17726"/>
    <w:rsid w:val="00B1784F"/>
    <w:rsid w:val="00B17870"/>
    <w:rsid w:val="00B17DC5"/>
    <w:rsid w:val="00B17E26"/>
    <w:rsid w:val="00B17E69"/>
    <w:rsid w:val="00B17FA7"/>
    <w:rsid w:val="00B2005C"/>
    <w:rsid w:val="00B20646"/>
    <w:rsid w:val="00B209BD"/>
    <w:rsid w:val="00B20AFC"/>
    <w:rsid w:val="00B21099"/>
    <w:rsid w:val="00B21492"/>
    <w:rsid w:val="00B217C0"/>
    <w:rsid w:val="00B217F1"/>
    <w:rsid w:val="00B21B27"/>
    <w:rsid w:val="00B21BF2"/>
    <w:rsid w:val="00B21F09"/>
    <w:rsid w:val="00B2252D"/>
    <w:rsid w:val="00B22962"/>
    <w:rsid w:val="00B22C53"/>
    <w:rsid w:val="00B22CDB"/>
    <w:rsid w:val="00B22E67"/>
    <w:rsid w:val="00B22EAD"/>
    <w:rsid w:val="00B2335C"/>
    <w:rsid w:val="00B238C6"/>
    <w:rsid w:val="00B23C5B"/>
    <w:rsid w:val="00B23C6D"/>
    <w:rsid w:val="00B23EC8"/>
    <w:rsid w:val="00B2411E"/>
    <w:rsid w:val="00B241F1"/>
    <w:rsid w:val="00B245C3"/>
    <w:rsid w:val="00B24C81"/>
    <w:rsid w:val="00B24CE3"/>
    <w:rsid w:val="00B24D5E"/>
    <w:rsid w:val="00B24E45"/>
    <w:rsid w:val="00B2514B"/>
    <w:rsid w:val="00B25165"/>
    <w:rsid w:val="00B253F7"/>
    <w:rsid w:val="00B254ED"/>
    <w:rsid w:val="00B25DE0"/>
    <w:rsid w:val="00B26083"/>
    <w:rsid w:val="00B2617C"/>
    <w:rsid w:val="00B26188"/>
    <w:rsid w:val="00B26A02"/>
    <w:rsid w:val="00B26C60"/>
    <w:rsid w:val="00B26DC4"/>
    <w:rsid w:val="00B270E9"/>
    <w:rsid w:val="00B27498"/>
    <w:rsid w:val="00B27BBC"/>
    <w:rsid w:val="00B27C1F"/>
    <w:rsid w:val="00B302B2"/>
    <w:rsid w:val="00B305C5"/>
    <w:rsid w:val="00B30B8E"/>
    <w:rsid w:val="00B30CC9"/>
    <w:rsid w:val="00B30D6B"/>
    <w:rsid w:val="00B30E72"/>
    <w:rsid w:val="00B317AF"/>
    <w:rsid w:val="00B318B3"/>
    <w:rsid w:val="00B31BB4"/>
    <w:rsid w:val="00B31E04"/>
    <w:rsid w:val="00B320D9"/>
    <w:rsid w:val="00B322BC"/>
    <w:rsid w:val="00B32448"/>
    <w:rsid w:val="00B32E19"/>
    <w:rsid w:val="00B33D94"/>
    <w:rsid w:val="00B33DED"/>
    <w:rsid w:val="00B33EE4"/>
    <w:rsid w:val="00B346F8"/>
    <w:rsid w:val="00B34785"/>
    <w:rsid w:val="00B349B1"/>
    <w:rsid w:val="00B34A3C"/>
    <w:rsid w:val="00B34C69"/>
    <w:rsid w:val="00B3569D"/>
    <w:rsid w:val="00B35709"/>
    <w:rsid w:val="00B35D8D"/>
    <w:rsid w:val="00B35EA5"/>
    <w:rsid w:val="00B35F01"/>
    <w:rsid w:val="00B35FB5"/>
    <w:rsid w:val="00B36510"/>
    <w:rsid w:val="00B36578"/>
    <w:rsid w:val="00B365B2"/>
    <w:rsid w:val="00B366FF"/>
    <w:rsid w:val="00B36921"/>
    <w:rsid w:val="00B369EC"/>
    <w:rsid w:val="00B36F0C"/>
    <w:rsid w:val="00B36F1E"/>
    <w:rsid w:val="00B370D6"/>
    <w:rsid w:val="00B37291"/>
    <w:rsid w:val="00B37593"/>
    <w:rsid w:val="00B377CE"/>
    <w:rsid w:val="00B378E9"/>
    <w:rsid w:val="00B40106"/>
    <w:rsid w:val="00B402A0"/>
    <w:rsid w:val="00B402F3"/>
    <w:rsid w:val="00B40583"/>
    <w:rsid w:val="00B40925"/>
    <w:rsid w:val="00B40CDE"/>
    <w:rsid w:val="00B40E30"/>
    <w:rsid w:val="00B412C7"/>
    <w:rsid w:val="00B4146A"/>
    <w:rsid w:val="00B41878"/>
    <w:rsid w:val="00B41CBD"/>
    <w:rsid w:val="00B42100"/>
    <w:rsid w:val="00B42173"/>
    <w:rsid w:val="00B42579"/>
    <w:rsid w:val="00B42726"/>
    <w:rsid w:val="00B435D4"/>
    <w:rsid w:val="00B442E5"/>
    <w:rsid w:val="00B44563"/>
    <w:rsid w:val="00B44739"/>
    <w:rsid w:val="00B44955"/>
    <w:rsid w:val="00B44A9F"/>
    <w:rsid w:val="00B44B01"/>
    <w:rsid w:val="00B44B05"/>
    <w:rsid w:val="00B44BAC"/>
    <w:rsid w:val="00B44BCF"/>
    <w:rsid w:val="00B44D4C"/>
    <w:rsid w:val="00B450C1"/>
    <w:rsid w:val="00B45928"/>
    <w:rsid w:val="00B459A4"/>
    <w:rsid w:val="00B45E7A"/>
    <w:rsid w:val="00B4620A"/>
    <w:rsid w:val="00B463CD"/>
    <w:rsid w:val="00B4691B"/>
    <w:rsid w:val="00B46DDB"/>
    <w:rsid w:val="00B46F6E"/>
    <w:rsid w:val="00B47758"/>
    <w:rsid w:val="00B5020E"/>
    <w:rsid w:val="00B50B8A"/>
    <w:rsid w:val="00B50E7E"/>
    <w:rsid w:val="00B5109F"/>
    <w:rsid w:val="00B510BF"/>
    <w:rsid w:val="00B510D4"/>
    <w:rsid w:val="00B51254"/>
    <w:rsid w:val="00B51410"/>
    <w:rsid w:val="00B51441"/>
    <w:rsid w:val="00B516E5"/>
    <w:rsid w:val="00B517F2"/>
    <w:rsid w:val="00B519FD"/>
    <w:rsid w:val="00B51F53"/>
    <w:rsid w:val="00B522BE"/>
    <w:rsid w:val="00B522ED"/>
    <w:rsid w:val="00B52653"/>
    <w:rsid w:val="00B527EA"/>
    <w:rsid w:val="00B5291E"/>
    <w:rsid w:val="00B52F3A"/>
    <w:rsid w:val="00B5398A"/>
    <w:rsid w:val="00B53AF9"/>
    <w:rsid w:val="00B53CCF"/>
    <w:rsid w:val="00B53FBA"/>
    <w:rsid w:val="00B53FE3"/>
    <w:rsid w:val="00B540F4"/>
    <w:rsid w:val="00B54A98"/>
    <w:rsid w:val="00B54DC5"/>
    <w:rsid w:val="00B54DF4"/>
    <w:rsid w:val="00B55134"/>
    <w:rsid w:val="00B55329"/>
    <w:rsid w:val="00B553BC"/>
    <w:rsid w:val="00B55732"/>
    <w:rsid w:val="00B5583D"/>
    <w:rsid w:val="00B55E31"/>
    <w:rsid w:val="00B56066"/>
    <w:rsid w:val="00B560E8"/>
    <w:rsid w:val="00B56581"/>
    <w:rsid w:val="00B5677C"/>
    <w:rsid w:val="00B5692D"/>
    <w:rsid w:val="00B56AAB"/>
    <w:rsid w:val="00B56C04"/>
    <w:rsid w:val="00B56CA0"/>
    <w:rsid w:val="00B56DAC"/>
    <w:rsid w:val="00B56EB9"/>
    <w:rsid w:val="00B56F6E"/>
    <w:rsid w:val="00B57100"/>
    <w:rsid w:val="00B574A9"/>
    <w:rsid w:val="00B57B2E"/>
    <w:rsid w:val="00B57E12"/>
    <w:rsid w:val="00B5D161"/>
    <w:rsid w:val="00B6000A"/>
    <w:rsid w:val="00B6066B"/>
    <w:rsid w:val="00B608A5"/>
    <w:rsid w:val="00B60AB9"/>
    <w:rsid w:val="00B60C48"/>
    <w:rsid w:val="00B60D29"/>
    <w:rsid w:val="00B60DE2"/>
    <w:rsid w:val="00B60F0A"/>
    <w:rsid w:val="00B6140F"/>
    <w:rsid w:val="00B61422"/>
    <w:rsid w:val="00B617C1"/>
    <w:rsid w:val="00B61ACB"/>
    <w:rsid w:val="00B61B8E"/>
    <w:rsid w:val="00B6207B"/>
    <w:rsid w:val="00B620B6"/>
    <w:rsid w:val="00B622AB"/>
    <w:rsid w:val="00B623C0"/>
    <w:rsid w:val="00B626D6"/>
    <w:rsid w:val="00B62A10"/>
    <w:rsid w:val="00B62AA0"/>
    <w:rsid w:val="00B62D62"/>
    <w:rsid w:val="00B62F29"/>
    <w:rsid w:val="00B6307D"/>
    <w:rsid w:val="00B6319F"/>
    <w:rsid w:val="00B63260"/>
    <w:rsid w:val="00B63573"/>
    <w:rsid w:val="00B63640"/>
    <w:rsid w:val="00B637FB"/>
    <w:rsid w:val="00B63BA0"/>
    <w:rsid w:val="00B63D97"/>
    <w:rsid w:val="00B63F72"/>
    <w:rsid w:val="00B6405A"/>
    <w:rsid w:val="00B643BC"/>
    <w:rsid w:val="00B647B6"/>
    <w:rsid w:val="00B64AC7"/>
    <w:rsid w:val="00B64B9E"/>
    <w:rsid w:val="00B64E9B"/>
    <w:rsid w:val="00B64FB1"/>
    <w:rsid w:val="00B65073"/>
    <w:rsid w:val="00B6510A"/>
    <w:rsid w:val="00B6533B"/>
    <w:rsid w:val="00B65372"/>
    <w:rsid w:val="00B65709"/>
    <w:rsid w:val="00B6595A"/>
    <w:rsid w:val="00B65C5A"/>
    <w:rsid w:val="00B65D86"/>
    <w:rsid w:val="00B66009"/>
    <w:rsid w:val="00B661E4"/>
    <w:rsid w:val="00B66230"/>
    <w:rsid w:val="00B66650"/>
    <w:rsid w:val="00B667E9"/>
    <w:rsid w:val="00B66B7E"/>
    <w:rsid w:val="00B66C40"/>
    <w:rsid w:val="00B66DCD"/>
    <w:rsid w:val="00B67243"/>
    <w:rsid w:val="00B673C0"/>
    <w:rsid w:val="00B67432"/>
    <w:rsid w:val="00B67518"/>
    <w:rsid w:val="00B677FB"/>
    <w:rsid w:val="00B67D25"/>
    <w:rsid w:val="00B67DA2"/>
    <w:rsid w:val="00B67E33"/>
    <w:rsid w:val="00B67FA5"/>
    <w:rsid w:val="00B701A3"/>
    <w:rsid w:val="00B70370"/>
    <w:rsid w:val="00B7049F"/>
    <w:rsid w:val="00B70643"/>
    <w:rsid w:val="00B7066D"/>
    <w:rsid w:val="00B70A5D"/>
    <w:rsid w:val="00B71584"/>
    <w:rsid w:val="00B715F7"/>
    <w:rsid w:val="00B71A6C"/>
    <w:rsid w:val="00B71C5F"/>
    <w:rsid w:val="00B71CD6"/>
    <w:rsid w:val="00B71F9B"/>
    <w:rsid w:val="00B72143"/>
    <w:rsid w:val="00B72245"/>
    <w:rsid w:val="00B722A0"/>
    <w:rsid w:val="00B722CE"/>
    <w:rsid w:val="00B7253C"/>
    <w:rsid w:val="00B72566"/>
    <w:rsid w:val="00B72771"/>
    <w:rsid w:val="00B72985"/>
    <w:rsid w:val="00B72A4E"/>
    <w:rsid w:val="00B72FCC"/>
    <w:rsid w:val="00B730CE"/>
    <w:rsid w:val="00B7348A"/>
    <w:rsid w:val="00B73746"/>
    <w:rsid w:val="00B73AF2"/>
    <w:rsid w:val="00B73E47"/>
    <w:rsid w:val="00B740DF"/>
    <w:rsid w:val="00B7424E"/>
    <w:rsid w:val="00B74474"/>
    <w:rsid w:val="00B74A65"/>
    <w:rsid w:val="00B74E6E"/>
    <w:rsid w:val="00B74F35"/>
    <w:rsid w:val="00B74FDF"/>
    <w:rsid w:val="00B75032"/>
    <w:rsid w:val="00B7538D"/>
    <w:rsid w:val="00B75FC1"/>
    <w:rsid w:val="00B765D4"/>
    <w:rsid w:val="00B76B00"/>
    <w:rsid w:val="00B76C27"/>
    <w:rsid w:val="00B770F0"/>
    <w:rsid w:val="00B77240"/>
    <w:rsid w:val="00B7724B"/>
    <w:rsid w:val="00B77519"/>
    <w:rsid w:val="00B777F4"/>
    <w:rsid w:val="00B77972"/>
    <w:rsid w:val="00B77BA7"/>
    <w:rsid w:val="00B77CE3"/>
    <w:rsid w:val="00B77E63"/>
    <w:rsid w:val="00B80416"/>
    <w:rsid w:val="00B8079D"/>
    <w:rsid w:val="00B807B0"/>
    <w:rsid w:val="00B80AC0"/>
    <w:rsid w:val="00B80B31"/>
    <w:rsid w:val="00B80BAC"/>
    <w:rsid w:val="00B80E9E"/>
    <w:rsid w:val="00B81012"/>
    <w:rsid w:val="00B812E3"/>
    <w:rsid w:val="00B818F6"/>
    <w:rsid w:val="00B81DAF"/>
    <w:rsid w:val="00B81EAD"/>
    <w:rsid w:val="00B81F51"/>
    <w:rsid w:val="00B82396"/>
    <w:rsid w:val="00B828DA"/>
    <w:rsid w:val="00B82909"/>
    <w:rsid w:val="00B833CB"/>
    <w:rsid w:val="00B8363C"/>
    <w:rsid w:val="00B8377E"/>
    <w:rsid w:val="00B83E0C"/>
    <w:rsid w:val="00B83FF7"/>
    <w:rsid w:val="00B841A0"/>
    <w:rsid w:val="00B843B5"/>
    <w:rsid w:val="00B84635"/>
    <w:rsid w:val="00B84682"/>
    <w:rsid w:val="00B8484C"/>
    <w:rsid w:val="00B851EE"/>
    <w:rsid w:val="00B858D1"/>
    <w:rsid w:val="00B85A77"/>
    <w:rsid w:val="00B85C90"/>
    <w:rsid w:val="00B85D69"/>
    <w:rsid w:val="00B85F0C"/>
    <w:rsid w:val="00B85FD8"/>
    <w:rsid w:val="00B862BA"/>
    <w:rsid w:val="00B862D8"/>
    <w:rsid w:val="00B86493"/>
    <w:rsid w:val="00B86551"/>
    <w:rsid w:val="00B86C84"/>
    <w:rsid w:val="00B87234"/>
    <w:rsid w:val="00B8750E"/>
    <w:rsid w:val="00B8774B"/>
    <w:rsid w:val="00B87859"/>
    <w:rsid w:val="00B87927"/>
    <w:rsid w:val="00B87BB8"/>
    <w:rsid w:val="00B87F0F"/>
    <w:rsid w:val="00B900DF"/>
    <w:rsid w:val="00B9021A"/>
    <w:rsid w:val="00B90270"/>
    <w:rsid w:val="00B90401"/>
    <w:rsid w:val="00B907D2"/>
    <w:rsid w:val="00B909A4"/>
    <w:rsid w:val="00B90A55"/>
    <w:rsid w:val="00B91D0B"/>
    <w:rsid w:val="00B91DD2"/>
    <w:rsid w:val="00B91FF6"/>
    <w:rsid w:val="00B92814"/>
    <w:rsid w:val="00B929A4"/>
    <w:rsid w:val="00B929FB"/>
    <w:rsid w:val="00B92D1C"/>
    <w:rsid w:val="00B92DF4"/>
    <w:rsid w:val="00B92EB3"/>
    <w:rsid w:val="00B930E5"/>
    <w:rsid w:val="00B935F3"/>
    <w:rsid w:val="00B9370D"/>
    <w:rsid w:val="00B9386C"/>
    <w:rsid w:val="00B93877"/>
    <w:rsid w:val="00B938CC"/>
    <w:rsid w:val="00B939B1"/>
    <w:rsid w:val="00B93C3E"/>
    <w:rsid w:val="00B93DD6"/>
    <w:rsid w:val="00B93EB5"/>
    <w:rsid w:val="00B94A90"/>
    <w:rsid w:val="00B94C5D"/>
    <w:rsid w:val="00B95DB3"/>
    <w:rsid w:val="00B95FB0"/>
    <w:rsid w:val="00B96069"/>
    <w:rsid w:val="00B96216"/>
    <w:rsid w:val="00B96734"/>
    <w:rsid w:val="00B96A22"/>
    <w:rsid w:val="00B96A66"/>
    <w:rsid w:val="00B96FBA"/>
    <w:rsid w:val="00B9733F"/>
    <w:rsid w:val="00B97587"/>
    <w:rsid w:val="00B978A8"/>
    <w:rsid w:val="00B97979"/>
    <w:rsid w:val="00B97B1B"/>
    <w:rsid w:val="00B97C09"/>
    <w:rsid w:val="00B97C4B"/>
    <w:rsid w:val="00BA02A0"/>
    <w:rsid w:val="00BA02A5"/>
    <w:rsid w:val="00BA02EE"/>
    <w:rsid w:val="00BA04E2"/>
    <w:rsid w:val="00BA0A4F"/>
    <w:rsid w:val="00BA1036"/>
    <w:rsid w:val="00BA103C"/>
    <w:rsid w:val="00BA1113"/>
    <w:rsid w:val="00BA1707"/>
    <w:rsid w:val="00BA1793"/>
    <w:rsid w:val="00BA18B7"/>
    <w:rsid w:val="00BA191C"/>
    <w:rsid w:val="00BA1A53"/>
    <w:rsid w:val="00BA1D8D"/>
    <w:rsid w:val="00BA1F16"/>
    <w:rsid w:val="00BA25DD"/>
    <w:rsid w:val="00BA27B5"/>
    <w:rsid w:val="00BA2848"/>
    <w:rsid w:val="00BA2B18"/>
    <w:rsid w:val="00BA2B56"/>
    <w:rsid w:val="00BA2D29"/>
    <w:rsid w:val="00BA30B5"/>
    <w:rsid w:val="00BA38F8"/>
    <w:rsid w:val="00BA3F7B"/>
    <w:rsid w:val="00BA47DB"/>
    <w:rsid w:val="00BA4FC1"/>
    <w:rsid w:val="00BA503D"/>
    <w:rsid w:val="00BA5305"/>
    <w:rsid w:val="00BA5376"/>
    <w:rsid w:val="00BA587A"/>
    <w:rsid w:val="00BA5A4B"/>
    <w:rsid w:val="00BA5B4D"/>
    <w:rsid w:val="00BA6025"/>
    <w:rsid w:val="00BA627D"/>
    <w:rsid w:val="00BA658C"/>
    <w:rsid w:val="00BA6960"/>
    <w:rsid w:val="00BA6A48"/>
    <w:rsid w:val="00BA6D75"/>
    <w:rsid w:val="00BA72F3"/>
    <w:rsid w:val="00BA7466"/>
    <w:rsid w:val="00BA796D"/>
    <w:rsid w:val="00BA7995"/>
    <w:rsid w:val="00BA799E"/>
    <w:rsid w:val="00BA79EC"/>
    <w:rsid w:val="00BB0653"/>
    <w:rsid w:val="00BB08D5"/>
    <w:rsid w:val="00BB0EF8"/>
    <w:rsid w:val="00BB0F55"/>
    <w:rsid w:val="00BB14C3"/>
    <w:rsid w:val="00BB14CB"/>
    <w:rsid w:val="00BB1593"/>
    <w:rsid w:val="00BB1AC2"/>
    <w:rsid w:val="00BB1FE9"/>
    <w:rsid w:val="00BB2040"/>
    <w:rsid w:val="00BB23CF"/>
    <w:rsid w:val="00BB2C13"/>
    <w:rsid w:val="00BB3085"/>
    <w:rsid w:val="00BB31B3"/>
    <w:rsid w:val="00BB3232"/>
    <w:rsid w:val="00BB3565"/>
    <w:rsid w:val="00BB35B0"/>
    <w:rsid w:val="00BB397B"/>
    <w:rsid w:val="00BB39BA"/>
    <w:rsid w:val="00BB3A1C"/>
    <w:rsid w:val="00BB3BE2"/>
    <w:rsid w:val="00BB3CCE"/>
    <w:rsid w:val="00BB3D67"/>
    <w:rsid w:val="00BB4400"/>
    <w:rsid w:val="00BB4880"/>
    <w:rsid w:val="00BB490C"/>
    <w:rsid w:val="00BB4D75"/>
    <w:rsid w:val="00BB50FB"/>
    <w:rsid w:val="00BB5104"/>
    <w:rsid w:val="00BB5410"/>
    <w:rsid w:val="00BB54B7"/>
    <w:rsid w:val="00BB56FA"/>
    <w:rsid w:val="00BB5D54"/>
    <w:rsid w:val="00BB6447"/>
    <w:rsid w:val="00BB647A"/>
    <w:rsid w:val="00BB663B"/>
    <w:rsid w:val="00BB6685"/>
    <w:rsid w:val="00BB6C49"/>
    <w:rsid w:val="00BB6F54"/>
    <w:rsid w:val="00BB6FDB"/>
    <w:rsid w:val="00BB725E"/>
    <w:rsid w:val="00BB7594"/>
    <w:rsid w:val="00BB77A8"/>
    <w:rsid w:val="00BB7B06"/>
    <w:rsid w:val="00BB7BCC"/>
    <w:rsid w:val="00BB7D71"/>
    <w:rsid w:val="00BC00D2"/>
    <w:rsid w:val="00BC014B"/>
    <w:rsid w:val="00BC022F"/>
    <w:rsid w:val="00BC0290"/>
    <w:rsid w:val="00BC03BD"/>
    <w:rsid w:val="00BC04EF"/>
    <w:rsid w:val="00BC0A2E"/>
    <w:rsid w:val="00BC0A99"/>
    <w:rsid w:val="00BC0B33"/>
    <w:rsid w:val="00BC0DFB"/>
    <w:rsid w:val="00BC0E19"/>
    <w:rsid w:val="00BC0F6E"/>
    <w:rsid w:val="00BC0F9A"/>
    <w:rsid w:val="00BC10D9"/>
    <w:rsid w:val="00BC12DB"/>
    <w:rsid w:val="00BC1395"/>
    <w:rsid w:val="00BC13E4"/>
    <w:rsid w:val="00BC17AE"/>
    <w:rsid w:val="00BC1DC8"/>
    <w:rsid w:val="00BC1E76"/>
    <w:rsid w:val="00BC1FEA"/>
    <w:rsid w:val="00BC2264"/>
    <w:rsid w:val="00BC226C"/>
    <w:rsid w:val="00BC228F"/>
    <w:rsid w:val="00BC294E"/>
    <w:rsid w:val="00BC29CA"/>
    <w:rsid w:val="00BC2B78"/>
    <w:rsid w:val="00BC3066"/>
    <w:rsid w:val="00BC3692"/>
    <w:rsid w:val="00BC36E2"/>
    <w:rsid w:val="00BC3708"/>
    <w:rsid w:val="00BC3DDB"/>
    <w:rsid w:val="00BC3EFE"/>
    <w:rsid w:val="00BC40E4"/>
    <w:rsid w:val="00BC4A4C"/>
    <w:rsid w:val="00BC4DCC"/>
    <w:rsid w:val="00BC4FD7"/>
    <w:rsid w:val="00BC53E4"/>
    <w:rsid w:val="00BC56E5"/>
    <w:rsid w:val="00BC58B7"/>
    <w:rsid w:val="00BC5A87"/>
    <w:rsid w:val="00BC5B27"/>
    <w:rsid w:val="00BC5ED1"/>
    <w:rsid w:val="00BC6093"/>
    <w:rsid w:val="00BC6256"/>
    <w:rsid w:val="00BC62B0"/>
    <w:rsid w:val="00BC64F3"/>
    <w:rsid w:val="00BC66C3"/>
    <w:rsid w:val="00BC69DC"/>
    <w:rsid w:val="00BC6C73"/>
    <w:rsid w:val="00BC6DB9"/>
    <w:rsid w:val="00BC6F0C"/>
    <w:rsid w:val="00BC72D9"/>
    <w:rsid w:val="00BC73C6"/>
    <w:rsid w:val="00BC751E"/>
    <w:rsid w:val="00BC77FE"/>
    <w:rsid w:val="00BC79FB"/>
    <w:rsid w:val="00BC7B48"/>
    <w:rsid w:val="00BC7B63"/>
    <w:rsid w:val="00BC7CFF"/>
    <w:rsid w:val="00BC7D4C"/>
    <w:rsid w:val="00BC7FBA"/>
    <w:rsid w:val="00BD0727"/>
    <w:rsid w:val="00BD0C50"/>
    <w:rsid w:val="00BD0D17"/>
    <w:rsid w:val="00BD1342"/>
    <w:rsid w:val="00BD1706"/>
    <w:rsid w:val="00BD18C8"/>
    <w:rsid w:val="00BD1E0B"/>
    <w:rsid w:val="00BD1FCD"/>
    <w:rsid w:val="00BD22A5"/>
    <w:rsid w:val="00BD26D5"/>
    <w:rsid w:val="00BD29FA"/>
    <w:rsid w:val="00BD2A3B"/>
    <w:rsid w:val="00BD2A81"/>
    <w:rsid w:val="00BD2BA4"/>
    <w:rsid w:val="00BD2D94"/>
    <w:rsid w:val="00BD366A"/>
    <w:rsid w:val="00BD378F"/>
    <w:rsid w:val="00BD3941"/>
    <w:rsid w:val="00BD3A46"/>
    <w:rsid w:val="00BD3D0C"/>
    <w:rsid w:val="00BD40CB"/>
    <w:rsid w:val="00BD4200"/>
    <w:rsid w:val="00BD450C"/>
    <w:rsid w:val="00BD45C0"/>
    <w:rsid w:val="00BD4858"/>
    <w:rsid w:val="00BD487B"/>
    <w:rsid w:val="00BD4A32"/>
    <w:rsid w:val="00BD4AA5"/>
    <w:rsid w:val="00BD4C84"/>
    <w:rsid w:val="00BD4FB7"/>
    <w:rsid w:val="00BD5136"/>
    <w:rsid w:val="00BD539F"/>
    <w:rsid w:val="00BD5890"/>
    <w:rsid w:val="00BD5F57"/>
    <w:rsid w:val="00BD6495"/>
    <w:rsid w:val="00BD6A89"/>
    <w:rsid w:val="00BD6AC3"/>
    <w:rsid w:val="00BD6CA3"/>
    <w:rsid w:val="00BD6D4F"/>
    <w:rsid w:val="00BD704C"/>
    <w:rsid w:val="00BD76DC"/>
    <w:rsid w:val="00BD7952"/>
    <w:rsid w:val="00BD7AB7"/>
    <w:rsid w:val="00BE0993"/>
    <w:rsid w:val="00BE0F8A"/>
    <w:rsid w:val="00BE1171"/>
    <w:rsid w:val="00BE1184"/>
    <w:rsid w:val="00BE1312"/>
    <w:rsid w:val="00BE1352"/>
    <w:rsid w:val="00BE17FF"/>
    <w:rsid w:val="00BE1AB5"/>
    <w:rsid w:val="00BE1ADB"/>
    <w:rsid w:val="00BE1BDC"/>
    <w:rsid w:val="00BE1FE5"/>
    <w:rsid w:val="00BE217F"/>
    <w:rsid w:val="00BE25A2"/>
    <w:rsid w:val="00BE286B"/>
    <w:rsid w:val="00BE291F"/>
    <w:rsid w:val="00BE2A39"/>
    <w:rsid w:val="00BE2BC7"/>
    <w:rsid w:val="00BE2E73"/>
    <w:rsid w:val="00BE345C"/>
    <w:rsid w:val="00BE372B"/>
    <w:rsid w:val="00BE377E"/>
    <w:rsid w:val="00BE3891"/>
    <w:rsid w:val="00BE3A4A"/>
    <w:rsid w:val="00BE3BD8"/>
    <w:rsid w:val="00BE3E30"/>
    <w:rsid w:val="00BE4104"/>
    <w:rsid w:val="00BE4892"/>
    <w:rsid w:val="00BE4BE3"/>
    <w:rsid w:val="00BE4CDA"/>
    <w:rsid w:val="00BE4DAC"/>
    <w:rsid w:val="00BE4E6C"/>
    <w:rsid w:val="00BE503C"/>
    <w:rsid w:val="00BE53D9"/>
    <w:rsid w:val="00BE5592"/>
    <w:rsid w:val="00BE55CE"/>
    <w:rsid w:val="00BE57FD"/>
    <w:rsid w:val="00BE5CD0"/>
    <w:rsid w:val="00BE6157"/>
    <w:rsid w:val="00BE621A"/>
    <w:rsid w:val="00BE64DD"/>
    <w:rsid w:val="00BE6533"/>
    <w:rsid w:val="00BE6D1B"/>
    <w:rsid w:val="00BE6F78"/>
    <w:rsid w:val="00BE70B4"/>
    <w:rsid w:val="00BE7184"/>
    <w:rsid w:val="00BE727D"/>
    <w:rsid w:val="00BE73CC"/>
    <w:rsid w:val="00BE7483"/>
    <w:rsid w:val="00BE7757"/>
    <w:rsid w:val="00BE7A2B"/>
    <w:rsid w:val="00BE7A71"/>
    <w:rsid w:val="00BE7AB8"/>
    <w:rsid w:val="00BE7B2C"/>
    <w:rsid w:val="00BF00A8"/>
    <w:rsid w:val="00BF020C"/>
    <w:rsid w:val="00BF04D4"/>
    <w:rsid w:val="00BF0BB6"/>
    <w:rsid w:val="00BF0D88"/>
    <w:rsid w:val="00BF0DAB"/>
    <w:rsid w:val="00BF1312"/>
    <w:rsid w:val="00BF1601"/>
    <w:rsid w:val="00BF1BD5"/>
    <w:rsid w:val="00BF1EC4"/>
    <w:rsid w:val="00BF1EFE"/>
    <w:rsid w:val="00BF20BA"/>
    <w:rsid w:val="00BF21C6"/>
    <w:rsid w:val="00BF24D4"/>
    <w:rsid w:val="00BF24FD"/>
    <w:rsid w:val="00BF250F"/>
    <w:rsid w:val="00BF28DF"/>
    <w:rsid w:val="00BF3260"/>
    <w:rsid w:val="00BF343B"/>
    <w:rsid w:val="00BF3826"/>
    <w:rsid w:val="00BF383F"/>
    <w:rsid w:val="00BF38DB"/>
    <w:rsid w:val="00BF3FA3"/>
    <w:rsid w:val="00BF4202"/>
    <w:rsid w:val="00BF4537"/>
    <w:rsid w:val="00BF4AB7"/>
    <w:rsid w:val="00BF4D31"/>
    <w:rsid w:val="00BF5329"/>
    <w:rsid w:val="00BF53EB"/>
    <w:rsid w:val="00BF595D"/>
    <w:rsid w:val="00BF5C48"/>
    <w:rsid w:val="00BF5D0C"/>
    <w:rsid w:val="00BF5E1C"/>
    <w:rsid w:val="00BF5E69"/>
    <w:rsid w:val="00BF5FAC"/>
    <w:rsid w:val="00BF670A"/>
    <w:rsid w:val="00BF688F"/>
    <w:rsid w:val="00BF6B8A"/>
    <w:rsid w:val="00BF6C93"/>
    <w:rsid w:val="00BF6D3C"/>
    <w:rsid w:val="00BF705B"/>
    <w:rsid w:val="00BF7B9E"/>
    <w:rsid w:val="00BF7C0E"/>
    <w:rsid w:val="00C001E9"/>
    <w:rsid w:val="00C0032B"/>
    <w:rsid w:val="00C0093B"/>
    <w:rsid w:val="00C00AC6"/>
    <w:rsid w:val="00C00B5F"/>
    <w:rsid w:val="00C00F16"/>
    <w:rsid w:val="00C01114"/>
    <w:rsid w:val="00C01296"/>
    <w:rsid w:val="00C014B2"/>
    <w:rsid w:val="00C0171C"/>
    <w:rsid w:val="00C017BB"/>
    <w:rsid w:val="00C01849"/>
    <w:rsid w:val="00C0190F"/>
    <w:rsid w:val="00C01AF4"/>
    <w:rsid w:val="00C01B03"/>
    <w:rsid w:val="00C01C8F"/>
    <w:rsid w:val="00C01D7D"/>
    <w:rsid w:val="00C0205A"/>
    <w:rsid w:val="00C025F9"/>
    <w:rsid w:val="00C028B3"/>
    <w:rsid w:val="00C02C94"/>
    <w:rsid w:val="00C02DD2"/>
    <w:rsid w:val="00C03869"/>
    <w:rsid w:val="00C03A81"/>
    <w:rsid w:val="00C03B96"/>
    <w:rsid w:val="00C03D27"/>
    <w:rsid w:val="00C03D6D"/>
    <w:rsid w:val="00C03FCD"/>
    <w:rsid w:val="00C0459A"/>
    <w:rsid w:val="00C047E5"/>
    <w:rsid w:val="00C04A46"/>
    <w:rsid w:val="00C04BC0"/>
    <w:rsid w:val="00C04D43"/>
    <w:rsid w:val="00C04E7C"/>
    <w:rsid w:val="00C04FA9"/>
    <w:rsid w:val="00C057FA"/>
    <w:rsid w:val="00C05B8F"/>
    <w:rsid w:val="00C05C08"/>
    <w:rsid w:val="00C05D67"/>
    <w:rsid w:val="00C05E5F"/>
    <w:rsid w:val="00C061B6"/>
    <w:rsid w:val="00C061C9"/>
    <w:rsid w:val="00C0645F"/>
    <w:rsid w:val="00C06700"/>
    <w:rsid w:val="00C06873"/>
    <w:rsid w:val="00C06A85"/>
    <w:rsid w:val="00C06C21"/>
    <w:rsid w:val="00C06CCF"/>
    <w:rsid w:val="00C0754B"/>
    <w:rsid w:val="00C0755C"/>
    <w:rsid w:val="00C077AC"/>
    <w:rsid w:val="00C079AA"/>
    <w:rsid w:val="00C07A04"/>
    <w:rsid w:val="00C10070"/>
    <w:rsid w:val="00C109D1"/>
    <w:rsid w:val="00C10C69"/>
    <w:rsid w:val="00C10D19"/>
    <w:rsid w:val="00C11214"/>
    <w:rsid w:val="00C11435"/>
    <w:rsid w:val="00C11575"/>
    <w:rsid w:val="00C1162E"/>
    <w:rsid w:val="00C119FE"/>
    <w:rsid w:val="00C11C8B"/>
    <w:rsid w:val="00C11DFA"/>
    <w:rsid w:val="00C11FC4"/>
    <w:rsid w:val="00C1246D"/>
    <w:rsid w:val="00C125BF"/>
    <w:rsid w:val="00C1267E"/>
    <w:rsid w:val="00C12C1D"/>
    <w:rsid w:val="00C13058"/>
    <w:rsid w:val="00C131C7"/>
    <w:rsid w:val="00C13368"/>
    <w:rsid w:val="00C13516"/>
    <w:rsid w:val="00C13545"/>
    <w:rsid w:val="00C139D2"/>
    <w:rsid w:val="00C13FEB"/>
    <w:rsid w:val="00C14155"/>
    <w:rsid w:val="00C146E4"/>
    <w:rsid w:val="00C148AB"/>
    <w:rsid w:val="00C14E28"/>
    <w:rsid w:val="00C150A0"/>
    <w:rsid w:val="00C150EF"/>
    <w:rsid w:val="00C1512A"/>
    <w:rsid w:val="00C151D8"/>
    <w:rsid w:val="00C15546"/>
    <w:rsid w:val="00C15906"/>
    <w:rsid w:val="00C15B54"/>
    <w:rsid w:val="00C15C10"/>
    <w:rsid w:val="00C15FB3"/>
    <w:rsid w:val="00C16725"/>
    <w:rsid w:val="00C16E56"/>
    <w:rsid w:val="00C170E5"/>
    <w:rsid w:val="00C17152"/>
    <w:rsid w:val="00C1738A"/>
    <w:rsid w:val="00C1794C"/>
    <w:rsid w:val="00C1795D"/>
    <w:rsid w:val="00C17A26"/>
    <w:rsid w:val="00C17A4D"/>
    <w:rsid w:val="00C17C8B"/>
    <w:rsid w:val="00C17EA8"/>
    <w:rsid w:val="00C17EAE"/>
    <w:rsid w:val="00C17F34"/>
    <w:rsid w:val="00C17F98"/>
    <w:rsid w:val="00C20298"/>
    <w:rsid w:val="00C2040C"/>
    <w:rsid w:val="00C20729"/>
    <w:rsid w:val="00C20B0C"/>
    <w:rsid w:val="00C20F33"/>
    <w:rsid w:val="00C210B0"/>
    <w:rsid w:val="00C21409"/>
    <w:rsid w:val="00C2171E"/>
    <w:rsid w:val="00C2193B"/>
    <w:rsid w:val="00C21AFE"/>
    <w:rsid w:val="00C21C3C"/>
    <w:rsid w:val="00C21E24"/>
    <w:rsid w:val="00C21EE3"/>
    <w:rsid w:val="00C22438"/>
    <w:rsid w:val="00C2269E"/>
    <w:rsid w:val="00C22874"/>
    <w:rsid w:val="00C22B52"/>
    <w:rsid w:val="00C22B9F"/>
    <w:rsid w:val="00C22CC5"/>
    <w:rsid w:val="00C2308F"/>
    <w:rsid w:val="00C2319C"/>
    <w:rsid w:val="00C23405"/>
    <w:rsid w:val="00C234AF"/>
    <w:rsid w:val="00C2365E"/>
    <w:rsid w:val="00C23913"/>
    <w:rsid w:val="00C23A6C"/>
    <w:rsid w:val="00C23AE0"/>
    <w:rsid w:val="00C23AFF"/>
    <w:rsid w:val="00C23C08"/>
    <w:rsid w:val="00C23C65"/>
    <w:rsid w:val="00C23F8C"/>
    <w:rsid w:val="00C23FBD"/>
    <w:rsid w:val="00C244CC"/>
    <w:rsid w:val="00C24C3F"/>
    <w:rsid w:val="00C24D08"/>
    <w:rsid w:val="00C24D5C"/>
    <w:rsid w:val="00C25238"/>
    <w:rsid w:val="00C25679"/>
    <w:rsid w:val="00C2581D"/>
    <w:rsid w:val="00C25B55"/>
    <w:rsid w:val="00C25E8C"/>
    <w:rsid w:val="00C2615B"/>
    <w:rsid w:val="00C2632A"/>
    <w:rsid w:val="00C26628"/>
    <w:rsid w:val="00C2675F"/>
    <w:rsid w:val="00C267D1"/>
    <w:rsid w:val="00C267F5"/>
    <w:rsid w:val="00C26CDA"/>
    <w:rsid w:val="00C27264"/>
    <w:rsid w:val="00C273A3"/>
    <w:rsid w:val="00C27502"/>
    <w:rsid w:val="00C27775"/>
    <w:rsid w:val="00C27B2B"/>
    <w:rsid w:val="00C300E4"/>
    <w:rsid w:val="00C30223"/>
    <w:rsid w:val="00C302B6"/>
    <w:rsid w:val="00C3098C"/>
    <w:rsid w:val="00C30A2A"/>
    <w:rsid w:val="00C30FF6"/>
    <w:rsid w:val="00C31009"/>
    <w:rsid w:val="00C311E4"/>
    <w:rsid w:val="00C31246"/>
    <w:rsid w:val="00C3158F"/>
    <w:rsid w:val="00C31745"/>
    <w:rsid w:val="00C318E3"/>
    <w:rsid w:val="00C3197F"/>
    <w:rsid w:val="00C31CBD"/>
    <w:rsid w:val="00C31DCB"/>
    <w:rsid w:val="00C321DE"/>
    <w:rsid w:val="00C323EF"/>
    <w:rsid w:val="00C323F6"/>
    <w:rsid w:val="00C32755"/>
    <w:rsid w:val="00C32A92"/>
    <w:rsid w:val="00C331A1"/>
    <w:rsid w:val="00C3324D"/>
    <w:rsid w:val="00C3335A"/>
    <w:rsid w:val="00C3347B"/>
    <w:rsid w:val="00C33594"/>
    <w:rsid w:val="00C338B9"/>
    <w:rsid w:val="00C338EC"/>
    <w:rsid w:val="00C33A9C"/>
    <w:rsid w:val="00C33B27"/>
    <w:rsid w:val="00C33BCF"/>
    <w:rsid w:val="00C33EE6"/>
    <w:rsid w:val="00C33FB6"/>
    <w:rsid w:val="00C340AD"/>
    <w:rsid w:val="00C3444A"/>
    <w:rsid w:val="00C34888"/>
    <w:rsid w:val="00C34CF0"/>
    <w:rsid w:val="00C35301"/>
    <w:rsid w:val="00C35453"/>
    <w:rsid w:val="00C35550"/>
    <w:rsid w:val="00C35B1C"/>
    <w:rsid w:val="00C35CF8"/>
    <w:rsid w:val="00C35EE3"/>
    <w:rsid w:val="00C35F9F"/>
    <w:rsid w:val="00C36856"/>
    <w:rsid w:val="00C36B1C"/>
    <w:rsid w:val="00C36B55"/>
    <w:rsid w:val="00C36E4B"/>
    <w:rsid w:val="00C37305"/>
    <w:rsid w:val="00C37B83"/>
    <w:rsid w:val="00C40508"/>
    <w:rsid w:val="00C40C61"/>
    <w:rsid w:val="00C41536"/>
    <w:rsid w:val="00C415A2"/>
    <w:rsid w:val="00C41626"/>
    <w:rsid w:val="00C4182C"/>
    <w:rsid w:val="00C41A0D"/>
    <w:rsid w:val="00C41AC5"/>
    <w:rsid w:val="00C41EAF"/>
    <w:rsid w:val="00C42066"/>
    <w:rsid w:val="00C42226"/>
    <w:rsid w:val="00C42581"/>
    <w:rsid w:val="00C426BF"/>
    <w:rsid w:val="00C4279D"/>
    <w:rsid w:val="00C429FA"/>
    <w:rsid w:val="00C42D5C"/>
    <w:rsid w:val="00C42E47"/>
    <w:rsid w:val="00C42EDB"/>
    <w:rsid w:val="00C4343F"/>
    <w:rsid w:val="00C437F2"/>
    <w:rsid w:val="00C438FE"/>
    <w:rsid w:val="00C43A35"/>
    <w:rsid w:val="00C43B59"/>
    <w:rsid w:val="00C43C60"/>
    <w:rsid w:val="00C44342"/>
    <w:rsid w:val="00C44513"/>
    <w:rsid w:val="00C44B18"/>
    <w:rsid w:val="00C44C1D"/>
    <w:rsid w:val="00C44E1C"/>
    <w:rsid w:val="00C44FF4"/>
    <w:rsid w:val="00C45274"/>
    <w:rsid w:val="00C45D9A"/>
    <w:rsid w:val="00C45F5E"/>
    <w:rsid w:val="00C46112"/>
    <w:rsid w:val="00C46884"/>
    <w:rsid w:val="00C469DA"/>
    <w:rsid w:val="00C46A12"/>
    <w:rsid w:val="00C46B2A"/>
    <w:rsid w:val="00C46E14"/>
    <w:rsid w:val="00C471F6"/>
    <w:rsid w:val="00C4784C"/>
    <w:rsid w:val="00C478DA"/>
    <w:rsid w:val="00C47D2B"/>
    <w:rsid w:val="00C47D34"/>
    <w:rsid w:val="00C5013B"/>
    <w:rsid w:val="00C5059E"/>
    <w:rsid w:val="00C505E1"/>
    <w:rsid w:val="00C508E5"/>
    <w:rsid w:val="00C50AD1"/>
    <w:rsid w:val="00C51599"/>
    <w:rsid w:val="00C515BA"/>
    <w:rsid w:val="00C51A09"/>
    <w:rsid w:val="00C5237F"/>
    <w:rsid w:val="00C523AE"/>
    <w:rsid w:val="00C524A2"/>
    <w:rsid w:val="00C52AC7"/>
    <w:rsid w:val="00C52DD7"/>
    <w:rsid w:val="00C535C3"/>
    <w:rsid w:val="00C536AF"/>
    <w:rsid w:val="00C53709"/>
    <w:rsid w:val="00C5388E"/>
    <w:rsid w:val="00C539B2"/>
    <w:rsid w:val="00C53A39"/>
    <w:rsid w:val="00C53A4A"/>
    <w:rsid w:val="00C53D5A"/>
    <w:rsid w:val="00C547C9"/>
    <w:rsid w:val="00C54912"/>
    <w:rsid w:val="00C54F9F"/>
    <w:rsid w:val="00C551E0"/>
    <w:rsid w:val="00C55310"/>
    <w:rsid w:val="00C5574D"/>
    <w:rsid w:val="00C56095"/>
    <w:rsid w:val="00C56204"/>
    <w:rsid w:val="00C563AD"/>
    <w:rsid w:val="00C563D1"/>
    <w:rsid w:val="00C563DE"/>
    <w:rsid w:val="00C5646C"/>
    <w:rsid w:val="00C565E5"/>
    <w:rsid w:val="00C569D5"/>
    <w:rsid w:val="00C56A41"/>
    <w:rsid w:val="00C56B8A"/>
    <w:rsid w:val="00C56C31"/>
    <w:rsid w:val="00C56D91"/>
    <w:rsid w:val="00C56DBA"/>
    <w:rsid w:val="00C573B0"/>
    <w:rsid w:val="00C57549"/>
    <w:rsid w:val="00C57ED8"/>
    <w:rsid w:val="00C602B6"/>
    <w:rsid w:val="00C602DB"/>
    <w:rsid w:val="00C60432"/>
    <w:rsid w:val="00C60516"/>
    <w:rsid w:val="00C60876"/>
    <w:rsid w:val="00C60939"/>
    <w:rsid w:val="00C60C4C"/>
    <w:rsid w:val="00C60CA8"/>
    <w:rsid w:val="00C60DD5"/>
    <w:rsid w:val="00C60E82"/>
    <w:rsid w:val="00C60F24"/>
    <w:rsid w:val="00C61229"/>
    <w:rsid w:val="00C61374"/>
    <w:rsid w:val="00C6157D"/>
    <w:rsid w:val="00C618AB"/>
    <w:rsid w:val="00C6192F"/>
    <w:rsid w:val="00C61A53"/>
    <w:rsid w:val="00C61FFA"/>
    <w:rsid w:val="00C621F1"/>
    <w:rsid w:val="00C62207"/>
    <w:rsid w:val="00C624F4"/>
    <w:rsid w:val="00C6271B"/>
    <w:rsid w:val="00C627D7"/>
    <w:rsid w:val="00C62A8F"/>
    <w:rsid w:val="00C62DF9"/>
    <w:rsid w:val="00C62E1C"/>
    <w:rsid w:val="00C63239"/>
    <w:rsid w:val="00C6333B"/>
    <w:rsid w:val="00C633E5"/>
    <w:rsid w:val="00C633F6"/>
    <w:rsid w:val="00C634E5"/>
    <w:rsid w:val="00C6390B"/>
    <w:rsid w:val="00C63967"/>
    <w:rsid w:val="00C63D65"/>
    <w:rsid w:val="00C63D80"/>
    <w:rsid w:val="00C644C5"/>
    <w:rsid w:val="00C64564"/>
    <w:rsid w:val="00C64687"/>
    <w:rsid w:val="00C648DA"/>
    <w:rsid w:val="00C6498A"/>
    <w:rsid w:val="00C6628C"/>
    <w:rsid w:val="00C66295"/>
    <w:rsid w:val="00C663CF"/>
    <w:rsid w:val="00C664CA"/>
    <w:rsid w:val="00C6650A"/>
    <w:rsid w:val="00C66548"/>
    <w:rsid w:val="00C665C1"/>
    <w:rsid w:val="00C66649"/>
    <w:rsid w:val="00C667C8"/>
    <w:rsid w:val="00C66989"/>
    <w:rsid w:val="00C66A8E"/>
    <w:rsid w:val="00C66B9A"/>
    <w:rsid w:val="00C66F96"/>
    <w:rsid w:val="00C6734B"/>
    <w:rsid w:val="00C67831"/>
    <w:rsid w:val="00C679D3"/>
    <w:rsid w:val="00C67AEC"/>
    <w:rsid w:val="00C67C45"/>
    <w:rsid w:val="00C67E3D"/>
    <w:rsid w:val="00C67EB2"/>
    <w:rsid w:val="00C67F97"/>
    <w:rsid w:val="00C70032"/>
    <w:rsid w:val="00C70620"/>
    <w:rsid w:val="00C70781"/>
    <w:rsid w:val="00C70B5D"/>
    <w:rsid w:val="00C70C20"/>
    <w:rsid w:val="00C70D5E"/>
    <w:rsid w:val="00C70F90"/>
    <w:rsid w:val="00C710A0"/>
    <w:rsid w:val="00C715F9"/>
    <w:rsid w:val="00C717C2"/>
    <w:rsid w:val="00C71D3A"/>
    <w:rsid w:val="00C71D99"/>
    <w:rsid w:val="00C71DCD"/>
    <w:rsid w:val="00C724DF"/>
    <w:rsid w:val="00C72889"/>
    <w:rsid w:val="00C72A9C"/>
    <w:rsid w:val="00C72DFE"/>
    <w:rsid w:val="00C72E0E"/>
    <w:rsid w:val="00C73016"/>
    <w:rsid w:val="00C734E0"/>
    <w:rsid w:val="00C73524"/>
    <w:rsid w:val="00C73599"/>
    <w:rsid w:val="00C736AF"/>
    <w:rsid w:val="00C73F85"/>
    <w:rsid w:val="00C741B8"/>
    <w:rsid w:val="00C74529"/>
    <w:rsid w:val="00C746F1"/>
    <w:rsid w:val="00C748CD"/>
    <w:rsid w:val="00C74A10"/>
    <w:rsid w:val="00C74B67"/>
    <w:rsid w:val="00C74BCC"/>
    <w:rsid w:val="00C74CE0"/>
    <w:rsid w:val="00C74D1E"/>
    <w:rsid w:val="00C751DE"/>
    <w:rsid w:val="00C753BD"/>
    <w:rsid w:val="00C756E5"/>
    <w:rsid w:val="00C757DC"/>
    <w:rsid w:val="00C75AC4"/>
    <w:rsid w:val="00C75E4D"/>
    <w:rsid w:val="00C764CD"/>
    <w:rsid w:val="00C765DA"/>
    <w:rsid w:val="00C7695A"/>
    <w:rsid w:val="00C76A4D"/>
    <w:rsid w:val="00C76AD4"/>
    <w:rsid w:val="00C76B45"/>
    <w:rsid w:val="00C76CE5"/>
    <w:rsid w:val="00C76EDC"/>
    <w:rsid w:val="00C7721F"/>
    <w:rsid w:val="00C773F6"/>
    <w:rsid w:val="00C7757A"/>
    <w:rsid w:val="00C77A39"/>
    <w:rsid w:val="00C77BB1"/>
    <w:rsid w:val="00C77C27"/>
    <w:rsid w:val="00C77D2B"/>
    <w:rsid w:val="00C8069F"/>
    <w:rsid w:val="00C80ECF"/>
    <w:rsid w:val="00C81010"/>
    <w:rsid w:val="00C81161"/>
    <w:rsid w:val="00C81252"/>
    <w:rsid w:val="00C81254"/>
    <w:rsid w:val="00C8134F"/>
    <w:rsid w:val="00C8189F"/>
    <w:rsid w:val="00C818E6"/>
    <w:rsid w:val="00C820E0"/>
    <w:rsid w:val="00C820F2"/>
    <w:rsid w:val="00C82B94"/>
    <w:rsid w:val="00C83029"/>
    <w:rsid w:val="00C83532"/>
    <w:rsid w:val="00C8373F"/>
    <w:rsid w:val="00C83C74"/>
    <w:rsid w:val="00C83FA3"/>
    <w:rsid w:val="00C84075"/>
    <w:rsid w:val="00C840B3"/>
    <w:rsid w:val="00C84204"/>
    <w:rsid w:val="00C84285"/>
    <w:rsid w:val="00C843A6"/>
    <w:rsid w:val="00C84521"/>
    <w:rsid w:val="00C84739"/>
    <w:rsid w:val="00C847BD"/>
    <w:rsid w:val="00C84FDE"/>
    <w:rsid w:val="00C8531D"/>
    <w:rsid w:val="00C85885"/>
    <w:rsid w:val="00C859CC"/>
    <w:rsid w:val="00C85CCC"/>
    <w:rsid w:val="00C85F96"/>
    <w:rsid w:val="00C86095"/>
    <w:rsid w:val="00C86269"/>
    <w:rsid w:val="00C86718"/>
    <w:rsid w:val="00C86832"/>
    <w:rsid w:val="00C8696F"/>
    <w:rsid w:val="00C86AC8"/>
    <w:rsid w:val="00C86B3C"/>
    <w:rsid w:val="00C86C68"/>
    <w:rsid w:val="00C86F84"/>
    <w:rsid w:val="00C86F87"/>
    <w:rsid w:val="00C87267"/>
    <w:rsid w:val="00C87543"/>
    <w:rsid w:val="00C87B97"/>
    <w:rsid w:val="00C87BA4"/>
    <w:rsid w:val="00C9022B"/>
    <w:rsid w:val="00C90360"/>
    <w:rsid w:val="00C90769"/>
    <w:rsid w:val="00C90866"/>
    <w:rsid w:val="00C90964"/>
    <w:rsid w:val="00C90CBA"/>
    <w:rsid w:val="00C90F38"/>
    <w:rsid w:val="00C911D4"/>
    <w:rsid w:val="00C911EF"/>
    <w:rsid w:val="00C911F4"/>
    <w:rsid w:val="00C91259"/>
    <w:rsid w:val="00C912B0"/>
    <w:rsid w:val="00C91413"/>
    <w:rsid w:val="00C914E2"/>
    <w:rsid w:val="00C91AB3"/>
    <w:rsid w:val="00C91D9B"/>
    <w:rsid w:val="00C92344"/>
    <w:rsid w:val="00C924FE"/>
    <w:rsid w:val="00C92568"/>
    <w:rsid w:val="00C9285F"/>
    <w:rsid w:val="00C92961"/>
    <w:rsid w:val="00C92E4E"/>
    <w:rsid w:val="00C92F2B"/>
    <w:rsid w:val="00C92FAC"/>
    <w:rsid w:val="00C93655"/>
    <w:rsid w:val="00C93DD3"/>
    <w:rsid w:val="00C93F7E"/>
    <w:rsid w:val="00C9434A"/>
    <w:rsid w:val="00C94369"/>
    <w:rsid w:val="00C94A92"/>
    <w:rsid w:val="00C94F89"/>
    <w:rsid w:val="00C95163"/>
    <w:rsid w:val="00C95324"/>
    <w:rsid w:val="00C958CA"/>
    <w:rsid w:val="00C95CF9"/>
    <w:rsid w:val="00C96844"/>
    <w:rsid w:val="00C96B0F"/>
    <w:rsid w:val="00C96C43"/>
    <w:rsid w:val="00C96E67"/>
    <w:rsid w:val="00C970BA"/>
    <w:rsid w:val="00C970EC"/>
    <w:rsid w:val="00C970F5"/>
    <w:rsid w:val="00C97292"/>
    <w:rsid w:val="00C973E3"/>
    <w:rsid w:val="00C97950"/>
    <w:rsid w:val="00C97A47"/>
    <w:rsid w:val="00C97FF5"/>
    <w:rsid w:val="00CA0264"/>
    <w:rsid w:val="00CA02F5"/>
    <w:rsid w:val="00CA063D"/>
    <w:rsid w:val="00CA0DEC"/>
    <w:rsid w:val="00CA0E58"/>
    <w:rsid w:val="00CA0FE6"/>
    <w:rsid w:val="00CA13CA"/>
    <w:rsid w:val="00CA13CF"/>
    <w:rsid w:val="00CA13F0"/>
    <w:rsid w:val="00CA1652"/>
    <w:rsid w:val="00CA18A6"/>
    <w:rsid w:val="00CA18DB"/>
    <w:rsid w:val="00CA1AEC"/>
    <w:rsid w:val="00CA1B8C"/>
    <w:rsid w:val="00CA20EA"/>
    <w:rsid w:val="00CA28F4"/>
    <w:rsid w:val="00CA2E41"/>
    <w:rsid w:val="00CA2E5B"/>
    <w:rsid w:val="00CA2FF3"/>
    <w:rsid w:val="00CA311D"/>
    <w:rsid w:val="00CA3227"/>
    <w:rsid w:val="00CA32C2"/>
    <w:rsid w:val="00CA36C6"/>
    <w:rsid w:val="00CA3B78"/>
    <w:rsid w:val="00CA4547"/>
    <w:rsid w:val="00CA46A3"/>
    <w:rsid w:val="00CA47C3"/>
    <w:rsid w:val="00CA4801"/>
    <w:rsid w:val="00CA4958"/>
    <w:rsid w:val="00CA4ED9"/>
    <w:rsid w:val="00CA53A3"/>
    <w:rsid w:val="00CA578A"/>
    <w:rsid w:val="00CA5900"/>
    <w:rsid w:val="00CA5AE2"/>
    <w:rsid w:val="00CA5CBB"/>
    <w:rsid w:val="00CA5D96"/>
    <w:rsid w:val="00CA5FE2"/>
    <w:rsid w:val="00CA613C"/>
    <w:rsid w:val="00CA649E"/>
    <w:rsid w:val="00CA6A71"/>
    <w:rsid w:val="00CA6A78"/>
    <w:rsid w:val="00CA6D78"/>
    <w:rsid w:val="00CA6DE0"/>
    <w:rsid w:val="00CA6DF5"/>
    <w:rsid w:val="00CA7376"/>
    <w:rsid w:val="00CA7627"/>
    <w:rsid w:val="00CA77B7"/>
    <w:rsid w:val="00CA7978"/>
    <w:rsid w:val="00CA7DCE"/>
    <w:rsid w:val="00CA7EDA"/>
    <w:rsid w:val="00CB000B"/>
    <w:rsid w:val="00CB007C"/>
    <w:rsid w:val="00CB0109"/>
    <w:rsid w:val="00CB0565"/>
    <w:rsid w:val="00CB0876"/>
    <w:rsid w:val="00CB0CC3"/>
    <w:rsid w:val="00CB0EFE"/>
    <w:rsid w:val="00CB1039"/>
    <w:rsid w:val="00CB10D6"/>
    <w:rsid w:val="00CB117A"/>
    <w:rsid w:val="00CB1202"/>
    <w:rsid w:val="00CB1206"/>
    <w:rsid w:val="00CB13D7"/>
    <w:rsid w:val="00CB1584"/>
    <w:rsid w:val="00CB171A"/>
    <w:rsid w:val="00CB19F0"/>
    <w:rsid w:val="00CB1C84"/>
    <w:rsid w:val="00CB1E92"/>
    <w:rsid w:val="00CB1ED0"/>
    <w:rsid w:val="00CB1FE8"/>
    <w:rsid w:val="00CB211F"/>
    <w:rsid w:val="00CB2124"/>
    <w:rsid w:val="00CB2247"/>
    <w:rsid w:val="00CB2342"/>
    <w:rsid w:val="00CB2405"/>
    <w:rsid w:val="00CB278C"/>
    <w:rsid w:val="00CB27A7"/>
    <w:rsid w:val="00CB2A05"/>
    <w:rsid w:val="00CB2CB0"/>
    <w:rsid w:val="00CB2F57"/>
    <w:rsid w:val="00CB2F9A"/>
    <w:rsid w:val="00CB2FB5"/>
    <w:rsid w:val="00CB3161"/>
    <w:rsid w:val="00CB3238"/>
    <w:rsid w:val="00CB3401"/>
    <w:rsid w:val="00CB36D3"/>
    <w:rsid w:val="00CB38D9"/>
    <w:rsid w:val="00CB3B27"/>
    <w:rsid w:val="00CB3B81"/>
    <w:rsid w:val="00CB3ECD"/>
    <w:rsid w:val="00CB3F2A"/>
    <w:rsid w:val="00CB4193"/>
    <w:rsid w:val="00CB487C"/>
    <w:rsid w:val="00CB48B1"/>
    <w:rsid w:val="00CB50CB"/>
    <w:rsid w:val="00CB5222"/>
    <w:rsid w:val="00CB5448"/>
    <w:rsid w:val="00CB546F"/>
    <w:rsid w:val="00CB55AD"/>
    <w:rsid w:val="00CB55DD"/>
    <w:rsid w:val="00CB5B2C"/>
    <w:rsid w:val="00CB5D4B"/>
    <w:rsid w:val="00CB6305"/>
    <w:rsid w:val="00CB6580"/>
    <w:rsid w:val="00CB65F1"/>
    <w:rsid w:val="00CB6768"/>
    <w:rsid w:val="00CB6842"/>
    <w:rsid w:val="00CB69B5"/>
    <w:rsid w:val="00CB6FA9"/>
    <w:rsid w:val="00CB70B2"/>
    <w:rsid w:val="00CB70CC"/>
    <w:rsid w:val="00CB712A"/>
    <w:rsid w:val="00CB7225"/>
    <w:rsid w:val="00CB7676"/>
    <w:rsid w:val="00CB78C3"/>
    <w:rsid w:val="00CB7C71"/>
    <w:rsid w:val="00CC151F"/>
    <w:rsid w:val="00CC15F7"/>
    <w:rsid w:val="00CC1A32"/>
    <w:rsid w:val="00CC1A6A"/>
    <w:rsid w:val="00CC1A8F"/>
    <w:rsid w:val="00CC1B3A"/>
    <w:rsid w:val="00CC1E2D"/>
    <w:rsid w:val="00CC1F49"/>
    <w:rsid w:val="00CC1F8F"/>
    <w:rsid w:val="00CC21A9"/>
    <w:rsid w:val="00CC2251"/>
    <w:rsid w:val="00CC2352"/>
    <w:rsid w:val="00CC25CC"/>
    <w:rsid w:val="00CC25EE"/>
    <w:rsid w:val="00CC2873"/>
    <w:rsid w:val="00CC298C"/>
    <w:rsid w:val="00CC2997"/>
    <w:rsid w:val="00CC2D01"/>
    <w:rsid w:val="00CC2E6E"/>
    <w:rsid w:val="00CC2F04"/>
    <w:rsid w:val="00CC3092"/>
    <w:rsid w:val="00CC33BA"/>
    <w:rsid w:val="00CC34B4"/>
    <w:rsid w:val="00CC353D"/>
    <w:rsid w:val="00CC386E"/>
    <w:rsid w:val="00CC398D"/>
    <w:rsid w:val="00CC3B56"/>
    <w:rsid w:val="00CC3C60"/>
    <w:rsid w:val="00CC42F5"/>
    <w:rsid w:val="00CC4333"/>
    <w:rsid w:val="00CC43CC"/>
    <w:rsid w:val="00CC4439"/>
    <w:rsid w:val="00CC47EA"/>
    <w:rsid w:val="00CC4A0C"/>
    <w:rsid w:val="00CC4BEF"/>
    <w:rsid w:val="00CC4E97"/>
    <w:rsid w:val="00CC505D"/>
    <w:rsid w:val="00CC50BF"/>
    <w:rsid w:val="00CC52B6"/>
    <w:rsid w:val="00CC5706"/>
    <w:rsid w:val="00CC5C30"/>
    <w:rsid w:val="00CC5EFD"/>
    <w:rsid w:val="00CC5F0A"/>
    <w:rsid w:val="00CC5FDA"/>
    <w:rsid w:val="00CC6021"/>
    <w:rsid w:val="00CC6305"/>
    <w:rsid w:val="00CC634F"/>
    <w:rsid w:val="00CC6462"/>
    <w:rsid w:val="00CC659C"/>
    <w:rsid w:val="00CC674B"/>
    <w:rsid w:val="00CC6B22"/>
    <w:rsid w:val="00CC7455"/>
    <w:rsid w:val="00CC7723"/>
    <w:rsid w:val="00CC7796"/>
    <w:rsid w:val="00CC7AC3"/>
    <w:rsid w:val="00CC7C58"/>
    <w:rsid w:val="00CC7CFD"/>
    <w:rsid w:val="00CC7F76"/>
    <w:rsid w:val="00CD032F"/>
    <w:rsid w:val="00CD0601"/>
    <w:rsid w:val="00CD0811"/>
    <w:rsid w:val="00CD1103"/>
    <w:rsid w:val="00CD1435"/>
    <w:rsid w:val="00CD162C"/>
    <w:rsid w:val="00CD1A58"/>
    <w:rsid w:val="00CD1BFF"/>
    <w:rsid w:val="00CD1C2A"/>
    <w:rsid w:val="00CD1E7E"/>
    <w:rsid w:val="00CD20AE"/>
    <w:rsid w:val="00CD219F"/>
    <w:rsid w:val="00CD2535"/>
    <w:rsid w:val="00CD27AB"/>
    <w:rsid w:val="00CD2A9E"/>
    <w:rsid w:val="00CD2CF6"/>
    <w:rsid w:val="00CD2D43"/>
    <w:rsid w:val="00CD2E39"/>
    <w:rsid w:val="00CD310A"/>
    <w:rsid w:val="00CD315C"/>
    <w:rsid w:val="00CD3223"/>
    <w:rsid w:val="00CD33C1"/>
    <w:rsid w:val="00CD36E1"/>
    <w:rsid w:val="00CD3770"/>
    <w:rsid w:val="00CD3DC6"/>
    <w:rsid w:val="00CD3F14"/>
    <w:rsid w:val="00CD4317"/>
    <w:rsid w:val="00CD4466"/>
    <w:rsid w:val="00CD4548"/>
    <w:rsid w:val="00CD49AE"/>
    <w:rsid w:val="00CD4B52"/>
    <w:rsid w:val="00CD5187"/>
    <w:rsid w:val="00CD52D7"/>
    <w:rsid w:val="00CD550C"/>
    <w:rsid w:val="00CD5B5D"/>
    <w:rsid w:val="00CD5B6A"/>
    <w:rsid w:val="00CD5EB2"/>
    <w:rsid w:val="00CD6358"/>
    <w:rsid w:val="00CD63FC"/>
    <w:rsid w:val="00CD6563"/>
    <w:rsid w:val="00CD69F3"/>
    <w:rsid w:val="00CD7039"/>
    <w:rsid w:val="00CD78E2"/>
    <w:rsid w:val="00CE0094"/>
    <w:rsid w:val="00CE02B0"/>
    <w:rsid w:val="00CE0307"/>
    <w:rsid w:val="00CE039E"/>
    <w:rsid w:val="00CE0487"/>
    <w:rsid w:val="00CE0AEA"/>
    <w:rsid w:val="00CE0C0C"/>
    <w:rsid w:val="00CE0D9A"/>
    <w:rsid w:val="00CE1229"/>
    <w:rsid w:val="00CE1282"/>
    <w:rsid w:val="00CE1354"/>
    <w:rsid w:val="00CE137F"/>
    <w:rsid w:val="00CE1892"/>
    <w:rsid w:val="00CE1A30"/>
    <w:rsid w:val="00CE1C3D"/>
    <w:rsid w:val="00CE1C94"/>
    <w:rsid w:val="00CE2506"/>
    <w:rsid w:val="00CE2819"/>
    <w:rsid w:val="00CE2AEF"/>
    <w:rsid w:val="00CE2B59"/>
    <w:rsid w:val="00CE2BDF"/>
    <w:rsid w:val="00CE3274"/>
    <w:rsid w:val="00CE38E4"/>
    <w:rsid w:val="00CE3DC0"/>
    <w:rsid w:val="00CE427E"/>
    <w:rsid w:val="00CE42E6"/>
    <w:rsid w:val="00CE454B"/>
    <w:rsid w:val="00CE47E5"/>
    <w:rsid w:val="00CE4C31"/>
    <w:rsid w:val="00CE4CF2"/>
    <w:rsid w:val="00CE5122"/>
    <w:rsid w:val="00CE5254"/>
    <w:rsid w:val="00CE54AA"/>
    <w:rsid w:val="00CE5539"/>
    <w:rsid w:val="00CE556D"/>
    <w:rsid w:val="00CE5953"/>
    <w:rsid w:val="00CE5ADB"/>
    <w:rsid w:val="00CE5E1F"/>
    <w:rsid w:val="00CE5F61"/>
    <w:rsid w:val="00CE6000"/>
    <w:rsid w:val="00CE6723"/>
    <w:rsid w:val="00CE6919"/>
    <w:rsid w:val="00CE6F76"/>
    <w:rsid w:val="00CE7440"/>
    <w:rsid w:val="00CE770C"/>
    <w:rsid w:val="00CE7748"/>
    <w:rsid w:val="00CE7A4A"/>
    <w:rsid w:val="00CE7CF2"/>
    <w:rsid w:val="00CF0033"/>
    <w:rsid w:val="00CF03F4"/>
    <w:rsid w:val="00CF05A9"/>
    <w:rsid w:val="00CF07CB"/>
    <w:rsid w:val="00CF09A4"/>
    <w:rsid w:val="00CF09B5"/>
    <w:rsid w:val="00CF0BCC"/>
    <w:rsid w:val="00CF0D58"/>
    <w:rsid w:val="00CF0FE4"/>
    <w:rsid w:val="00CF121C"/>
    <w:rsid w:val="00CF1247"/>
    <w:rsid w:val="00CF1305"/>
    <w:rsid w:val="00CF1710"/>
    <w:rsid w:val="00CF1740"/>
    <w:rsid w:val="00CF1957"/>
    <w:rsid w:val="00CF1A44"/>
    <w:rsid w:val="00CF1CBD"/>
    <w:rsid w:val="00CF215A"/>
    <w:rsid w:val="00CF23EF"/>
    <w:rsid w:val="00CF276A"/>
    <w:rsid w:val="00CF37D2"/>
    <w:rsid w:val="00CF38A7"/>
    <w:rsid w:val="00CF3AF2"/>
    <w:rsid w:val="00CF3B96"/>
    <w:rsid w:val="00CF3E88"/>
    <w:rsid w:val="00CF42FD"/>
    <w:rsid w:val="00CF43AF"/>
    <w:rsid w:val="00CF4F9B"/>
    <w:rsid w:val="00CF5150"/>
    <w:rsid w:val="00CF5178"/>
    <w:rsid w:val="00CF55B6"/>
    <w:rsid w:val="00CF560F"/>
    <w:rsid w:val="00CF57D3"/>
    <w:rsid w:val="00CF59C5"/>
    <w:rsid w:val="00CF5C9A"/>
    <w:rsid w:val="00CF5ED2"/>
    <w:rsid w:val="00CF6457"/>
    <w:rsid w:val="00CF64C5"/>
    <w:rsid w:val="00CF669A"/>
    <w:rsid w:val="00CF66AE"/>
    <w:rsid w:val="00CF6937"/>
    <w:rsid w:val="00CF6C1A"/>
    <w:rsid w:val="00CF6C81"/>
    <w:rsid w:val="00CF70C1"/>
    <w:rsid w:val="00CF7395"/>
    <w:rsid w:val="00CF7856"/>
    <w:rsid w:val="00CF7871"/>
    <w:rsid w:val="00CF7AC7"/>
    <w:rsid w:val="00CF7B10"/>
    <w:rsid w:val="00CF7B22"/>
    <w:rsid w:val="00CF7C8A"/>
    <w:rsid w:val="00CF7CBE"/>
    <w:rsid w:val="00D00123"/>
    <w:rsid w:val="00D00398"/>
    <w:rsid w:val="00D00458"/>
    <w:rsid w:val="00D0064F"/>
    <w:rsid w:val="00D007E8"/>
    <w:rsid w:val="00D00903"/>
    <w:rsid w:val="00D00B64"/>
    <w:rsid w:val="00D00BD5"/>
    <w:rsid w:val="00D01034"/>
    <w:rsid w:val="00D0136D"/>
    <w:rsid w:val="00D017B0"/>
    <w:rsid w:val="00D01FBF"/>
    <w:rsid w:val="00D021B0"/>
    <w:rsid w:val="00D02482"/>
    <w:rsid w:val="00D02568"/>
    <w:rsid w:val="00D02647"/>
    <w:rsid w:val="00D0280E"/>
    <w:rsid w:val="00D036ED"/>
    <w:rsid w:val="00D03A4E"/>
    <w:rsid w:val="00D04092"/>
    <w:rsid w:val="00D040EE"/>
    <w:rsid w:val="00D04296"/>
    <w:rsid w:val="00D04446"/>
    <w:rsid w:val="00D04711"/>
    <w:rsid w:val="00D049C9"/>
    <w:rsid w:val="00D04D24"/>
    <w:rsid w:val="00D04DCA"/>
    <w:rsid w:val="00D04ECA"/>
    <w:rsid w:val="00D051A4"/>
    <w:rsid w:val="00D054B7"/>
    <w:rsid w:val="00D055A8"/>
    <w:rsid w:val="00D055AD"/>
    <w:rsid w:val="00D05617"/>
    <w:rsid w:val="00D0596D"/>
    <w:rsid w:val="00D05B58"/>
    <w:rsid w:val="00D05CD5"/>
    <w:rsid w:val="00D05E1C"/>
    <w:rsid w:val="00D05E64"/>
    <w:rsid w:val="00D05F63"/>
    <w:rsid w:val="00D0613F"/>
    <w:rsid w:val="00D06141"/>
    <w:rsid w:val="00D06366"/>
    <w:rsid w:val="00D06BF0"/>
    <w:rsid w:val="00D06CF7"/>
    <w:rsid w:val="00D06EA2"/>
    <w:rsid w:val="00D0724C"/>
    <w:rsid w:val="00D074D9"/>
    <w:rsid w:val="00D076E9"/>
    <w:rsid w:val="00D07771"/>
    <w:rsid w:val="00D07AE0"/>
    <w:rsid w:val="00D07C49"/>
    <w:rsid w:val="00D07D0F"/>
    <w:rsid w:val="00D07FCE"/>
    <w:rsid w:val="00D108F3"/>
    <w:rsid w:val="00D10F1E"/>
    <w:rsid w:val="00D11532"/>
    <w:rsid w:val="00D1177D"/>
    <w:rsid w:val="00D11879"/>
    <w:rsid w:val="00D11C2D"/>
    <w:rsid w:val="00D11CF7"/>
    <w:rsid w:val="00D11D17"/>
    <w:rsid w:val="00D12306"/>
    <w:rsid w:val="00D12344"/>
    <w:rsid w:val="00D12644"/>
    <w:rsid w:val="00D12ACB"/>
    <w:rsid w:val="00D12D2A"/>
    <w:rsid w:val="00D12E2C"/>
    <w:rsid w:val="00D13D0C"/>
    <w:rsid w:val="00D13D1F"/>
    <w:rsid w:val="00D13E89"/>
    <w:rsid w:val="00D13F92"/>
    <w:rsid w:val="00D13FDD"/>
    <w:rsid w:val="00D140D4"/>
    <w:rsid w:val="00D14120"/>
    <w:rsid w:val="00D141B7"/>
    <w:rsid w:val="00D1447C"/>
    <w:rsid w:val="00D144F1"/>
    <w:rsid w:val="00D14FC6"/>
    <w:rsid w:val="00D15074"/>
    <w:rsid w:val="00D152D4"/>
    <w:rsid w:val="00D15342"/>
    <w:rsid w:val="00D153F9"/>
    <w:rsid w:val="00D1547C"/>
    <w:rsid w:val="00D154AA"/>
    <w:rsid w:val="00D1584C"/>
    <w:rsid w:val="00D158BC"/>
    <w:rsid w:val="00D1592A"/>
    <w:rsid w:val="00D1595C"/>
    <w:rsid w:val="00D15DAA"/>
    <w:rsid w:val="00D15F32"/>
    <w:rsid w:val="00D16167"/>
    <w:rsid w:val="00D16486"/>
    <w:rsid w:val="00D166D3"/>
    <w:rsid w:val="00D168B6"/>
    <w:rsid w:val="00D16C1E"/>
    <w:rsid w:val="00D16C72"/>
    <w:rsid w:val="00D1708E"/>
    <w:rsid w:val="00D17330"/>
    <w:rsid w:val="00D176F4"/>
    <w:rsid w:val="00D17A57"/>
    <w:rsid w:val="00D17A62"/>
    <w:rsid w:val="00D17C33"/>
    <w:rsid w:val="00D17CD4"/>
    <w:rsid w:val="00D2009D"/>
    <w:rsid w:val="00D20731"/>
    <w:rsid w:val="00D207AB"/>
    <w:rsid w:val="00D208CD"/>
    <w:rsid w:val="00D20A1A"/>
    <w:rsid w:val="00D20D29"/>
    <w:rsid w:val="00D20F3C"/>
    <w:rsid w:val="00D21081"/>
    <w:rsid w:val="00D211C4"/>
    <w:rsid w:val="00D21A98"/>
    <w:rsid w:val="00D21C3B"/>
    <w:rsid w:val="00D21C4D"/>
    <w:rsid w:val="00D21E84"/>
    <w:rsid w:val="00D21EE3"/>
    <w:rsid w:val="00D2207E"/>
    <w:rsid w:val="00D221C6"/>
    <w:rsid w:val="00D222FE"/>
    <w:rsid w:val="00D22855"/>
    <w:rsid w:val="00D22A37"/>
    <w:rsid w:val="00D22D64"/>
    <w:rsid w:val="00D230A9"/>
    <w:rsid w:val="00D23564"/>
    <w:rsid w:val="00D23A69"/>
    <w:rsid w:val="00D24245"/>
    <w:rsid w:val="00D24738"/>
    <w:rsid w:val="00D24AC3"/>
    <w:rsid w:val="00D24CBC"/>
    <w:rsid w:val="00D250C9"/>
    <w:rsid w:val="00D250D1"/>
    <w:rsid w:val="00D252DE"/>
    <w:rsid w:val="00D254E8"/>
    <w:rsid w:val="00D2560C"/>
    <w:rsid w:val="00D2591F"/>
    <w:rsid w:val="00D25A08"/>
    <w:rsid w:val="00D25A62"/>
    <w:rsid w:val="00D25DF5"/>
    <w:rsid w:val="00D25FE1"/>
    <w:rsid w:val="00D26169"/>
    <w:rsid w:val="00D26221"/>
    <w:rsid w:val="00D26550"/>
    <w:rsid w:val="00D26836"/>
    <w:rsid w:val="00D26A09"/>
    <w:rsid w:val="00D26A48"/>
    <w:rsid w:val="00D26D65"/>
    <w:rsid w:val="00D27040"/>
    <w:rsid w:val="00D2722A"/>
    <w:rsid w:val="00D27336"/>
    <w:rsid w:val="00D273D4"/>
    <w:rsid w:val="00D27529"/>
    <w:rsid w:val="00D2757C"/>
    <w:rsid w:val="00D275D8"/>
    <w:rsid w:val="00D27EED"/>
    <w:rsid w:val="00D30224"/>
    <w:rsid w:val="00D30791"/>
    <w:rsid w:val="00D3085E"/>
    <w:rsid w:val="00D309B9"/>
    <w:rsid w:val="00D310A2"/>
    <w:rsid w:val="00D31386"/>
    <w:rsid w:val="00D315F9"/>
    <w:rsid w:val="00D31BC3"/>
    <w:rsid w:val="00D327C7"/>
    <w:rsid w:val="00D3293B"/>
    <w:rsid w:val="00D32C3F"/>
    <w:rsid w:val="00D32C98"/>
    <w:rsid w:val="00D32CBE"/>
    <w:rsid w:val="00D33054"/>
    <w:rsid w:val="00D33235"/>
    <w:rsid w:val="00D3329C"/>
    <w:rsid w:val="00D33741"/>
    <w:rsid w:val="00D3381F"/>
    <w:rsid w:val="00D33DEE"/>
    <w:rsid w:val="00D33E01"/>
    <w:rsid w:val="00D34018"/>
    <w:rsid w:val="00D34020"/>
    <w:rsid w:val="00D34118"/>
    <w:rsid w:val="00D35A72"/>
    <w:rsid w:val="00D35E4F"/>
    <w:rsid w:val="00D35FF9"/>
    <w:rsid w:val="00D3626F"/>
    <w:rsid w:val="00D363EC"/>
    <w:rsid w:val="00D368EB"/>
    <w:rsid w:val="00D36AD3"/>
    <w:rsid w:val="00D36B75"/>
    <w:rsid w:val="00D36FEA"/>
    <w:rsid w:val="00D370A1"/>
    <w:rsid w:val="00D37514"/>
    <w:rsid w:val="00D3753D"/>
    <w:rsid w:val="00D37605"/>
    <w:rsid w:val="00D3786E"/>
    <w:rsid w:val="00D40684"/>
    <w:rsid w:val="00D40D2C"/>
    <w:rsid w:val="00D40FC5"/>
    <w:rsid w:val="00D41068"/>
    <w:rsid w:val="00D41557"/>
    <w:rsid w:val="00D41716"/>
    <w:rsid w:val="00D41A98"/>
    <w:rsid w:val="00D41C98"/>
    <w:rsid w:val="00D41D7B"/>
    <w:rsid w:val="00D41EEC"/>
    <w:rsid w:val="00D42262"/>
    <w:rsid w:val="00D4235B"/>
    <w:rsid w:val="00D4238B"/>
    <w:rsid w:val="00D425C4"/>
    <w:rsid w:val="00D42949"/>
    <w:rsid w:val="00D42A6D"/>
    <w:rsid w:val="00D42AD6"/>
    <w:rsid w:val="00D42EBE"/>
    <w:rsid w:val="00D43055"/>
    <w:rsid w:val="00D43286"/>
    <w:rsid w:val="00D432C0"/>
    <w:rsid w:val="00D434B7"/>
    <w:rsid w:val="00D43761"/>
    <w:rsid w:val="00D43876"/>
    <w:rsid w:val="00D43AC1"/>
    <w:rsid w:val="00D43AF2"/>
    <w:rsid w:val="00D43F01"/>
    <w:rsid w:val="00D44234"/>
    <w:rsid w:val="00D44516"/>
    <w:rsid w:val="00D445B5"/>
    <w:rsid w:val="00D44E00"/>
    <w:rsid w:val="00D4581D"/>
    <w:rsid w:val="00D45C62"/>
    <w:rsid w:val="00D45DB8"/>
    <w:rsid w:val="00D46036"/>
    <w:rsid w:val="00D462AC"/>
    <w:rsid w:val="00D463BB"/>
    <w:rsid w:val="00D464D1"/>
    <w:rsid w:val="00D4689E"/>
    <w:rsid w:val="00D46A3E"/>
    <w:rsid w:val="00D46AA4"/>
    <w:rsid w:val="00D46C90"/>
    <w:rsid w:val="00D46E1B"/>
    <w:rsid w:val="00D46F48"/>
    <w:rsid w:val="00D47007"/>
    <w:rsid w:val="00D47176"/>
    <w:rsid w:val="00D47627"/>
    <w:rsid w:val="00D4778D"/>
    <w:rsid w:val="00D47AC8"/>
    <w:rsid w:val="00D47B01"/>
    <w:rsid w:val="00D47BF8"/>
    <w:rsid w:val="00D47D9F"/>
    <w:rsid w:val="00D5005D"/>
    <w:rsid w:val="00D500CB"/>
    <w:rsid w:val="00D5032A"/>
    <w:rsid w:val="00D50406"/>
    <w:rsid w:val="00D5083B"/>
    <w:rsid w:val="00D50D90"/>
    <w:rsid w:val="00D50DD6"/>
    <w:rsid w:val="00D50F6D"/>
    <w:rsid w:val="00D5119B"/>
    <w:rsid w:val="00D514B3"/>
    <w:rsid w:val="00D514F3"/>
    <w:rsid w:val="00D51568"/>
    <w:rsid w:val="00D5173E"/>
    <w:rsid w:val="00D51923"/>
    <w:rsid w:val="00D519BC"/>
    <w:rsid w:val="00D51A62"/>
    <w:rsid w:val="00D51C42"/>
    <w:rsid w:val="00D51D4C"/>
    <w:rsid w:val="00D52086"/>
    <w:rsid w:val="00D52320"/>
    <w:rsid w:val="00D52EEE"/>
    <w:rsid w:val="00D53126"/>
    <w:rsid w:val="00D53258"/>
    <w:rsid w:val="00D53408"/>
    <w:rsid w:val="00D53902"/>
    <w:rsid w:val="00D53BA1"/>
    <w:rsid w:val="00D53C9A"/>
    <w:rsid w:val="00D53DB6"/>
    <w:rsid w:val="00D53DF2"/>
    <w:rsid w:val="00D543B8"/>
    <w:rsid w:val="00D54932"/>
    <w:rsid w:val="00D54948"/>
    <w:rsid w:val="00D54B97"/>
    <w:rsid w:val="00D54C17"/>
    <w:rsid w:val="00D5506C"/>
    <w:rsid w:val="00D55232"/>
    <w:rsid w:val="00D55403"/>
    <w:rsid w:val="00D55787"/>
    <w:rsid w:val="00D557D5"/>
    <w:rsid w:val="00D557F1"/>
    <w:rsid w:val="00D55EAE"/>
    <w:rsid w:val="00D56337"/>
    <w:rsid w:val="00D566BB"/>
    <w:rsid w:val="00D56841"/>
    <w:rsid w:val="00D56999"/>
    <w:rsid w:val="00D56CC4"/>
    <w:rsid w:val="00D5727D"/>
    <w:rsid w:val="00D5737E"/>
    <w:rsid w:val="00D576BA"/>
    <w:rsid w:val="00D579EB"/>
    <w:rsid w:val="00D57D6E"/>
    <w:rsid w:val="00D603D4"/>
    <w:rsid w:val="00D60552"/>
    <w:rsid w:val="00D60742"/>
    <w:rsid w:val="00D60A85"/>
    <w:rsid w:val="00D60B1E"/>
    <w:rsid w:val="00D61556"/>
    <w:rsid w:val="00D61B46"/>
    <w:rsid w:val="00D61C35"/>
    <w:rsid w:val="00D62A57"/>
    <w:rsid w:val="00D62CFC"/>
    <w:rsid w:val="00D63202"/>
    <w:rsid w:val="00D633B8"/>
    <w:rsid w:val="00D63891"/>
    <w:rsid w:val="00D63B30"/>
    <w:rsid w:val="00D6401C"/>
    <w:rsid w:val="00D640ED"/>
    <w:rsid w:val="00D643DC"/>
    <w:rsid w:val="00D64AC5"/>
    <w:rsid w:val="00D64B84"/>
    <w:rsid w:val="00D65206"/>
    <w:rsid w:val="00D6523B"/>
    <w:rsid w:val="00D653C4"/>
    <w:rsid w:val="00D657CC"/>
    <w:rsid w:val="00D65E14"/>
    <w:rsid w:val="00D65E2F"/>
    <w:rsid w:val="00D65F99"/>
    <w:rsid w:val="00D66142"/>
    <w:rsid w:val="00D66722"/>
    <w:rsid w:val="00D66B99"/>
    <w:rsid w:val="00D66CBC"/>
    <w:rsid w:val="00D671CC"/>
    <w:rsid w:val="00D6723C"/>
    <w:rsid w:val="00D67AD5"/>
    <w:rsid w:val="00D67E65"/>
    <w:rsid w:val="00D70260"/>
    <w:rsid w:val="00D70E37"/>
    <w:rsid w:val="00D712EB"/>
    <w:rsid w:val="00D7151A"/>
    <w:rsid w:val="00D717AD"/>
    <w:rsid w:val="00D7198D"/>
    <w:rsid w:val="00D71998"/>
    <w:rsid w:val="00D719F9"/>
    <w:rsid w:val="00D71B3C"/>
    <w:rsid w:val="00D71C47"/>
    <w:rsid w:val="00D72189"/>
    <w:rsid w:val="00D7226E"/>
    <w:rsid w:val="00D7231F"/>
    <w:rsid w:val="00D723BF"/>
    <w:rsid w:val="00D724CD"/>
    <w:rsid w:val="00D72834"/>
    <w:rsid w:val="00D72BFE"/>
    <w:rsid w:val="00D72C8E"/>
    <w:rsid w:val="00D72E1D"/>
    <w:rsid w:val="00D73023"/>
    <w:rsid w:val="00D7302E"/>
    <w:rsid w:val="00D7303A"/>
    <w:rsid w:val="00D732C1"/>
    <w:rsid w:val="00D73423"/>
    <w:rsid w:val="00D73AED"/>
    <w:rsid w:val="00D73BD5"/>
    <w:rsid w:val="00D73F63"/>
    <w:rsid w:val="00D7410F"/>
    <w:rsid w:val="00D74152"/>
    <w:rsid w:val="00D74B41"/>
    <w:rsid w:val="00D74CC5"/>
    <w:rsid w:val="00D74F1A"/>
    <w:rsid w:val="00D753A3"/>
    <w:rsid w:val="00D75881"/>
    <w:rsid w:val="00D75A01"/>
    <w:rsid w:val="00D75A7D"/>
    <w:rsid w:val="00D75E46"/>
    <w:rsid w:val="00D75FD7"/>
    <w:rsid w:val="00D7656F"/>
    <w:rsid w:val="00D766D6"/>
    <w:rsid w:val="00D76785"/>
    <w:rsid w:val="00D767B7"/>
    <w:rsid w:val="00D76893"/>
    <w:rsid w:val="00D76C58"/>
    <w:rsid w:val="00D76CCF"/>
    <w:rsid w:val="00D76E8F"/>
    <w:rsid w:val="00D76FF0"/>
    <w:rsid w:val="00D7701A"/>
    <w:rsid w:val="00D77133"/>
    <w:rsid w:val="00D77494"/>
    <w:rsid w:val="00D77688"/>
    <w:rsid w:val="00D7782C"/>
    <w:rsid w:val="00D77DFC"/>
    <w:rsid w:val="00D808AF"/>
    <w:rsid w:val="00D809AE"/>
    <w:rsid w:val="00D80CD1"/>
    <w:rsid w:val="00D80DD0"/>
    <w:rsid w:val="00D80E65"/>
    <w:rsid w:val="00D81155"/>
    <w:rsid w:val="00D81965"/>
    <w:rsid w:val="00D81C7A"/>
    <w:rsid w:val="00D81DFF"/>
    <w:rsid w:val="00D82479"/>
    <w:rsid w:val="00D82575"/>
    <w:rsid w:val="00D8271C"/>
    <w:rsid w:val="00D827BA"/>
    <w:rsid w:val="00D82809"/>
    <w:rsid w:val="00D82816"/>
    <w:rsid w:val="00D82EEA"/>
    <w:rsid w:val="00D830E1"/>
    <w:rsid w:val="00D831D7"/>
    <w:rsid w:val="00D8367D"/>
    <w:rsid w:val="00D83850"/>
    <w:rsid w:val="00D83A48"/>
    <w:rsid w:val="00D83C21"/>
    <w:rsid w:val="00D83CD4"/>
    <w:rsid w:val="00D83FA3"/>
    <w:rsid w:val="00D83FCA"/>
    <w:rsid w:val="00D83FEF"/>
    <w:rsid w:val="00D840A1"/>
    <w:rsid w:val="00D843FE"/>
    <w:rsid w:val="00D846BE"/>
    <w:rsid w:val="00D84797"/>
    <w:rsid w:val="00D847AF"/>
    <w:rsid w:val="00D84A33"/>
    <w:rsid w:val="00D84D15"/>
    <w:rsid w:val="00D857DA"/>
    <w:rsid w:val="00D85B06"/>
    <w:rsid w:val="00D8618E"/>
    <w:rsid w:val="00D86315"/>
    <w:rsid w:val="00D86C99"/>
    <w:rsid w:val="00D876B9"/>
    <w:rsid w:val="00D876C6"/>
    <w:rsid w:val="00D87E47"/>
    <w:rsid w:val="00D87F35"/>
    <w:rsid w:val="00D9029C"/>
    <w:rsid w:val="00D902EA"/>
    <w:rsid w:val="00D90425"/>
    <w:rsid w:val="00D904A3"/>
    <w:rsid w:val="00D904B2"/>
    <w:rsid w:val="00D904C1"/>
    <w:rsid w:val="00D90638"/>
    <w:rsid w:val="00D90713"/>
    <w:rsid w:val="00D90755"/>
    <w:rsid w:val="00D907B4"/>
    <w:rsid w:val="00D90C87"/>
    <w:rsid w:val="00D90D4D"/>
    <w:rsid w:val="00D90D54"/>
    <w:rsid w:val="00D9101E"/>
    <w:rsid w:val="00D91309"/>
    <w:rsid w:val="00D914B5"/>
    <w:rsid w:val="00D91BCF"/>
    <w:rsid w:val="00D91D54"/>
    <w:rsid w:val="00D91F46"/>
    <w:rsid w:val="00D91FC8"/>
    <w:rsid w:val="00D92112"/>
    <w:rsid w:val="00D921D8"/>
    <w:rsid w:val="00D925FD"/>
    <w:rsid w:val="00D92694"/>
    <w:rsid w:val="00D92712"/>
    <w:rsid w:val="00D92E13"/>
    <w:rsid w:val="00D92E7A"/>
    <w:rsid w:val="00D92F5E"/>
    <w:rsid w:val="00D9324F"/>
    <w:rsid w:val="00D9341A"/>
    <w:rsid w:val="00D935B8"/>
    <w:rsid w:val="00D93739"/>
    <w:rsid w:val="00D93DA9"/>
    <w:rsid w:val="00D93DEB"/>
    <w:rsid w:val="00D93E18"/>
    <w:rsid w:val="00D93F26"/>
    <w:rsid w:val="00D94160"/>
    <w:rsid w:val="00D942DC"/>
    <w:rsid w:val="00D9449A"/>
    <w:rsid w:val="00D944E1"/>
    <w:rsid w:val="00D9494C"/>
    <w:rsid w:val="00D94C35"/>
    <w:rsid w:val="00D94F7F"/>
    <w:rsid w:val="00D95BD4"/>
    <w:rsid w:val="00D95DEE"/>
    <w:rsid w:val="00D9606F"/>
    <w:rsid w:val="00D96086"/>
    <w:rsid w:val="00D96115"/>
    <w:rsid w:val="00D964E7"/>
    <w:rsid w:val="00D96634"/>
    <w:rsid w:val="00D966E6"/>
    <w:rsid w:val="00D96A54"/>
    <w:rsid w:val="00D97025"/>
    <w:rsid w:val="00D97582"/>
    <w:rsid w:val="00D9790B"/>
    <w:rsid w:val="00D97A7F"/>
    <w:rsid w:val="00D97CE0"/>
    <w:rsid w:val="00DA00E5"/>
    <w:rsid w:val="00DA034F"/>
    <w:rsid w:val="00DA052B"/>
    <w:rsid w:val="00DA0724"/>
    <w:rsid w:val="00DA07C8"/>
    <w:rsid w:val="00DA091D"/>
    <w:rsid w:val="00DA0E63"/>
    <w:rsid w:val="00DA14EF"/>
    <w:rsid w:val="00DA1502"/>
    <w:rsid w:val="00DA1642"/>
    <w:rsid w:val="00DA164E"/>
    <w:rsid w:val="00DA1680"/>
    <w:rsid w:val="00DA17AA"/>
    <w:rsid w:val="00DA1D79"/>
    <w:rsid w:val="00DA1E4F"/>
    <w:rsid w:val="00DA1F63"/>
    <w:rsid w:val="00DA1FD4"/>
    <w:rsid w:val="00DA2069"/>
    <w:rsid w:val="00DA2241"/>
    <w:rsid w:val="00DA22AE"/>
    <w:rsid w:val="00DA273D"/>
    <w:rsid w:val="00DA2775"/>
    <w:rsid w:val="00DA2F03"/>
    <w:rsid w:val="00DA2FF6"/>
    <w:rsid w:val="00DA3255"/>
    <w:rsid w:val="00DA3259"/>
    <w:rsid w:val="00DA32F3"/>
    <w:rsid w:val="00DA3C8E"/>
    <w:rsid w:val="00DA3D4D"/>
    <w:rsid w:val="00DA3D59"/>
    <w:rsid w:val="00DA3F49"/>
    <w:rsid w:val="00DA43A9"/>
    <w:rsid w:val="00DA4498"/>
    <w:rsid w:val="00DA4748"/>
    <w:rsid w:val="00DA48BC"/>
    <w:rsid w:val="00DA492C"/>
    <w:rsid w:val="00DA4B5A"/>
    <w:rsid w:val="00DA4BEE"/>
    <w:rsid w:val="00DA4D4B"/>
    <w:rsid w:val="00DA503B"/>
    <w:rsid w:val="00DA593F"/>
    <w:rsid w:val="00DA5E37"/>
    <w:rsid w:val="00DA6168"/>
    <w:rsid w:val="00DA629A"/>
    <w:rsid w:val="00DA681A"/>
    <w:rsid w:val="00DA68C1"/>
    <w:rsid w:val="00DA6B11"/>
    <w:rsid w:val="00DA6C80"/>
    <w:rsid w:val="00DA6CD8"/>
    <w:rsid w:val="00DA7055"/>
    <w:rsid w:val="00DA742C"/>
    <w:rsid w:val="00DA7568"/>
    <w:rsid w:val="00DA7675"/>
    <w:rsid w:val="00DA7774"/>
    <w:rsid w:val="00DA7B0D"/>
    <w:rsid w:val="00DA7C08"/>
    <w:rsid w:val="00DA7D85"/>
    <w:rsid w:val="00DA7E2F"/>
    <w:rsid w:val="00DB0144"/>
    <w:rsid w:val="00DB025E"/>
    <w:rsid w:val="00DB02DE"/>
    <w:rsid w:val="00DB0311"/>
    <w:rsid w:val="00DB05E5"/>
    <w:rsid w:val="00DB07D4"/>
    <w:rsid w:val="00DB1006"/>
    <w:rsid w:val="00DB12B5"/>
    <w:rsid w:val="00DB1776"/>
    <w:rsid w:val="00DB17F9"/>
    <w:rsid w:val="00DB1888"/>
    <w:rsid w:val="00DB1D8B"/>
    <w:rsid w:val="00DB1EDB"/>
    <w:rsid w:val="00DB2C0D"/>
    <w:rsid w:val="00DB2E2E"/>
    <w:rsid w:val="00DB2FDC"/>
    <w:rsid w:val="00DB307D"/>
    <w:rsid w:val="00DB3093"/>
    <w:rsid w:val="00DB3485"/>
    <w:rsid w:val="00DB3523"/>
    <w:rsid w:val="00DB357E"/>
    <w:rsid w:val="00DB38F0"/>
    <w:rsid w:val="00DB3A84"/>
    <w:rsid w:val="00DB3CBB"/>
    <w:rsid w:val="00DB3D81"/>
    <w:rsid w:val="00DB3EDC"/>
    <w:rsid w:val="00DB3FCC"/>
    <w:rsid w:val="00DB4A50"/>
    <w:rsid w:val="00DB4AC5"/>
    <w:rsid w:val="00DB5203"/>
    <w:rsid w:val="00DB56FF"/>
    <w:rsid w:val="00DB58A6"/>
    <w:rsid w:val="00DB5BB4"/>
    <w:rsid w:val="00DB60C0"/>
    <w:rsid w:val="00DB6827"/>
    <w:rsid w:val="00DB684C"/>
    <w:rsid w:val="00DB74FB"/>
    <w:rsid w:val="00DB759B"/>
    <w:rsid w:val="00DB75AB"/>
    <w:rsid w:val="00DB7D1C"/>
    <w:rsid w:val="00DC0095"/>
    <w:rsid w:val="00DC0212"/>
    <w:rsid w:val="00DC027B"/>
    <w:rsid w:val="00DC0ABE"/>
    <w:rsid w:val="00DC0F06"/>
    <w:rsid w:val="00DC1014"/>
    <w:rsid w:val="00DC1350"/>
    <w:rsid w:val="00DC15DB"/>
    <w:rsid w:val="00DC16E1"/>
    <w:rsid w:val="00DC1752"/>
    <w:rsid w:val="00DC2ABB"/>
    <w:rsid w:val="00DC2D0E"/>
    <w:rsid w:val="00DC309B"/>
    <w:rsid w:val="00DC30B2"/>
    <w:rsid w:val="00DC33EA"/>
    <w:rsid w:val="00DC3426"/>
    <w:rsid w:val="00DC34FA"/>
    <w:rsid w:val="00DC3826"/>
    <w:rsid w:val="00DC3941"/>
    <w:rsid w:val="00DC3D60"/>
    <w:rsid w:val="00DC4713"/>
    <w:rsid w:val="00DC4CAF"/>
    <w:rsid w:val="00DC4E36"/>
    <w:rsid w:val="00DC537A"/>
    <w:rsid w:val="00DC5527"/>
    <w:rsid w:val="00DC55A8"/>
    <w:rsid w:val="00DC55DB"/>
    <w:rsid w:val="00DC62FF"/>
    <w:rsid w:val="00DC643B"/>
    <w:rsid w:val="00DC6A13"/>
    <w:rsid w:val="00DC6C4A"/>
    <w:rsid w:val="00DC7103"/>
    <w:rsid w:val="00DC7318"/>
    <w:rsid w:val="00DC7581"/>
    <w:rsid w:val="00DC75A8"/>
    <w:rsid w:val="00DC7609"/>
    <w:rsid w:val="00DD0199"/>
    <w:rsid w:val="00DD04EE"/>
    <w:rsid w:val="00DD096D"/>
    <w:rsid w:val="00DD0BC1"/>
    <w:rsid w:val="00DD0BF6"/>
    <w:rsid w:val="00DD0E8D"/>
    <w:rsid w:val="00DD0F1D"/>
    <w:rsid w:val="00DD0FA4"/>
    <w:rsid w:val="00DD1053"/>
    <w:rsid w:val="00DD105C"/>
    <w:rsid w:val="00DD143A"/>
    <w:rsid w:val="00DD145B"/>
    <w:rsid w:val="00DD197F"/>
    <w:rsid w:val="00DD19E7"/>
    <w:rsid w:val="00DD1A63"/>
    <w:rsid w:val="00DD2324"/>
    <w:rsid w:val="00DD2351"/>
    <w:rsid w:val="00DD2CAA"/>
    <w:rsid w:val="00DD2D53"/>
    <w:rsid w:val="00DD2E12"/>
    <w:rsid w:val="00DD30CC"/>
    <w:rsid w:val="00DD339D"/>
    <w:rsid w:val="00DD3A93"/>
    <w:rsid w:val="00DD3F4A"/>
    <w:rsid w:val="00DD4341"/>
    <w:rsid w:val="00DD45EB"/>
    <w:rsid w:val="00DD488C"/>
    <w:rsid w:val="00DD4BA2"/>
    <w:rsid w:val="00DD500D"/>
    <w:rsid w:val="00DD52DC"/>
    <w:rsid w:val="00DD56BC"/>
    <w:rsid w:val="00DD57C6"/>
    <w:rsid w:val="00DD5B93"/>
    <w:rsid w:val="00DD5DA0"/>
    <w:rsid w:val="00DD5FA8"/>
    <w:rsid w:val="00DD5FED"/>
    <w:rsid w:val="00DD6094"/>
    <w:rsid w:val="00DD61C1"/>
    <w:rsid w:val="00DD62BF"/>
    <w:rsid w:val="00DD631F"/>
    <w:rsid w:val="00DD63A1"/>
    <w:rsid w:val="00DD6485"/>
    <w:rsid w:val="00DD66AD"/>
    <w:rsid w:val="00DD69A3"/>
    <w:rsid w:val="00DD69C2"/>
    <w:rsid w:val="00DD74D2"/>
    <w:rsid w:val="00DD76F5"/>
    <w:rsid w:val="00DD785A"/>
    <w:rsid w:val="00DD7983"/>
    <w:rsid w:val="00DD79F9"/>
    <w:rsid w:val="00DD7BF9"/>
    <w:rsid w:val="00DD7CB9"/>
    <w:rsid w:val="00DE016B"/>
    <w:rsid w:val="00DE04C2"/>
    <w:rsid w:val="00DE04C9"/>
    <w:rsid w:val="00DE0FEA"/>
    <w:rsid w:val="00DE11A8"/>
    <w:rsid w:val="00DE1502"/>
    <w:rsid w:val="00DE1C08"/>
    <w:rsid w:val="00DE1DDA"/>
    <w:rsid w:val="00DE1F77"/>
    <w:rsid w:val="00DE20D6"/>
    <w:rsid w:val="00DE21B0"/>
    <w:rsid w:val="00DE21C7"/>
    <w:rsid w:val="00DE2242"/>
    <w:rsid w:val="00DE25DD"/>
    <w:rsid w:val="00DE2640"/>
    <w:rsid w:val="00DE2974"/>
    <w:rsid w:val="00DE2A3A"/>
    <w:rsid w:val="00DE2FFE"/>
    <w:rsid w:val="00DE3895"/>
    <w:rsid w:val="00DE3982"/>
    <w:rsid w:val="00DE3D3D"/>
    <w:rsid w:val="00DE3F74"/>
    <w:rsid w:val="00DE4116"/>
    <w:rsid w:val="00DE437D"/>
    <w:rsid w:val="00DE43DB"/>
    <w:rsid w:val="00DE452A"/>
    <w:rsid w:val="00DE46E4"/>
    <w:rsid w:val="00DE4B0B"/>
    <w:rsid w:val="00DE4D31"/>
    <w:rsid w:val="00DE4DCA"/>
    <w:rsid w:val="00DE51BC"/>
    <w:rsid w:val="00DE545C"/>
    <w:rsid w:val="00DE5C1A"/>
    <w:rsid w:val="00DE605D"/>
    <w:rsid w:val="00DE617D"/>
    <w:rsid w:val="00DE61CF"/>
    <w:rsid w:val="00DE61E3"/>
    <w:rsid w:val="00DE626C"/>
    <w:rsid w:val="00DE6292"/>
    <w:rsid w:val="00DE6328"/>
    <w:rsid w:val="00DE657A"/>
    <w:rsid w:val="00DE6862"/>
    <w:rsid w:val="00DE6D30"/>
    <w:rsid w:val="00DE6E8A"/>
    <w:rsid w:val="00DE6E93"/>
    <w:rsid w:val="00DE728C"/>
    <w:rsid w:val="00DE72F7"/>
    <w:rsid w:val="00DE7548"/>
    <w:rsid w:val="00DE7806"/>
    <w:rsid w:val="00DE7F0F"/>
    <w:rsid w:val="00DF038E"/>
    <w:rsid w:val="00DF07D7"/>
    <w:rsid w:val="00DF07E5"/>
    <w:rsid w:val="00DF08A3"/>
    <w:rsid w:val="00DF0E28"/>
    <w:rsid w:val="00DF10CB"/>
    <w:rsid w:val="00DF123D"/>
    <w:rsid w:val="00DF1912"/>
    <w:rsid w:val="00DF19AF"/>
    <w:rsid w:val="00DF2144"/>
    <w:rsid w:val="00DF2262"/>
    <w:rsid w:val="00DF2374"/>
    <w:rsid w:val="00DF2518"/>
    <w:rsid w:val="00DF268B"/>
    <w:rsid w:val="00DF2849"/>
    <w:rsid w:val="00DF2CE1"/>
    <w:rsid w:val="00DF2D82"/>
    <w:rsid w:val="00DF3122"/>
    <w:rsid w:val="00DF31C6"/>
    <w:rsid w:val="00DF36F2"/>
    <w:rsid w:val="00DF3762"/>
    <w:rsid w:val="00DF3860"/>
    <w:rsid w:val="00DF3883"/>
    <w:rsid w:val="00DF3988"/>
    <w:rsid w:val="00DF3A67"/>
    <w:rsid w:val="00DF4203"/>
    <w:rsid w:val="00DF429C"/>
    <w:rsid w:val="00DF4788"/>
    <w:rsid w:val="00DF4802"/>
    <w:rsid w:val="00DF48B4"/>
    <w:rsid w:val="00DF4B37"/>
    <w:rsid w:val="00DF4B94"/>
    <w:rsid w:val="00DF4D38"/>
    <w:rsid w:val="00DF4E16"/>
    <w:rsid w:val="00DF5140"/>
    <w:rsid w:val="00DF570E"/>
    <w:rsid w:val="00DF5997"/>
    <w:rsid w:val="00DF5A7C"/>
    <w:rsid w:val="00DF5AE6"/>
    <w:rsid w:val="00DF5C1B"/>
    <w:rsid w:val="00DF5CE7"/>
    <w:rsid w:val="00DF5DE1"/>
    <w:rsid w:val="00DF5E3B"/>
    <w:rsid w:val="00DF5F88"/>
    <w:rsid w:val="00DF6027"/>
    <w:rsid w:val="00DF60D8"/>
    <w:rsid w:val="00DF6381"/>
    <w:rsid w:val="00DF657E"/>
    <w:rsid w:val="00DF6730"/>
    <w:rsid w:val="00DF674D"/>
    <w:rsid w:val="00DF6ADA"/>
    <w:rsid w:val="00DF6C49"/>
    <w:rsid w:val="00DF6E70"/>
    <w:rsid w:val="00DF6F45"/>
    <w:rsid w:val="00DF6F69"/>
    <w:rsid w:val="00DF72AB"/>
    <w:rsid w:val="00DF7560"/>
    <w:rsid w:val="00DF768E"/>
    <w:rsid w:val="00DF7953"/>
    <w:rsid w:val="00DF796A"/>
    <w:rsid w:val="00DF7CE5"/>
    <w:rsid w:val="00E00025"/>
    <w:rsid w:val="00E00081"/>
    <w:rsid w:val="00E0008E"/>
    <w:rsid w:val="00E006BA"/>
    <w:rsid w:val="00E00C6F"/>
    <w:rsid w:val="00E011B9"/>
    <w:rsid w:val="00E014A5"/>
    <w:rsid w:val="00E014B5"/>
    <w:rsid w:val="00E01525"/>
    <w:rsid w:val="00E01F4E"/>
    <w:rsid w:val="00E0201B"/>
    <w:rsid w:val="00E026A6"/>
    <w:rsid w:val="00E026D0"/>
    <w:rsid w:val="00E02B19"/>
    <w:rsid w:val="00E02CFE"/>
    <w:rsid w:val="00E02F06"/>
    <w:rsid w:val="00E02F15"/>
    <w:rsid w:val="00E031FD"/>
    <w:rsid w:val="00E03AB7"/>
    <w:rsid w:val="00E03AF2"/>
    <w:rsid w:val="00E03C12"/>
    <w:rsid w:val="00E03D7D"/>
    <w:rsid w:val="00E04540"/>
    <w:rsid w:val="00E048C4"/>
    <w:rsid w:val="00E04AE5"/>
    <w:rsid w:val="00E04C7D"/>
    <w:rsid w:val="00E04D0A"/>
    <w:rsid w:val="00E04DD8"/>
    <w:rsid w:val="00E051C0"/>
    <w:rsid w:val="00E05206"/>
    <w:rsid w:val="00E0538C"/>
    <w:rsid w:val="00E05BAF"/>
    <w:rsid w:val="00E05C34"/>
    <w:rsid w:val="00E05C98"/>
    <w:rsid w:val="00E05DB5"/>
    <w:rsid w:val="00E05E88"/>
    <w:rsid w:val="00E05FBB"/>
    <w:rsid w:val="00E06800"/>
    <w:rsid w:val="00E06FC6"/>
    <w:rsid w:val="00E0709D"/>
    <w:rsid w:val="00E07236"/>
    <w:rsid w:val="00E0725B"/>
    <w:rsid w:val="00E073DD"/>
    <w:rsid w:val="00E0752F"/>
    <w:rsid w:val="00E07578"/>
    <w:rsid w:val="00E077D9"/>
    <w:rsid w:val="00E07A5E"/>
    <w:rsid w:val="00E07A74"/>
    <w:rsid w:val="00E07B78"/>
    <w:rsid w:val="00E10473"/>
    <w:rsid w:val="00E1088A"/>
    <w:rsid w:val="00E10DBA"/>
    <w:rsid w:val="00E10EF6"/>
    <w:rsid w:val="00E10F56"/>
    <w:rsid w:val="00E11B64"/>
    <w:rsid w:val="00E1244D"/>
    <w:rsid w:val="00E12889"/>
    <w:rsid w:val="00E12898"/>
    <w:rsid w:val="00E12F5F"/>
    <w:rsid w:val="00E12FE2"/>
    <w:rsid w:val="00E137FD"/>
    <w:rsid w:val="00E13F03"/>
    <w:rsid w:val="00E14282"/>
    <w:rsid w:val="00E1436F"/>
    <w:rsid w:val="00E14624"/>
    <w:rsid w:val="00E14708"/>
    <w:rsid w:val="00E147B1"/>
    <w:rsid w:val="00E1505F"/>
    <w:rsid w:val="00E154AD"/>
    <w:rsid w:val="00E15C57"/>
    <w:rsid w:val="00E15CCB"/>
    <w:rsid w:val="00E15E03"/>
    <w:rsid w:val="00E160E6"/>
    <w:rsid w:val="00E161F4"/>
    <w:rsid w:val="00E16811"/>
    <w:rsid w:val="00E1689E"/>
    <w:rsid w:val="00E16951"/>
    <w:rsid w:val="00E16CC9"/>
    <w:rsid w:val="00E16DD1"/>
    <w:rsid w:val="00E171DA"/>
    <w:rsid w:val="00E172B9"/>
    <w:rsid w:val="00E17886"/>
    <w:rsid w:val="00E17C97"/>
    <w:rsid w:val="00E17D37"/>
    <w:rsid w:val="00E20290"/>
    <w:rsid w:val="00E20AC6"/>
    <w:rsid w:val="00E20CBC"/>
    <w:rsid w:val="00E20F54"/>
    <w:rsid w:val="00E215F1"/>
    <w:rsid w:val="00E21936"/>
    <w:rsid w:val="00E21A6B"/>
    <w:rsid w:val="00E21C96"/>
    <w:rsid w:val="00E21EE1"/>
    <w:rsid w:val="00E21FA5"/>
    <w:rsid w:val="00E22272"/>
    <w:rsid w:val="00E22337"/>
    <w:rsid w:val="00E22722"/>
    <w:rsid w:val="00E22951"/>
    <w:rsid w:val="00E22A00"/>
    <w:rsid w:val="00E22CA1"/>
    <w:rsid w:val="00E233B1"/>
    <w:rsid w:val="00E2366B"/>
    <w:rsid w:val="00E237A0"/>
    <w:rsid w:val="00E23B93"/>
    <w:rsid w:val="00E23E23"/>
    <w:rsid w:val="00E2413C"/>
    <w:rsid w:val="00E242E2"/>
    <w:rsid w:val="00E24540"/>
    <w:rsid w:val="00E24DF7"/>
    <w:rsid w:val="00E253AE"/>
    <w:rsid w:val="00E2551A"/>
    <w:rsid w:val="00E2553B"/>
    <w:rsid w:val="00E255C0"/>
    <w:rsid w:val="00E259B8"/>
    <w:rsid w:val="00E259C0"/>
    <w:rsid w:val="00E25A27"/>
    <w:rsid w:val="00E25C5B"/>
    <w:rsid w:val="00E25D27"/>
    <w:rsid w:val="00E25E42"/>
    <w:rsid w:val="00E2616D"/>
    <w:rsid w:val="00E2619B"/>
    <w:rsid w:val="00E2624F"/>
    <w:rsid w:val="00E26504"/>
    <w:rsid w:val="00E26953"/>
    <w:rsid w:val="00E26D44"/>
    <w:rsid w:val="00E26D59"/>
    <w:rsid w:val="00E26FCD"/>
    <w:rsid w:val="00E27649"/>
    <w:rsid w:val="00E27928"/>
    <w:rsid w:val="00E27CDF"/>
    <w:rsid w:val="00E27D59"/>
    <w:rsid w:val="00E30033"/>
    <w:rsid w:val="00E30098"/>
    <w:rsid w:val="00E3033B"/>
    <w:rsid w:val="00E304A8"/>
    <w:rsid w:val="00E30561"/>
    <w:rsid w:val="00E309C9"/>
    <w:rsid w:val="00E30B84"/>
    <w:rsid w:val="00E30CAA"/>
    <w:rsid w:val="00E31244"/>
    <w:rsid w:val="00E31397"/>
    <w:rsid w:val="00E31476"/>
    <w:rsid w:val="00E31483"/>
    <w:rsid w:val="00E31815"/>
    <w:rsid w:val="00E3192D"/>
    <w:rsid w:val="00E31BF5"/>
    <w:rsid w:val="00E31C3D"/>
    <w:rsid w:val="00E31DFF"/>
    <w:rsid w:val="00E32225"/>
    <w:rsid w:val="00E32799"/>
    <w:rsid w:val="00E32873"/>
    <w:rsid w:val="00E32958"/>
    <w:rsid w:val="00E32A43"/>
    <w:rsid w:val="00E32D24"/>
    <w:rsid w:val="00E32F75"/>
    <w:rsid w:val="00E32FED"/>
    <w:rsid w:val="00E33571"/>
    <w:rsid w:val="00E3358F"/>
    <w:rsid w:val="00E33A35"/>
    <w:rsid w:val="00E33B76"/>
    <w:rsid w:val="00E33C38"/>
    <w:rsid w:val="00E33E60"/>
    <w:rsid w:val="00E33F19"/>
    <w:rsid w:val="00E34037"/>
    <w:rsid w:val="00E340E3"/>
    <w:rsid w:val="00E34165"/>
    <w:rsid w:val="00E34795"/>
    <w:rsid w:val="00E34A23"/>
    <w:rsid w:val="00E34AC3"/>
    <w:rsid w:val="00E34DCC"/>
    <w:rsid w:val="00E350FD"/>
    <w:rsid w:val="00E35A7D"/>
    <w:rsid w:val="00E35B03"/>
    <w:rsid w:val="00E35D04"/>
    <w:rsid w:val="00E35D59"/>
    <w:rsid w:val="00E35DE8"/>
    <w:rsid w:val="00E36052"/>
    <w:rsid w:val="00E364E5"/>
    <w:rsid w:val="00E367F1"/>
    <w:rsid w:val="00E36A7F"/>
    <w:rsid w:val="00E36F4F"/>
    <w:rsid w:val="00E372B2"/>
    <w:rsid w:val="00E37385"/>
    <w:rsid w:val="00E3763A"/>
    <w:rsid w:val="00E378D0"/>
    <w:rsid w:val="00E37EFF"/>
    <w:rsid w:val="00E4005B"/>
    <w:rsid w:val="00E4049C"/>
    <w:rsid w:val="00E405B7"/>
    <w:rsid w:val="00E4091D"/>
    <w:rsid w:val="00E40ACF"/>
    <w:rsid w:val="00E40CA7"/>
    <w:rsid w:val="00E411DF"/>
    <w:rsid w:val="00E4149F"/>
    <w:rsid w:val="00E41D32"/>
    <w:rsid w:val="00E41E6B"/>
    <w:rsid w:val="00E41EFF"/>
    <w:rsid w:val="00E4263C"/>
    <w:rsid w:val="00E427D4"/>
    <w:rsid w:val="00E431BF"/>
    <w:rsid w:val="00E4328B"/>
    <w:rsid w:val="00E43305"/>
    <w:rsid w:val="00E43406"/>
    <w:rsid w:val="00E43A66"/>
    <w:rsid w:val="00E43DA6"/>
    <w:rsid w:val="00E43F59"/>
    <w:rsid w:val="00E43FF4"/>
    <w:rsid w:val="00E44051"/>
    <w:rsid w:val="00E44096"/>
    <w:rsid w:val="00E44204"/>
    <w:rsid w:val="00E44384"/>
    <w:rsid w:val="00E44881"/>
    <w:rsid w:val="00E448E9"/>
    <w:rsid w:val="00E44C0F"/>
    <w:rsid w:val="00E44E5F"/>
    <w:rsid w:val="00E450B6"/>
    <w:rsid w:val="00E4540D"/>
    <w:rsid w:val="00E45643"/>
    <w:rsid w:val="00E45AF0"/>
    <w:rsid w:val="00E46415"/>
    <w:rsid w:val="00E464CB"/>
    <w:rsid w:val="00E46538"/>
    <w:rsid w:val="00E46691"/>
    <w:rsid w:val="00E46703"/>
    <w:rsid w:val="00E46848"/>
    <w:rsid w:val="00E46B47"/>
    <w:rsid w:val="00E46D53"/>
    <w:rsid w:val="00E46D8A"/>
    <w:rsid w:val="00E46DD2"/>
    <w:rsid w:val="00E4700B"/>
    <w:rsid w:val="00E47432"/>
    <w:rsid w:val="00E47AAC"/>
    <w:rsid w:val="00E47BF6"/>
    <w:rsid w:val="00E47C2B"/>
    <w:rsid w:val="00E5001A"/>
    <w:rsid w:val="00E501E8"/>
    <w:rsid w:val="00E502CF"/>
    <w:rsid w:val="00E50429"/>
    <w:rsid w:val="00E5046C"/>
    <w:rsid w:val="00E50898"/>
    <w:rsid w:val="00E50AB7"/>
    <w:rsid w:val="00E50C45"/>
    <w:rsid w:val="00E50C50"/>
    <w:rsid w:val="00E50DA7"/>
    <w:rsid w:val="00E50FCC"/>
    <w:rsid w:val="00E513D3"/>
    <w:rsid w:val="00E51424"/>
    <w:rsid w:val="00E51968"/>
    <w:rsid w:val="00E51C95"/>
    <w:rsid w:val="00E51CB9"/>
    <w:rsid w:val="00E51F2E"/>
    <w:rsid w:val="00E523F8"/>
    <w:rsid w:val="00E530F9"/>
    <w:rsid w:val="00E53647"/>
    <w:rsid w:val="00E5368B"/>
    <w:rsid w:val="00E53763"/>
    <w:rsid w:val="00E5449F"/>
    <w:rsid w:val="00E5467D"/>
    <w:rsid w:val="00E548CD"/>
    <w:rsid w:val="00E548DD"/>
    <w:rsid w:val="00E549F0"/>
    <w:rsid w:val="00E54C8B"/>
    <w:rsid w:val="00E54D33"/>
    <w:rsid w:val="00E54D8D"/>
    <w:rsid w:val="00E54EC8"/>
    <w:rsid w:val="00E55729"/>
    <w:rsid w:val="00E557BC"/>
    <w:rsid w:val="00E55B81"/>
    <w:rsid w:val="00E55E21"/>
    <w:rsid w:val="00E55F18"/>
    <w:rsid w:val="00E56049"/>
    <w:rsid w:val="00E56769"/>
    <w:rsid w:val="00E56942"/>
    <w:rsid w:val="00E56EE8"/>
    <w:rsid w:val="00E57126"/>
    <w:rsid w:val="00E573E9"/>
    <w:rsid w:val="00E5764D"/>
    <w:rsid w:val="00E57A88"/>
    <w:rsid w:val="00E57CC0"/>
    <w:rsid w:val="00E57E71"/>
    <w:rsid w:val="00E57F1F"/>
    <w:rsid w:val="00E6003D"/>
    <w:rsid w:val="00E6007B"/>
    <w:rsid w:val="00E6076A"/>
    <w:rsid w:val="00E60F8E"/>
    <w:rsid w:val="00E61389"/>
    <w:rsid w:val="00E61621"/>
    <w:rsid w:val="00E6194C"/>
    <w:rsid w:val="00E61CDC"/>
    <w:rsid w:val="00E61DE0"/>
    <w:rsid w:val="00E61E59"/>
    <w:rsid w:val="00E61EDC"/>
    <w:rsid w:val="00E62496"/>
    <w:rsid w:val="00E624F3"/>
    <w:rsid w:val="00E6255E"/>
    <w:rsid w:val="00E62604"/>
    <w:rsid w:val="00E62AF9"/>
    <w:rsid w:val="00E62EBD"/>
    <w:rsid w:val="00E635E1"/>
    <w:rsid w:val="00E6382A"/>
    <w:rsid w:val="00E63872"/>
    <w:rsid w:val="00E63D92"/>
    <w:rsid w:val="00E63E11"/>
    <w:rsid w:val="00E63EAD"/>
    <w:rsid w:val="00E64302"/>
    <w:rsid w:val="00E648E1"/>
    <w:rsid w:val="00E64CA8"/>
    <w:rsid w:val="00E64F40"/>
    <w:rsid w:val="00E65074"/>
    <w:rsid w:val="00E6535B"/>
    <w:rsid w:val="00E65384"/>
    <w:rsid w:val="00E654E6"/>
    <w:rsid w:val="00E65567"/>
    <w:rsid w:val="00E6579C"/>
    <w:rsid w:val="00E65C6C"/>
    <w:rsid w:val="00E65C93"/>
    <w:rsid w:val="00E65E64"/>
    <w:rsid w:val="00E65F8D"/>
    <w:rsid w:val="00E65FF5"/>
    <w:rsid w:val="00E66195"/>
    <w:rsid w:val="00E6634A"/>
    <w:rsid w:val="00E6691D"/>
    <w:rsid w:val="00E66A62"/>
    <w:rsid w:val="00E66E15"/>
    <w:rsid w:val="00E66EB6"/>
    <w:rsid w:val="00E673B9"/>
    <w:rsid w:val="00E6757F"/>
    <w:rsid w:val="00E67643"/>
    <w:rsid w:val="00E67754"/>
    <w:rsid w:val="00E67CEF"/>
    <w:rsid w:val="00E67E44"/>
    <w:rsid w:val="00E7038F"/>
    <w:rsid w:val="00E70CC7"/>
    <w:rsid w:val="00E70EB3"/>
    <w:rsid w:val="00E71142"/>
    <w:rsid w:val="00E712FC"/>
    <w:rsid w:val="00E71867"/>
    <w:rsid w:val="00E718F0"/>
    <w:rsid w:val="00E7197D"/>
    <w:rsid w:val="00E71DBA"/>
    <w:rsid w:val="00E72D74"/>
    <w:rsid w:val="00E72EA9"/>
    <w:rsid w:val="00E72EC5"/>
    <w:rsid w:val="00E73113"/>
    <w:rsid w:val="00E73134"/>
    <w:rsid w:val="00E73302"/>
    <w:rsid w:val="00E734BB"/>
    <w:rsid w:val="00E7357D"/>
    <w:rsid w:val="00E735F8"/>
    <w:rsid w:val="00E73693"/>
    <w:rsid w:val="00E7380D"/>
    <w:rsid w:val="00E739BC"/>
    <w:rsid w:val="00E73E41"/>
    <w:rsid w:val="00E7406E"/>
    <w:rsid w:val="00E74097"/>
    <w:rsid w:val="00E74112"/>
    <w:rsid w:val="00E74120"/>
    <w:rsid w:val="00E7417F"/>
    <w:rsid w:val="00E74691"/>
    <w:rsid w:val="00E74912"/>
    <w:rsid w:val="00E74A65"/>
    <w:rsid w:val="00E74B3C"/>
    <w:rsid w:val="00E74BA2"/>
    <w:rsid w:val="00E74DE0"/>
    <w:rsid w:val="00E74FF0"/>
    <w:rsid w:val="00E75055"/>
    <w:rsid w:val="00E754FA"/>
    <w:rsid w:val="00E7574A"/>
    <w:rsid w:val="00E75A5B"/>
    <w:rsid w:val="00E75B43"/>
    <w:rsid w:val="00E75C41"/>
    <w:rsid w:val="00E75DA8"/>
    <w:rsid w:val="00E7639B"/>
    <w:rsid w:val="00E763FF"/>
    <w:rsid w:val="00E76482"/>
    <w:rsid w:val="00E766FA"/>
    <w:rsid w:val="00E76808"/>
    <w:rsid w:val="00E77380"/>
    <w:rsid w:val="00E80160"/>
    <w:rsid w:val="00E80299"/>
    <w:rsid w:val="00E80B36"/>
    <w:rsid w:val="00E8168B"/>
    <w:rsid w:val="00E8179D"/>
    <w:rsid w:val="00E81845"/>
    <w:rsid w:val="00E81940"/>
    <w:rsid w:val="00E81B44"/>
    <w:rsid w:val="00E81C2F"/>
    <w:rsid w:val="00E824D3"/>
    <w:rsid w:val="00E82851"/>
    <w:rsid w:val="00E82984"/>
    <w:rsid w:val="00E82AC6"/>
    <w:rsid w:val="00E8301C"/>
    <w:rsid w:val="00E832B7"/>
    <w:rsid w:val="00E8337E"/>
    <w:rsid w:val="00E83540"/>
    <w:rsid w:val="00E837B5"/>
    <w:rsid w:val="00E83D3B"/>
    <w:rsid w:val="00E83E3B"/>
    <w:rsid w:val="00E83E5E"/>
    <w:rsid w:val="00E83F80"/>
    <w:rsid w:val="00E840C3"/>
    <w:rsid w:val="00E8425A"/>
    <w:rsid w:val="00E84291"/>
    <w:rsid w:val="00E84293"/>
    <w:rsid w:val="00E842B3"/>
    <w:rsid w:val="00E848E3"/>
    <w:rsid w:val="00E848F9"/>
    <w:rsid w:val="00E8503B"/>
    <w:rsid w:val="00E85CB1"/>
    <w:rsid w:val="00E867C9"/>
    <w:rsid w:val="00E867D5"/>
    <w:rsid w:val="00E86BFF"/>
    <w:rsid w:val="00E86EBE"/>
    <w:rsid w:val="00E87166"/>
    <w:rsid w:val="00E87168"/>
    <w:rsid w:val="00E872A3"/>
    <w:rsid w:val="00E872DB"/>
    <w:rsid w:val="00E873FC"/>
    <w:rsid w:val="00E876B2"/>
    <w:rsid w:val="00E87CE2"/>
    <w:rsid w:val="00E87EB8"/>
    <w:rsid w:val="00E8FFAF"/>
    <w:rsid w:val="00E90608"/>
    <w:rsid w:val="00E90623"/>
    <w:rsid w:val="00E90995"/>
    <w:rsid w:val="00E90AB7"/>
    <w:rsid w:val="00E90C61"/>
    <w:rsid w:val="00E91439"/>
    <w:rsid w:val="00E91699"/>
    <w:rsid w:val="00E9191A"/>
    <w:rsid w:val="00E91D57"/>
    <w:rsid w:val="00E91D63"/>
    <w:rsid w:val="00E91EE1"/>
    <w:rsid w:val="00E91EED"/>
    <w:rsid w:val="00E92054"/>
    <w:rsid w:val="00E9208E"/>
    <w:rsid w:val="00E923A8"/>
    <w:rsid w:val="00E924F4"/>
    <w:rsid w:val="00E92890"/>
    <w:rsid w:val="00E929A9"/>
    <w:rsid w:val="00E92CE3"/>
    <w:rsid w:val="00E9321E"/>
    <w:rsid w:val="00E934FC"/>
    <w:rsid w:val="00E936FE"/>
    <w:rsid w:val="00E939B0"/>
    <w:rsid w:val="00E93B0C"/>
    <w:rsid w:val="00E93C55"/>
    <w:rsid w:val="00E94190"/>
    <w:rsid w:val="00E943D8"/>
    <w:rsid w:val="00E9465D"/>
    <w:rsid w:val="00E94677"/>
    <w:rsid w:val="00E94A0C"/>
    <w:rsid w:val="00E94E2D"/>
    <w:rsid w:val="00E95201"/>
    <w:rsid w:val="00E954F1"/>
    <w:rsid w:val="00E95A71"/>
    <w:rsid w:val="00E95A8F"/>
    <w:rsid w:val="00E95AB9"/>
    <w:rsid w:val="00E95C4B"/>
    <w:rsid w:val="00E9610B"/>
    <w:rsid w:val="00E963B3"/>
    <w:rsid w:val="00E96511"/>
    <w:rsid w:val="00E965ED"/>
    <w:rsid w:val="00E96A89"/>
    <w:rsid w:val="00E96BBB"/>
    <w:rsid w:val="00E9721A"/>
    <w:rsid w:val="00E973E3"/>
    <w:rsid w:val="00E97800"/>
    <w:rsid w:val="00E97A69"/>
    <w:rsid w:val="00E97B35"/>
    <w:rsid w:val="00E97BCE"/>
    <w:rsid w:val="00E97F2C"/>
    <w:rsid w:val="00EA0291"/>
    <w:rsid w:val="00EA09B0"/>
    <w:rsid w:val="00EA0A13"/>
    <w:rsid w:val="00EA0BA4"/>
    <w:rsid w:val="00EA0BC1"/>
    <w:rsid w:val="00EA0E21"/>
    <w:rsid w:val="00EA1126"/>
    <w:rsid w:val="00EA1352"/>
    <w:rsid w:val="00EA185E"/>
    <w:rsid w:val="00EA1A24"/>
    <w:rsid w:val="00EA28D1"/>
    <w:rsid w:val="00EA294E"/>
    <w:rsid w:val="00EA2B1B"/>
    <w:rsid w:val="00EA358D"/>
    <w:rsid w:val="00EA38FB"/>
    <w:rsid w:val="00EA39A7"/>
    <w:rsid w:val="00EA3B8E"/>
    <w:rsid w:val="00EA3BCE"/>
    <w:rsid w:val="00EA3CC5"/>
    <w:rsid w:val="00EA40F1"/>
    <w:rsid w:val="00EA4142"/>
    <w:rsid w:val="00EA44C0"/>
    <w:rsid w:val="00EA459C"/>
    <w:rsid w:val="00EA492B"/>
    <w:rsid w:val="00EA4A56"/>
    <w:rsid w:val="00EA4B99"/>
    <w:rsid w:val="00EA4BC0"/>
    <w:rsid w:val="00EA4E1A"/>
    <w:rsid w:val="00EA4E71"/>
    <w:rsid w:val="00EA4EA8"/>
    <w:rsid w:val="00EA4F19"/>
    <w:rsid w:val="00EA5323"/>
    <w:rsid w:val="00EA53F1"/>
    <w:rsid w:val="00EA6075"/>
    <w:rsid w:val="00EA60AC"/>
    <w:rsid w:val="00EA629E"/>
    <w:rsid w:val="00EA64B4"/>
    <w:rsid w:val="00EA688B"/>
    <w:rsid w:val="00EA6D35"/>
    <w:rsid w:val="00EA6D52"/>
    <w:rsid w:val="00EA6DBD"/>
    <w:rsid w:val="00EA7124"/>
    <w:rsid w:val="00EA7460"/>
    <w:rsid w:val="00EA7884"/>
    <w:rsid w:val="00EA79B1"/>
    <w:rsid w:val="00EA79C6"/>
    <w:rsid w:val="00EA7AB2"/>
    <w:rsid w:val="00EA7AFD"/>
    <w:rsid w:val="00EA7C4C"/>
    <w:rsid w:val="00EA7D1D"/>
    <w:rsid w:val="00EA7D3C"/>
    <w:rsid w:val="00EA7DFD"/>
    <w:rsid w:val="00EB0440"/>
    <w:rsid w:val="00EB073B"/>
    <w:rsid w:val="00EB0837"/>
    <w:rsid w:val="00EB0B36"/>
    <w:rsid w:val="00EB0D8C"/>
    <w:rsid w:val="00EB0DD3"/>
    <w:rsid w:val="00EB1B1A"/>
    <w:rsid w:val="00EB1BFA"/>
    <w:rsid w:val="00EB1C02"/>
    <w:rsid w:val="00EB1C0F"/>
    <w:rsid w:val="00EB2110"/>
    <w:rsid w:val="00EB2115"/>
    <w:rsid w:val="00EB26FF"/>
    <w:rsid w:val="00EB2894"/>
    <w:rsid w:val="00EB2B84"/>
    <w:rsid w:val="00EB354F"/>
    <w:rsid w:val="00EB3728"/>
    <w:rsid w:val="00EB3869"/>
    <w:rsid w:val="00EB39E1"/>
    <w:rsid w:val="00EB3BC9"/>
    <w:rsid w:val="00EB3C47"/>
    <w:rsid w:val="00EB3C8F"/>
    <w:rsid w:val="00EB4062"/>
    <w:rsid w:val="00EB4855"/>
    <w:rsid w:val="00EB4866"/>
    <w:rsid w:val="00EB4B93"/>
    <w:rsid w:val="00EB4BD7"/>
    <w:rsid w:val="00EB4E92"/>
    <w:rsid w:val="00EB4F4E"/>
    <w:rsid w:val="00EB5115"/>
    <w:rsid w:val="00EB53A0"/>
    <w:rsid w:val="00EB54F0"/>
    <w:rsid w:val="00EB5B88"/>
    <w:rsid w:val="00EB5C4C"/>
    <w:rsid w:val="00EB62A5"/>
    <w:rsid w:val="00EB62AC"/>
    <w:rsid w:val="00EB67D2"/>
    <w:rsid w:val="00EB67FD"/>
    <w:rsid w:val="00EB69DB"/>
    <w:rsid w:val="00EB69E3"/>
    <w:rsid w:val="00EB6DCA"/>
    <w:rsid w:val="00EB716A"/>
    <w:rsid w:val="00EB75B3"/>
    <w:rsid w:val="00EB7660"/>
    <w:rsid w:val="00EB78FD"/>
    <w:rsid w:val="00EB7CFE"/>
    <w:rsid w:val="00EB7E80"/>
    <w:rsid w:val="00EB7ECE"/>
    <w:rsid w:val="00EB7FC1"/>
    <w:rsid w:val="00EC019E"/>
    <w:rsid w:val="00EC04CE"/>
    <w:rsid w:val="00EC0732"/>
    <w:rsid w:val="00EC0DA9"/>
    <w:rsid w:val="00EC0F7C"/>
    <w:rsid w:val="00EC11FD"/>
    <w:rsid w:val="00EC18FB"/>
    <w:rsid w:val="00EC19FD"/>
    <w:rsid w:val="00EC1E00"/>
    <w:rsid w:val="00EC23EB"/>
    <w:rsid w:val="00EC266F"/>
    <w:rsid w:val="00EC26E7"/>
    <w:rsid w:val="00EC273C"/>
    <w:rsid w:val="00EC2798"/>
    <w:rsid w:val="00EC2874"/>
    <w:rsid w:val="00EC29D4"/>
    <w:rsid w:val="00EC32A2"/>
    <w:rsid w:val="00EC3B77"/>
    <w:rsid w:val="00EC4013"/>
    <w:rsid w:val="00EC41F3"/>
    <w:rsid w:val="00EC4480"/>
    <w:rsid w:val="00EC44FF"/>
    <w:rsid w:val="00EC4CA9"/>
    <w:rsid w:val="00EC4CDE"/>
    <w:rsid w:val="00EC4E2C"/>
    <w:rsid w:val="00EC4F47"/>
    <w:rsid w:val="00EC53F7"/>
    <w:rsid w:val="00EC58EA"/>
    <w:rsid w:val="00EC59CF"/>
    <w:rsid w:val="00EC5BC1"/>
    <w:rsid w:val="00EC5D63"/>
    <w:rsid w:val="00EC6222"/>
    <w:rsid w:val="00EC63B7"/>
    <w:rsid w:val="00EC652F"/>
    <w:rsid w:val="00EC6930"/>
    <w:rsid w:val="00EC6CDE"/>
    <w:rsid w:val="00EC6E36"/>
    <w:rsid w:val="00EC72FE"/>
    <w:rsid w:val="00EC73A4"/>
    <w:rsid w:val="00EC7448"/>
    <w:rsid w:val="00EC77D9"/>
    <w:rsid w:val="00EC7A0A"/>
    <w:rsid w:val="00EC7D6D"/>
    <w:rsid w:val="00ED019E"/>
    <w:rsid w:val="00ED01D7"/>
    <w:rsid w:val="00ED01E7"/>
    <w:rsid w:val="00ED0340"/>
    <w:rsid w:val="00ED0599"/>
    <w:rsid w:val="00ED0D65"/>
    <w:rsid w:val="00ED0F31"/>
    <w:rsid w:val="00ED14F6"/>
    <w:rsid w:val="00ED1721"/>
    <w:rsid w:val="00ED1A5B"/>
    <w:rsid w:val="00ED1E57"/>
    <w:rsid w:val="00ED24F2"/>
    <w:rsid w:val="00ED2915"/>
    <w:rsid w:val="00ED2B71"/>
    <w:rsid w:val="00ED2F6D"/>
    <w:rsid w:val="00ED30AE"/>
    <w:rsid w:val="00ED31DC"/>
    <w:rsid w:val="00ED321E"/>
    <w:rsid w:val="00ED356D"/>
    <w:rsid w:val="00ED3B01"/>
    <w:rsid w:val="00ED3C64"/>
    <w:rsid w:val="00ED3E62"/>
    <w:rsid w:val="00ED40DC"/>
    <w:rsid w:val="00ED4452"/>
    <w:rsid w:val="00ED445A"/>
    <w:rsid w:val="00ED4636"/>
    <w:rsid w:val="00ED48D5"/>
    <w:rsid w:val="00ED4B59"/>
    <w:rsid w:val="00ED4D5C"/>
    <w:rsid w:val="00ED56B9"/>
    <w:rsid w:val="00ED5901"/>
    <w:rsid w:val="00ED59E9"/>
    <w:rsid w:val="00ED5CA6"/>
    <w:rsid w:val="00ED6182"/>
    <w:rsid w:val="00ED67A1"/>
    <w:rsid w:val="00ED6C93"/>
    <w:rsid w:val="00ED6CF9"/>
    <w:rsid w:val="00ED6D1A"/>
    <w:rsid w:val="00ED76AB"/>
    <w:rsid w:val="00ED7B39"/>
    <w:rsid w:val="00ED7CB5"/>
    <w:rsid w:val="00ED7DAD"/>
    <w:rsid w:val="00EE011E"/>
    <w:rsid w:val="00EE0159"/>
    <w:rsid w:val="00EE018B"/>
    <w:rsid w:val="00EE0C21"/>
    <w:rsid w:val="00EE124F"/>
    <w:rsid w:val="00EE12DE"/>
    <w:rsid w:val="00EE1342"/>
    <w:rsid w:val="00EE14F7"/>
    <w:rsid w:val="00EE15FB"/>
    <w:rsid w:val="00EE1740"/>
    <w:rsid w:val="00EE1877"/>
    <w:rsid w:val="00EE19B5"/>
    <w:rsid w:val="00EE19FC"/>
    <w:rsid w:val="00EE1FF3"/>
    <w:rsid w:val="00EE215D"/>
    <w:rsid w:val="00EE229B"/>
    <w:rsid w:val="00EE2AB7"/>
    <w:rsid w:val="00EE2DFE"/>
    <w:rsid w:val="00EE2E61"/>
    <w:rsid w:val="00EE31F2"/>
    <w:rsid w:val="00EE3940"/>
    <w:rsid w:val="00EE3B0E"/>
    <w:rsid w:val="00EE3CCE"/>
    <w:rsid w:val="00EE3CDF"/>
    <w:rsid w:val="00EE3DA7"/>
    <w:rsid w:val="00EE4278"/>
    <w:rsid w:val="00EE481F"/>
    <w:rsid w:val="00EE489A"/>
    <w:rsid w:val="00EE504B"/>
    <w:rsid w:val="00EE50B9"/>
    <w:rsid w:val="00EE5176"/>
    <w:rsid w:val="00EE5416"/>
    <w:rsid w:val="00EE547A"/>
    <w:rsid w:val="00EE5531"/>
    <w:rsid w:val="00EE564D"/>
    <w:rsid w:val="00EE589F"/>
    <w:rsid w:val="00EE5E00"/>
    <w:rsid w:val="00EE61A0"/>
    <w:rsid w:val="00EE640A"/>
    <w:rsid w:val="00EE6906"/>
    <w:rsid w:val="00EE6B04"/>
    <w:rsid w:val="00EE6B1D"/>
    <w:rsid w:val="00EE7854"/>
    <w:rsid w:val="00EE78DB"/>
    <w:rsid w:val="00EE7E35"/>
    <w:rsid w:val="00EF0166"/>
    <w:rsid w:val="00EF02A4"/>
    <w:rsid w:val="00EF0562"/>
    <w:rsid w:val="00EF05A9"/>
    <w:rsid w:val="00EF0730"/>
    <w:rsid w:val="00EF0BD3"/>
    <w:rsid w:val="00EF0BEF"/>
    <w:rsid w:val="00EF0D18"/>
    <w:rsid w:val="00EF1087"/>
    <w:rsid w:val="00EF1353"/>
    <w:rsid w:val="00EF142C"/>
    <w:rsid w:val="00EF146D"/>
    <w:rsid w:val="00EF1575"/>
    <w:rsid w:val="00EF1591"/>
    <w:rsid w:val="00EF1666"/>
    <w:rsid w:val="00EF1B2E"/>
    <w:rsid w:val="00EF1F11"/>
    <w:rsid w:val="00EF2022"/>
    <w:rsid w:val="00EF21F8"/>
    <w:rsid w:val="00EF2278"/>
    <w:rsid w:val="00EF2324"/>
    <w:rsid w:val="00EF27C0"/>
    <w:rsid w:val="00EF334F"/>
    <w:rsid w:val="00EF3637"/>
    <w:rsid w:val="00EF39F4"/>
    <w:rsid w:val="00EF3C43"/>
    <w:rsid w:val="00EF3F5F"/>
    <w:rsid w:val="00EF4363"/>
    <w:rsid w:val="00EF4469"/>
    <w:rsid w:val="00EF4767"/>
    <w:rsid w:val="00EF4DD3"/>
    <w:rsid w:val="00EF4EF7"/>
    <w:rsid w:val="00EF51A7"/>
    <w:rsid w:val="00EF52C1"/>
    <w:rsid w:val="00EF545A"/>
    <w:rsid w:val="00EF55E8"/>
    <w:rsid w:val="00EF56B7"/>
    <w:rsid w:val="00EF5C03"/>
    <w:rsid w:val="00EF653F"/>
    <w:rsid w:val="00EF6705"/>
    <w:rsid w:val="00EF6952"/>
    <w:rsid w:val="00EF6FD7"/>
    <w:rsid w:val="00EF70A5"/>
    <w:rsid w:val="00EF728B"/>
    <w:rsid w:val="00EF73DA"/>
    <w:rsid w:val="00EF7573"/>
    <w:rsid w:val="00EF7594"/>
    <w:rsid w:val="00EF77F9"/>
    <w:rsid w:val="00EF7A43"/>
    <w:rsid w:val="00F000DA"/>
    <w:rsid w:val="00F0013F"/>
    <w:rsid w:val="00F00293"/>
    <w:rsid w:val="00F00440"/>
    <w:rsid w:val="00F006D5"/>
    <w:rsid w:val="00F00C54"/>
    <w:rsid w:val="00F00D85"/>
    <w:rsid w:val="00F0102B"/>
    <w:rsid w:val="00F0112F"/>
    <w:rsid w:val="00F01489"/>
    <w:rsid w:val="00F01D09"/>
    <w:rsid w:val="00F02020"/>
    <w:rsid w:val="00F02191"/>
    <w:rsid w:val="00F0248D"/>
    <w:rsid w:val="00F0251A"/>
    <w:rsid w:val="00F025A7"/>
    <w:rsid w:val="00F0265D"/>
    <w:rsid w:val="00F02812"/>
    <w:rsid w:val="00F02999"/>
    <w:rsid w:val="00F02AB8"/>
    <w:rsid w:val="00F02BDF"/>
    <w:rsid w:val="00F02EF9"/>
    <w:rsid w:val="00F03115"/>
    <w:rsid w:val="00F034E6"/>
    <w:rsid w:val="00F03944"/>
    <w:rsid w:val="00F03BE0"/>
    <w:rsid w:val="00F03E67"/>
    <w:rsid w:val="00F04221"/>
    <w:rsid w:val="00F046F6"/>
    <w:rsid w:val="00F04725"/>
    <w:rsid w:val="00F049CD"/>
    <w:rsid w:val="00F049FD"/>
    <w:rsid w:val="00F04C0A"/>
    <w:rsid w:val="00F04FE3"/>
    <w:rsid w:val="00F0502B"/>
    <w:rsid w:val="00F051C4"/>
    <w:rsid w:val="00F055CC"/>
    <w:rsid w:val="00F058F7"/>
    <w:rsid w:val="00F05A04"/>
    <w:rsid w:val="00F05C8D"/>
    <w:rsid w:val="00F05D09"/>
    <w:rsid w:val="00F05DA9"/>
    <w:rsid w:val="00F05DCF"/>
    <w:rsid w:val="00F05F38"/>
    <w:rsid w:val="00F05FDE"/>
    <w:rsid w:val="00F06232"/>
    <w:rsid w:val="00F066B6"/>
    <w:rsid w:val="00F067D7"/>
    <w:rsid w:val="00F06BDF"/>
    <w:rsid w:val="00F06E70"/>
    <w:rsid w:val="00F06E9C"/>
    <w:rsid w:val="00F06F49"/>
    <w:rsid w:val="00F07043"/>
    <w:rsid w:val="00F07257"/>
    <w:rsid w:val="00F07462"/>
    <w:rsid w:val="00F079CC"/>
    <w:rsid w:val="00F07AC7"/>
    <w:rsid w:val="00F07CFF"/>
    <w:rsid w:val="00F07E2F"/>
    <w:rsid w:val="00F1009D"/>
    <w:rsid w:val="00F10201"/>
    <w:rsid w:val="00F105B5"/>
    <w:rsid w:val="00F1060B"/>
    <w:rsid w:val="00F10A74"/>
    <w:rsid w:val="00F10AC3"/>
    <w:rsid w:val="00F10CE9"/>
    <w:rsid w:val="00F10D00"/>
    <w:rsid w:val="00F10E73"/>
    <w:rsid w:val="00F11144"/>
    <w:rsid w:val="00F1120F"/>
    <w:rsid w:val="00F116DA"/>
    <w:rsid w:val="00F11CA3"/>
    <w:rsid w:val="00F123E5"/>
    <w:rsid w:val="00F129C2"/>
    <w:rsid w:val="00F12B79"/>
    <w:rsid w:val="00F12CA1"/>
    <w:rsid w:val="00F12E7A"/>
    <w:rsid w:val="00F13025"/>
    <w:rsid w:val="00F1372C"/>
    <w:rsid w:val="00F138E6"/>
    <w:rsid w:val="00F13911"/>
    <w:rsid w:val="00F1398D"/>
    <w:rsid w:val="00F13A20"/>
    <w:rsid w:val="00F13E66"/>
    <w:rsid w:val="00F1408E"/>
    <w:rsid w:val="00F143EF"/>
    <w:rsid w:val="00F14509"/>
    <w:rsid w:val="00F145EF"/>
    <w:rsid w:val="00F148B7"/>
    <w:rsid w:val="00F14C05"/>
    <w:rsid w:val="00F14C20"/>
    <w:rsid w:val="00F152A3"/>
    <w:rsid w:val="00F15765"/>
    <w:rsid w:val="00F158C9"/>
    <w:rsid w:val="00F15A5A"/>
    <w:rsid w:val="00F15AAB"/>
    <w:rsid w:val="00F15C1A"/>
    <w:rsid w:val="00F15C31"/>
    <w:rsid w:val="00F15EF0"/>
    <w:rsid w:val="00F15FA1"/>
    <w:rsid w:val="00F1610F"/>
    <w:rsid w:val="00F16219"/>
    <w:rsid w:val="00F16334"/>
    <w:rsid w:val="00F16854"/>
    <w:rsid w:val="00F16D75"/>
    <w:rsid w:val="00F170C2"/>
    <w:rsid w:val="00F17236"/>
    <w:rsid w:val="00F1724C"/>
    <w:rsid w:val="00F1727B"/>
    <w:rsid w:val="00F175F6"/>
    <w:rsid w:val="00F177B3"/>
    <w:rsid w:val="00F1786E"/>
    <w:rsid w:val="00F17992"/>
    <w:rsid w:val="00F17A37"/>
    <w:rsid w:val="00F17DBE"/>
    <w:rsid w:val="00F17F63"/>
    <w:rsid w:val="00F20385"/>
    <w:rsid w:val="00F20C7B"/>
    <w:rsid w:val="00F20F23"/>
    <w:rsid w:val="00F20FE7"/>
    <w:rsid w:val="00F21043"/>
    <w:rsid w:val="00F213A1"/>
    <w:rsid w:val="00F2184F"/>
    <w:rsid w:val="00F21EDB"/>
    <w:rsid w:val="00F21F81"/>
    <w:rsid w:val="00F22323"/>
    <w:rsid w:val="00F2244B"/>
    <w:rsid w:val="00F22454"/>
    <w:rsid w:val="00F22551"/>
    <w:rsid w:val="00F22A50"/>
    <w:rsid w:val="00F22B9B"/>
    <w:rsid w:val="00F22C00"/>
    <w:rsid w:val="00F22F77"/>
    <w:rsid w:val="00F2324F"/>
    <w:rsid w:val="00F23414"/>
    <w:rsid w:val="00F235FD"/>
    <w:rsid w:val="00F236BB"/>
    <w:rsid w:val="00F236F0"/>
    <w:rsid w:val="00F237EA"/>
    <w:rsid w:val="00F239C2"/>
    <w:rsid w:val="00F23D14"/>
    <w:rsid w:val="00F24338"/>
    <w:rsid w:val="00F248E2"/>
    <w:rsid w:val="00F24AFB"/>
    <w:rsid w:val="00F24B7D"/>
    <w:rsid w:val="00F24CBF"/>
    <w:rsid w:val="00F24E5D"/>
    <w:rsid w:val="00F25B56"/>
    <w:rsid w:val="00F25C5B"/>
    <w:rsid w:val="00F25CE3"/>
    <w:rsid w:val="00F25EA9"/>
    <w:rsid w:val="00F25EEC"/>
    <w:rsid w:val="00F25FA9"/>
    <w:rsid w:val="00F26237"/>
    <w:rsid w:val="00F264FE"/>
    <w:rsid w:val="00F269ED"/>
    <w:rsid w:val="00F26B9C"/>
    <w:rsid w:val="00F26CBE"/>
    <w:rsid w:val="00F26DB9"/>
    <w:rsid w:val="00F27068"/>
    <w:rsid w:val="00F273A4"/>
    <w:rsid w:val="00F27512"/>
    <w:rsid w:val="00F2758C"/>
    <w:rsid w:val="00F27800"/>
    <w:rsid w:val="00F27AD2"/>
    <w:rsid w:val="00F27AD3"/>
    <w:rsid w:val="00F27CFB"/>
    <w:rsid w:val="00F305A2"/>
    <w:rsid w:val="00F306F1"/>
    <w:rsid w:val="00F3087B"/>
    <w:rsid w:val="00F30926"/>
    <w:rsid w:val="00F30A24"/>
    <w:rsid w:val="00F30AA6"/>
    <w:rsid w:val="00F30C4A"/>
    <w:rsid w:val="00F315C4"/>
    <w:rsid w:val="00F319D5"/>
    <w:rsid w:val="00F31D7C"/>
    <w:rsid w:val="00F32058"/>
    <w:rsid w:val="00F320FF"/>
    <w:rsid w:val="00F32170"/>
    <w:rsid w:val="00F32245"/>
    <w:rsid w:val="00F3236D"/>
    <w:rsid w:val="00F325B0"/>
    <w:rsid w:val="00F32635"/>
    <w:rsid w:val="00F329C1"/>
    <w:rsid w:val="00F32A4E"/>
    <w:rsid w:val="00F32CEA"/>
    <w:rsid w:val="00F32F8F"/>
    <w:rsid w:val="00F330B0"/>
    <w:rsid w:val="00F3316A"/>
    <w:rsid w:val="00F331F5"/>
    <w:rsid w:val="00F33239"/>
    <w:rsid w:val="00F3374E"/>
    <w:rsid w:val="00F33832"/>
    <w:rsid w:val="00F3388E"/>
    <w:rsid w:val="00F33E83"/>
    <w:rsid w:val="00F34391"/>
    <w:rsid w:val="00F345C8"/>
    <w:rsid w:val="00F34848"/>
    <w:rsid w:val="00F349E8"/>
    <w:rsid w:val="00F34A1C"/>
    <w:rsid w:val="00F34C32"/>
    <w:rsid w:val="00F34EAA"/>
    <w:rsid w:val="00F34FB8"/>
    <w:rsid w:val="00F350D0"/>
    <w:rsid w:val="00F352EF"/>
    <w:rsid w:val="00F3530B"/>
    <w:rsid w:val="00F35738"/>
    <w:rsid w:val="00F35772"/>
    <w:rsid w:val="00F359F9"/>
    <w:rsid w:val="00F35AE2"/>
    <w:rsid w:val="00F35B3B"/>
    <w:rsid w:val="00F35F56"/>
    <w:rsid w:val="00F36439"/>
    <w:rsid w:val="00F3683F"/>
    <w:rsid w:val="00F36874"/>
    <w:rsid w:val="00F369D7"/>
    <w:rsid w:val="00F36A6A"/>
    <w:rsid w:val="00F36A79"/>
    <w:rsid w:val="00F36ADA"/>
    <w:rsid w:val="00F36AFC"/>
    <w:rsid w:val="00F36B88"/>
    <w:rsid w:val="00F36D30"/>
    <w:rsid w:val="00F37006"/>
    <w:rsid w:val="00F370E5"/>
    <w:rsid w:val="00F370F4"/>
    <w:rsid w:val="00F3734E"/>
    <w:rsid w:val="00F37449"/>
    <w:rsid w:val="00F374DA"/>
    <w:rsid w:val="00F37738"/>
    <w:rsid w:val="00F37952"/>
    <w:rsid w:val="00F37CEC"/>
    <w:rsid w:val="00F37E9A"/>
    <w:rsid w:val="00F37ED0"/>
    <w:rsid w:val="00F37FD4"/>
    <w:rsid w:val="00F400F4"/>
    <w:rsid w:val="00F4021B"/>
    <w:rsid w:val="00F40495"/>
    <w:rsid w:val="00F40785"/>
    <w:rsid w:val="00F40E3A"/>
    <w:rsid w:val="00F40FE5"/>
    <w:rsid w:val="00F41211"/>
    <w:rsid w:val="00F41348"/>
    <w:rsid w:val="00F4163C"/>
    <w:rsid w:val="00F418B6"/>
    <w:rsid w:val="00F42045"/>
    <w:rsid w:val="00F420D3"/>
    <w:rsid w:val="00F4226B"/>
    <w:rsid w:val="00F4292D"/>
    <w:rsid w:val="00F42A07"/>
    <w:rsid w:val="00F42BD4"/>
    <w:rsid w:val="00F42F6B"/>
    <w:rsid w:val="00F430A0"/>
    <w:rsid w:val="00F43207"/>
    <w:rsid w:val="00F4363B"/>
    <w:rsid w:val="00F439F6"/>
    <w:rsid w:val="00F43A51"/>
    <w:rsid w:val="00F43B21"/>
    <w:rsid w:val="00F43C03"/>
    <w:rsid w:val="00F43D29"/>
    <w:rsid w:val="00F43E36"/>
    <w:rsid w:val="00F43F6D"/>
    <w:rsid w:val="00F4425C"/>
    <w:rsid w:val="00F443D5"/>
    <w:rsid w:val="00F443EE"/>
    <w:rsid w:val="00F4457C"/>
    <w:rsid w:val="00F449D7"/>
    <w:rsid w:val="00F44BBD"/>
    <w:rsid w:val="00F44D7E"/>
    <w:rsid w:val="00F44FBA"/>
    <w:rsid w:val="00F4537A"/>
    <w:rsid w:val="00F45424"/>
    <w:rsid w:val="00F4570F"/>
    <w:rsid w:val="00F45EF3"/>
    <w:rsid w:val="00F46230"/>
    <w:rsid w:val="00F46C1F"/>
    <w:rsid w:val="00F472AC"/>
    <w:rsid w:val="00F477D7"/>
    <w:rsid w:val="00F47A3B"/>
    <w:rsid w:val="00F5006C"/>
    <w:rsid w:val="00F50355"/>
    <w:rsid w:val="00F505E8"/>
    <w:rsid w:val="00F50674"/>
    <w:rsid w:val="00F50828"/>
    <w:rsid w:val="00F50BA0"/>
    <w:rsid w:val="00F50D2E"/>
    <w:rsid w:val="00F50EAA"/>
    <w:rsid w:val="00F50EE2"/>
    <w:rsid w:val="00F5103B"/>
    <w:rsid w:val="00F511B4"/>
    <w:rsid w:val="00F5188D"/>
    <w:rsid w:val="00F51B96"/>
    <w:rsid w:val="00F51CB6"/>
    <w:rsid w:val="00F51F21"/>
    <w:rsid w:val="00F52161"/>
    <w:rsid w:val="00F522B2"/>
    <w:rsid w:val="00F5248F"/>
    <w:rsid w:val="00F526B3"/>
    <w:rsid w:val="00F528FA"/>
    <w:rsid w:val="00F52BCB"/>
    <w:rsid w:val="00F5310D"/>
    <w:rsid w:val="00F533CB"/>
    <w:rsid w:val="00F5342F"/>
    <w:rsid w:val="00F5346F"/>
    <w:rsid w:val="00F535E1"/>
    <w:rsid w:val="00F5386E"/>
    <w:rsid w:val="00F5394C"/>
    <w:rsid w:val="00F53AAE"/>
    <w:rsid w:val="00F53B49"/>
    <w:rsid w:val="00F53C88"/>
    <w:rsid w:val="00F53D0A"/>
    <w:rsid w:val="00F53E03"/>
    <w:rsid w:val="00F53E71"/>
    <w:rsid w:val="00F53FEE"/>
    <w:rsid w:val="00F5420F"/>
    <w:rsid w:val="00F54336"/>
    <w:rsid w:val="00F5477D"/>
    <w:rsid w:val="00F54B54"/>
    <w:rsid w:val="00F5519E"/>
    <w:rsid w:val="00F5554B"/>
    <w:rsid w:val="00F556ED"/>
    <w:rsid w:val="00F55861"/>
    <w:rsid w:val="00F55E5D"/>
    <w:rsid w:val="00F564C3"/>
    <w:rsid w:val="00F568EF"/>
    <w:rsid w:val="00F56CB5"/>
    <w:rsid w:val="00F56DDA"/>
    <w:rsid w:val="00F56F63"/>
    <w:rsid w:val="00F57150"/>
    <w:rsid w:val="00F5731E"/>
    <w:rsid w:val="00F57526"/>
    <w:rsid w:val="00F577C9"/>
    <w:rsid w:val="00F57841"/>
    <w:rsid w:val="00F57AD0"/>
    <w:rsid w:val="00F57B6A"/>
    <w:rsid w:val="00F57C8C"/>
    <w:rsid w:val="00F57E89"/>
    <w:rsid w:val="00F57FE9"/>
    <w:rsid w:val="00F5DF74"/>
    <w:rsid w:val="00F6014C"/>
    <w:rsid w:val="00F60275"/>
    <w:rsid w:val="00F602B5"/>
    <w:rsid w:val="00F60526"/>
    <w:rsid w:val="00F60708"/>
    <w:rsid w:val="00F609C4"/>
    <w:rsid w:val="00F60AAE"/>
    <w:rsid w:val="00F60B19"/>
    <w:rsid w:val="00F60BD0"/>
    <w:rsid w:val="00F60C26"/>
    <w:rsid w:val="00F60D09"/>
    <w:rsid w:val="00F60DA4"/>
    <w:rsid w:val="00F60E40"/>
    <w:rsid w:val="00F60EB1"/>
    <w:rsid w:val="00F61026"/>
    <w:rsid w:val="00F61089"/>
    <w:rsid w:val="00F613AB"/>
    <w:rsid w:val="00F617EF"/>
    <w:rsid w:val="00F61A00"/>
    <w:rsid w:val="00F61A99"/>
    <w:rsid w:val="00F61CBC"/>
    <w:rsid w:val="00F61F39"/>
    <w:rsid w:val="00F620E1"/>
    <w:rsid w:val="00F621BF"/>
    <w:rsid w:val="00F625FF"/>
    <w:rsid w:val="00F6267B"/>
    <w:rsid w:val="00F62A05"/>
    <w:rsid w:val="00F62DAE"/>
    <w:rsid w:val="00F62DCB"/>
    <w:rsid w:val="00F638A8"/>
    <w:rsid w:val="00F63D75"/>
    <w:rsid w:val="00F63EE9"/>
    <w:rsid w:val="00F6445F"/>
    <w:rsid w:val="00F64605"/>
    <w:rsid w:val="00F64875"/>
    <w:rsid w:val="00F649B1"/>
    <w:rsid w:val="00F64A41"/>
    <w:rsid w:val="00F64B34"/>
    <w:rsid w:val="00F64D54"/>
    <w:rsid w:val="00F64DCA"/>
    <w:rsid w:val="00F65245"/>
    <w:rsid w:val="00F6588E"/>
    <w:rsid w:val="00F65BBC"/>
    <w:rsid w:val="00F65DF3"/>
    <w:rsid w:val="00F663F3"/>
    <w:rsid w:val="00F66556"/>
    <w:rsid w:val="00F66B7E"/>
    <w:rsid w:val="00F66E06"/>
    <w:rsid w:val="00F67117"/>
    <w:rsid w:val="00F679DC"/>
    <w:rsid w:val="00F67A57"/>
    <w:rsid w:val="00F67BFD"/>
    <w:rsid w:val="00F67CA3"/>
    <w:rsid w:val="00F67E18"/>
    <w:rsid w:val="00F7014A"/>
    <w:rsid w:val="00F70766"/>
    <w:rsid w:val="00F70BD5"/>
    <w:rsid w:val="00F70DC5"/>
    <w:rsid w:val="00F70FCA"/>
    <w:rsid w:val="00F7117E"/>
    <w:rsid w:val="00F71273"/>
    <w:rsid w:val="00F71F16"/>
    <w:rsid w:val="00F721F4"/>
    <w:rsid w:val="00F7220F"/>
    <w:rsid w:val="00F72762"/>
    <w:rsid w:val="00F72A3F"/>
    <w:rsid w:val="00F72F42"/>
    <w:rsid w:val="00F736E0"/>
    <w:rsid w:val="00F738BA"/>
    <w:rsid w:val="00F73EFE"/>
    <w:rsid w:val="00F7420A"/>
    <w:rsid w:val="00F744D3"/>
    <w:rsid w:val="00F74625"/>
    <w:rsid w:val="00F7470F"/>
    <w:rsid w:val="00F74EE2"/>
    <w:rsid w:val="00F75255"/>
    <w:rsid w:val="00F75411"/>
    <w:rsid w:val="00F755A8"/>
    <w:rsid w:val="00F75D73"/>
    <w:rsid w:val="00F75F65"/>
    <w:rsid w:val="00F762B4"/>
    <w:rsid w:val="00F76A48"/>
    <w:rsid w:val="00F7705D"/>
    <w:rsid w:val="00F770F2"/>
    <w:rsid w:val="00F77196"/>
    <w:rsid w:val="00F771E4"/>
    <w:rsid w:val="00F77231"/>
    <w:rsid w:val="00F772A4"/>
    <w:rsid w:val="00F7734C"/>
    <w:rsid w:val="00F77724"/>
    <w:rsid w:val="00F77757"/>
    <w:rsid w:val="00F7791E"/>
    <w:rsid w:val="00F77981"/>
    <w:rsid w:val="00F77E7F"/>
    <w:rsid w:val="00F809FC"/>
    <w:rsid w:val="00F80DD3"/>
    <w:rsid w:val="00F80DEC"/>
    <w:rsid w:val="00F80F79"/>
    <w:rsid w:val="00F81218"/>
    <w:rsid w:val="00F8121E"/>
    <w:rsid w:val="00F81248"/>
    <w:rsid w:val="00F81D05"/>
    <w:rsid w:val="00F8206A"/>
    <w:rsid w:val="00F82191"/>
    <w:rsid w:val="00F82203"/>
    <w:rsid w:val="00F824D8"/>
    <w:rsid w:val="00F8254D"/>
    <w:rsid w:val="00F827A8"/>
    <w:rsid w:val="00F82CFD"/>
    <w:rsid w:val="00F82D05"/>
    <w:rsid w:val="00F82D1E"/>
    <w:rsid w:val="00F82D84"/>
    <w:rsid w:val="00F82FD0"/>
    <w:rsid w:val="00F82FDF"/>
    <w:rsid w:val="00F8346E"/>
    <w:rsid w:val="00F8353B"/>
    <w:rsid w:val="00F837F3"/>
    <w:rsid w:val="00F8380D"/>
    <w:rsid w:val="00F8384A"/>
    <w:rsid w:val="00F83EBE"/>
    <w:rsid w:val="00F840F7"/>
    <w:rsid w:val="00F84559"/>
    <w:rsid w:val="00F84775"/>
    <w:rsid w:val="00F848E7"/>
    <w:rsid w:val="00F84A90"/>
    <w:rsid w:val="00F84CD5"/>
    <w:rsid w:val="00F84D8F"/>
    <w:rsid w:val="00F852B2"/>
    <w:rsid w:val="00F853AD"/>
    <w:rsid w:val="00F85596"/>
    <w:rsid w:val="00F85667"/>
    <w:rsid w:val="00F856FB"/>
    <w:rsid w:val="00F85AF3"/>
    <w:rsid w:val="00F85C0C"/>
    <w:rsid w:val="00F85DEB"/>
    <w:rsid w:val="00F861EF"/>
    <w:rsid w:val="00F86342"/>
    <w:rsid w:val="00F865C4"/>
    <w:rsid w:val="00F86736"/>
    <w:rsid w:val="00F86894"/>
    <w:rsid w:val="00F86D36"/>
    <w:rsid w:val="00F87108"/>
    <w:rsid w:val="00F871E2"/>
    <w:rsid w:val="00F8741A"/>
    <w:rsid w:val="00F8767B"/>
    <w:rsid w:val="00F8779A"/>
    <w:rsid w:val="00F878A7"/>
    <w:rsid w:val="00F87D1C"/>
    <w:rsid w:val="00F90518"/>
    <w:rsid w:val="00F909C0"/>
    <w:rsid w:val="00F90CD4"/>
    <w:rsid w:val="00F90F27"/>
    <w:rsid w:val="00F90FF3"/>
    <w:rsid w:val="00F91685"/>
    <w:rsid w:val="00F91A21"/>
    <w:rsid w:val="00F92083"/>
    <w:rsid w:val="00F92151"/>
    <w:rsid w:val="00F922BD"/>
    <w:rsid w:val="00F92741"/>
    <w:rsid w:val="00F92865"/>
    <w:rsid w:val="00F92C70"/>
    <w:rsid w:val="00F92D29"/>
    <w:rsid w:val="00F92D3A"/>
    <w:rsid w:val="00F92EEE"/>
    <w:rsid w:val="00F9375C"/>
    <w:rsid w:val="00F93788"/>
    <w:rsid w:val="00F9406D"/>
    <w:rsid w:val="00F945D8"/>
    <w:rsid w:val="00F94775"/>
    <w:rsid w:val="00F94D47"/>
    <w:rsid w:val="00F9520D"/>
    <w:rsid w:val="00F95346"/>
    <w:rsid w:val="00F9587A"/>
    <w:rsid w:val="00F95A7A"/>
    <w:rsid w:val="00F95A98"/>
    <w:rsid w:val="00F95C9D"/>
    <w:rsid w:val="00F95CBB"/>
    <w:rsid w:val="00F95D41"/>
    <w:rsid w:val="00F95E62"/>
    <w:rsid w:val="00F95F88"/>
    <w:rsid w:val="00F9608A"/>
    <w:rsid w:val="00F960D7"/>
    <w:rsid w:val="00F96311"/>
    <w:rsid w:val="00F963B1"/>
    <w:rsid w:val="00F96478"/>
    <w:rsid w:val="00F96508"/>
    <w:rsid w:val="00F965BC"/>
    <w:rsid w:val="00F96655"/>
    <w:rsid w:val="00F96B14"/>
    <w:rsid w:val="00F96F29"/>
    <w:rsid w:val="00F97096"/>
    <w:rsid w:val="00F970F4"/>
    <w:rsid w:val="00F97347"/>
    <w:rsid w:val="00F9740E"/>
    <w:rsid w:val="00F979CF"/>
    <w:rsid w:val="00F979E8"/>
    <w:rsid w:val="00F97A27"/>
    <w:rsid w:val="00FA05CF"/>
    <w:rsid w:val="00FA061F"/>
    <w:rsid w:val="00FA0BCE"/>
    <w:rsid w:val="00FA0C2A"/>
    <w:rsid w:val="00FA0E12"/>
    <w:rsid w:val="00FA0EA8"/>
    <w:rsid w:val="00FA134C"/>
    <w:rsid w:val="00FA1B72"/>
    <w:rsid w:val="00FA1D0D"/>
    <w:rsid w:val="00FA1E22"/>
    <w:rsid w:val="00FA1EE5"/>
    <w:rsid w:val="00FA1FFE"/>
    <w:rsid w:val="00FA2130"/>
    <w:rsid w:val="00FA2176"/>
    <w:rsid w:val="00FA2508"/>
    <w:rsid w:val="00FA2525"/>
    <w:rsid w:val="00FA25CE"/>
    <w:rsid w:val="00FA2900"/>
    <w:rsid w:val="00FA378E"/>
    <w:rsid w:val="00FA38D1"/>
    <w:rsid w:val="00FA4049"/>
    <w:rsid w:val="00FA43A2"/>
    <w:rsid w:val="00FA4565"/>
    <w:rsid w:val="00FA45B7"/>
    <w:rsid w:val="00FA46F3"/>
    <w:rsid w:val="00FA4875"/>
    <w:rsid w:val="00FA4A11"/>
    <w:rsid w:val="00FA4B79"/>
    <w:rsid w:val="00FA5049"/>
    <w:rsid w:val="00FA55C1"/>
    <w:rsid w:val="00FA5B67"/>
    <w:rsid w:val="00FA5D5A"/>
    <w:rsid w:val="00FA5FEF"/>
    <w:rsid w:val="00FA6506"/>
    <w:rsid w:val="00FA68A3"/>
    <w:rsid w:val="00FA6989"/>
    <w:rsid w:val="00FA723D"/>
    <w:rsid w:val="00FA72B7"/>
    <w:rsid w:val="00FA73D7"/>
    <w:rsid w:val="00FA7BB0"/>
    <w:rsid w:val="00FA7D68"/>
    <w:rsid w:val="00FA7DB7"/>
    <w:rsid w:val="00FB0321"/>
    <w:rsid w:val="00FB0673"/>
    <w:rsid w:val="00FB0A2B"/>
    <w:rsid w:val="00FB1196"/>
    <w:rsid w:val="00FB1237"/>
    <w:rsid w:val="00FB12A4"/>
    <w:rsid w:val="00FB12A8"/>
    <w:rsid w:val="00FB1A1D"/>
    <w:rsid w:val="00FB1BC5"/>
    <w:rsid w:val="00FB1CF6"/>
    <w:rsid w:val="00FB1E4C"/>
    <w:rsid w:val="00FB1F91"/>
    <w:rsid w:val="00FB201E"/>
    <w:rsid w:val="00FB24E7"/>
    <w:rsid w:val="00FB26CB"/>
    <w:rsid w:val="00FB2970"/>
    <w:rsid w:val="00FB2A82"/>
    <w:rsid w:val="00FB3D74"/>
    <w:rsid w:val="00FB3E07"/>
    <w:rsid w:val="00FB3ECE"/>
    <w:rsid w:val="00FB407B"/>
    <w:rsid w:val="00FB40CD"/>
    <w:rsid w:val="00FB4537"/>
    <w:rsid w:val="00FB4567"/>
    <w:rsid w:val="00FB46C3"/>
    <w:rsid w:val="00FB47A0"/>
    <w:rsid w:val="00FB4901"/>
    <w:rsid w:val="00FB49F9"/>
    <w:rsid w:val="00FB4F73"/>
    <w:rsid w:val="00FB527A"/>
    <w:rsid w:val="00FB52BC"/>
    <w:rsid w:val="00FB564A"/>
    <w:rsid w:val="00FB5798"/>
    <w:rsid w:val="00FB57C3"/>
    <w:rsid w:val="00FB59A3"/>
    <w:rsid w:val="00FB6394"/>
    <w:rsid w:val="00FB63CC"/>
    <w:rsid w:val="00FB6695"/>
    <w:rsid w:val="00FB67D1"/>
    <w:rsid w:val="00FB68A8"/>
    <w:rsid w:val="00FB694D"/>
    <w:rsid w:val="00FB6C1F"/>
    <w:rsid w:val="00FB6D12"/>
    <w:rsid w:val="00FB6F11"/>
    <w:rsid w:val="00FB701E"/>
    <w:rsid w:val="00FB71A8"/>
    <w:rsid w:val="00FB73C5"/>
    <w:rsid w:val="00FB73F9"/>
    <w:rsid w:val="00FB7681"/>
    <w:rsid w:val="00FB7909"/>
    <w:rsid w:val="00FB7EAC"/>
    <w:rsid w:val="00FB7F54"/>
    <w:rsid w:val="00FC028B"/>
    <w:rsid w:val="00FC02F6"/>
    <w:rsid w:val="00FC0831"/>
    <w:rsid w:val="00FC08D6"/>
    <w:rsid w:val="00FC0946"/>
    <w:rsid w:val="00FC099A"/>
    <w:rsid w:val="00FC0DC1"/>
    <w:rsid w:val="00FC0FC8"/>
    <w:rsid w:val="00FC1993"/>
    <w:rsid w:val="00FC1D96"/>
    <w:rsid w:val="00FC1F46"/>
    <w:rsid w:val="00FC2290"/>
    <w:rsid w:val="00FC241F"/>
    <w:rsid w:val="00FC2741"/>
    <w:rsid w:val="00FC27C9"/>
    <w:rsid w:val="00FC2B7E"/>
    <w:rsid w:val="00FC3208"/>
    <w:rsid w:val="00FC32C2"/>
    <w:rsid w:val="00FC3409"/>
    <w:rsid w:val="00FC376F"/>
    <w:rsid w:val="00FC37E9"/>
    <w:rsid w:val="00FC3CC7"/>
    <w:rsid w:val="00FC42E0"/>
    <w:rsid w:val="00FC4394"/>
    <w:rsid w:val="00FC43C4"/>
    <w:rsid w:val="00FC4752"/>
    <w:rsid w:val="00FC4ACF"/>
    <w:rsid w:val="00FC4EBB"/>
    <w:rsid w:val="00FC5112"/>
    <w:rsid w:val="00FC553B"/>
    <w:rsid w:val="00FC5628"/>
    <w:rsid w:val="00FC57DD"/>
    <w:rsid w:val="00FC597E"/>
    <w:rsid w:val="00FC5DCE"/>
    <w:rsid w:val="00FC5DDB"/>
    <w:rsid w:val="00FC5E57"/>
    <w:rsid w:val="00FC663D"/>
    <w:rsid w:val="00FC6F18"/>
    <w:rsid w:val="00FC72A9"/>
    <w:rsid w:val="00FC740A"/>
    <w:rsid w:val="00FC75BD"/>
    <w:rsid w:val="00FC7ACA"/>
    <w:rsid w:val="00FC7CFE"/>
    <w:rsid w:val="00FC7E09"/>
    <w:rsid w:val="00FD0332"/>
    <w:rsid w:val="00FD0616"/>
    <w:rsid w:val="00FD0669"/>
    <w:rsid w:val="00FD06E5"/>
    <w:rsid w:val="00FD0927"/>
    <w:rsid w:val="00FD0A8E"/>
    <w:rsid w:val="00FD0DCA"/>
    <w:rsid w:val="00FD0DF4"/>
    <w:rsid w:val="00FD0F8B"/>
    <w:rsid w:val="00FD186D"/>
    <w:rsid w:val="00FD1B0B"/>
    <w:rsid w:val="00FD1B9A"/>
    <w:rsid w:val="00FD1C02"/>
    <w:rsid w:val="00FD1EDE"/>
    <w:rsid w:val="00FD26BA"/>
    <w:rsid w:val="00FD2B87"/>
    <w:rsid w:val="00FD2BF7"/>
    <w:rsid w:val="00FD2CD2"/>
    <w:rsid w:val="00FD2E15"/>
    <w:rsid w:val="00FD3096"/>
    <w:rsid w:val="00FD36A4"/>
    <w:rsid w:val="00FD3844"/>
    <w:rsid w:val="00FD3A86"/>
    <w:rsid w:val="00FD3EDA"/>
    <w:rsid w:val="00FD3F04"/>
    <w:rsid w:val="00FD43E0"/>
    <w:rsid w:val="00FD449D"/>
    <w:rsid w:val="00FD4A23"/>
    <w:rsid w:val="00FD4A47"/>
    <w:rsid w:val="00FD4BA1"/>
    <w:rsid w:val="00FD5046"/>
    <w:rsid w:val="00FD5292"/>
    <w:rsid w:val="00FD5B87"/>
    <w:rsid w:val="00FD5DA4"/>
    <w:rsid w:val="00FD5F86"/>
    <w:rsid w:val="00FD5FF8"/>
    <w:rsid w:val="00FD6004"/>
    <w:rsid w:val="00FD6020"/>
    <w:rsid w:val="00FD62E3"/>
    <w:rsid w:val="00FD63C2"/>
    <w:rsid w:val="00FD64E6"/>
    <w:rsid w:val="00FD7105"/>
    <w:rsid w:val="00FD7955"/>
    <w:rsid w:val="00FD7BEF"/>
    <w:rsid w:val="00FD7D98"/>
    <w:rsid w:val="00FE0092"/>
    <w:rsid w:val="00FE02FC"/>
    <w:rsid w:val="00FE0408"/>
    <w:rsid w:val="00FE0498"/>
    <w:rsid w:val="00FE04B5"/>
    <w:rsid w:val="00FE0CB8"/>
    <w:rsid w:val="00FE0EF7"/>
    <w:rsid w:val="00FE1220"/>
    <w:rsid w:val="00FE12E7"/>
    <w:rsid w:val="00FE130E"/>
    <w:rsid w:val="00FE1364"/>
    <w:rsid w:val="00FE1570"/>
    <w:rsid w:val="00FE1B3C"/>
    <w:rsid w:val="00FE1EA3"/>
    <w:rsid w:val="00FE1FF9"/>
    <w:rsid w:val="00FE22E4"/>
    <w:rsid w:val="00FE2312"/>
    <w:rsid w:val="00FE23A1"/>
    <w:rsid w:val="00FE267E"/>
    <w:rsid w:val="00FE27F1"/>
    <w:rsid w:val="00FE303C"/>
    <w:rsid w:val="00FE3063"/>
    <w:rsid w:val="00FE318F"/>
    <w:rsid w:val="00FE435C"/>
    <w:rsid w:val="00FE4395"/>
    <w:rsid w:val="00FE4684"/>
    <w:rsid w:val="00FE4DF2"/>
    <w:rsid w:val="00FE508D"/>
    <w:rsid w:val="00FE544C"/>
    <w:rsid w:val="00FE56AA"/>
    <w:rsid w:val="00FE5D44"/>
    <w:rsid w:val="00FE6379"/>
    <w:rsid w:val="00FE675A"/>
    <w:rsid w:val="00FE68D9"/>
    <w:rsid w:val="00FE744C"/>
    <w:rsid w:val="00FE755D"/>
    <w:rsid w:val="00FE7B1B"/>
    <w:rsid w:val="00FE7BA1"/>
    <w:rsid w:val="00FE7DA6"/>
    <w:rsid w:val="00FF05B7"/>
    <w:rsid w:val="00FF05DB"/>
    <w:rsid w:val="00FF0A3B"/>
    <w:rsid w:val="00FF0B86"/>
    <w:rsid w:val="00FF0C49"/>
    <w:rsid w:val="00FF0F30"/>
    <w:rsid w:val="00FF135C"/>
    <w:rsid w:val="00FF1410"/>
    <w:rsid w:val="00FF1652"/>
    <w:rsid w:val="00FF18EB"/>
    <w:rsid w:val="00FF1AC8"/>
    <w:rsid w:val="00FF1B44"/>
    <w:rsid w:val="00FF1F3D"/>
    <w:rsid w:val="00FF21AB"/>
    <w:rsid w:val="00FF2254"/>
    <w:rsid w:val="00FF23E4"/>
    <w:rsid w:val="00FF24DA"/>
    <w:rsid w:val="00FF24F5"/>
    <w:rsid w:val="00FF283D"/>
    <w:rsid w:val="00FF2932"/>
    <w:rsid w:val="00FF2B25"/>
    <w:rsid w:val="00FF2BBA"/>
    <w:rsid w:val="00FF2C45"/>
    <w:rsid w:val="00FF3190"/>
    <w:rsid w:val="00FF31D6"/>
    <w:rsid w:val="00FF31FE"/>
    <w:rsid w:val="00FF341B"/>
    <w:rsid w:val="00FF36C1"/>
    <w:rsid w:val="00FF3D53"/>
    <w:rsid w:val="00FF3E24"/>
    <w:rsid w:val="00FF40D2"/>
    <w:rsid w:val="00FF4243"/>
    <w:rsid w:val="00FF4380"/>
    <w:rsid w:val="00FF49C8"/>
    <w:rsid w:val="00FF4EBD"/>
    <w:rsid w:val="00FF5089"/>
    <w:rsid w:val="00FF518B"/>
    <w:rsid w:val="00FF51EA"/>
    <w:rsid w:val="00FF5B7C"/>
    <w:rsid w:val="00FF5DEC"/>
    <w:rsid w:val="00FF5E9A"/>
    <w:rsid w:val="00FF627B"/>
    <w:rsid w:val="00FF642A"/>
    <w:rsid w:val="00FF69C0"/>
    <w:rsid w:val="00FF6BCA"/>
    <w:rsid w:val="00FF7609"/>
    <w:rsid w:val="00FF7961"/>
    <w:rsid w:val="00FF7D67"/>
    <w:rsid w:val="00FF7DBE"/>
    <w:rsid w:val="01C10FE5"/>
    <w:rsid w:val="022CC2CD"/>
    <w:rsid w:val="025DFF60"/>
    <w:rsid w:val="02665347"/>
    <w:rsid w:val="027E6622"/>
    <w:rsid w:val="0286BBDC"/>
    <w:rsid w:val="02CE4820"/>
    <w:rsid w:val="03095046"/>
    <w:rsid w:val="034A10F8"/>
    <w:rsid w:val="0353FF9D"/>
    <w:rsid w:val="0529C9E9"/>
    <w:rsid w:val="05F6D892"/>
    <w:rsid w:val="06008E17"/>
    <w:rsid w:val="0626CA5E"/>
    <w:rsid w:val="064FD399"/>
    <w:rsid w:val="07580EAF"/>
    <w:rsid w:val="076A1980"/>
    <w:rsid w:val="07DE2A0A"/>
    <w:rsid w:val="0820582F"/>
    <w:rsid w:val="0A1BC4DB"/>
    <w:rsid w:val="0B359732"/>
    <w:rsid w:val="0CDA7376"/>
    <w:rsid w:val="0E515BBD"/>
    <w:rsid w:val="0ECF85F3"/>
    <w:rsid w:val="0ED0EAB4"/>
    <w:rsid w:val="0F0023A2"/>
    <w:rsid w:val="0F18DD39"/>
    <w:rsid w:val="0F1B94C5"/>
    <w:rsid w:val="0FEB10E5"/>
    <w:rsid w:val="101C9F41"/>
    <w:rsid w:val="10248473"/>
    <w:rsid w:val="10355F61"/>
    <w:rsid w:val="10D04856"/>
    <w:rsid w:val="11D132E4"/>
    <w:rsid w:val="12EF884F"/>
    <w:rsid w:val="136108B7"/>
    <w:rsid w:val="14572A4E"/>
    <w:rsid w:val="14963723"/>
    <w:rsid w:val="14B8C14A"/>
    <w:rsid w:val="156A36B9"/>
    <w:rsid w:val="169FD44C"/>
    <w:rsid w:val="176E17A5"/>
    <w:rsid w:val="178C4F06"/>
    <w:rsid w:val="17B4657A"/>
    <w:rsid w:val="17FB9C31"/>
    <w:rsid w:val="1827AD34"/>
    <w:rsid w:val="18293201"/>
    <w:rsid w:val="187A16BF"/>
    <w:rsid w:val="18A57BAA"/>
    <w:rsid w:val="18CFD6BE"/>
    <w:rsid w:val="18E8BF67"/>
    <w:rsid w:val="18F06EBA"/>
    <w:rsid w:val="1944FE0A"/>
    <w:rsid w:val="195D527E"/>
    <w:rsid w:val="19BF3BF7"/>
    <w:rsid w:val="19FE0A88"/>
    <w:rsid w:val="1A4A56E4"/>
    <w:rsid w:val="1AAF851E"/>
    <w:rsid w:val="1AC68160"/>
    <w:rsid w:val="1B7654BF"/>
    <w:rsid w:val="1BA249F9"/>
    <w:rsid w:val="1BC0B79C"/>
    <w:rsid w:val="1CE4F2C2"/>
    <w:rsid w:val="1D22EB3F"/>
    <w:rsid w:val="1DF4B767"/>
    <w:rsid w:val="1E36A535"/>
    <w:rsid w:val="1EF60E6A"/>
    <w:rsid w:val="1F3DBAFB"/>
    <w:rsid w:val="1FCBC50E"/>
    <w:rsid w:val="1FE33792"/>
    <w:rsid w:val="2010E576"/>
    <w:rsid w:val="20A81F4A"/>
    <w:rsid w:val="21D7D035"/>
    <w:rsid w:val="227362E1"/>
    <w:rsid w:val="229E7A95"/>
    <w:rsid w:val="22B72155"/>
    <w:rsid w:val="23393E33"/>
    <w:rsid w:val="2470CA14"/>
    <w:rsid w:val="247B0F07"/>
    <w:rsid w:val="26D8F7ED"/>
    <w:rsid w:val="27BF958B"/>
    <w:rsid w:val="28C368F4"/>
    <w:rsid w:val="28C75601"/>
    <w:rsid w:val="297436B9"/>
    <w:rsid w:val="29A51EF8"/>
    <w:rsid w:val="2B8D2D0C"/>
    <w:rsid w:val="2C191A7E"/>
    <w:rsid w:val="2CC4F889"/>
    <w:rsid w:val="2CF10DAB"/>
    <w:rsid w:val="2D9114A6"/>
    <w:rsid w:val="2DAE42D8"/>
    <w:rsid w:val="2E36E318"/>
    <w:rsid w:val="2F352C9B"/>
    <w:rsid w:val="30C10027"/>
    <w:rsid w:val="31F627F2"/>
    <w:rsid w:val="31F97038"/>
    <w:rsid w:val="3212D244"/>
    <w:rsid w:val="324B3F1E"/>
    <w:rsid w:val="344B12B3"/>
    <w:rsid w:val="3494BB8D"/>
    <w:rsid w:val="34E1B6EB"/>
    <w:rsid w:val="3584D253"/>
    <w:rsid w:val="35E0EF4A"/>
    <w:rsid w:val="364AD177"/>
    <w:rsid w:val="373585A7"/>
    <w:rsid w:val="373CE194"/>
    <w:rsid w:val="38003CF1"/>
    <w:rsid w:val="3906160B"/>
    <w:rsid w:val="3925ACAF"/>
    <w:rsid w:val="392D8114"/>
    <w:rsid w:val="396C8C8C"/>
    <w:rsid w:val="39DAA372"/>
    <w:rsid w:val="39DC9B94"/>
    <w:rsid w:val="3A6CE612"/>
    <w:rsid w:val="3C572F44"/>
    <w:rsid w:val="3C739C61"/>
    <w:rsid w:val="3CBC2082"/>
    <w:rsid w:val="3CD39148"/>
    <w:rsid w:val="3DD258CA"/>
    <w:rsid w:val="3E8B5AC0"/>
    <w:rsid w:val="3E8F7FA5"/>
    <w:rsid w:val="3ED4E5B9"/>
    <w:rsid w:val="4000B700"/>
    <w:rsid w:val="40485623"/>
    <w:rsid w:val="40E47463"/>
    <w:rsid w:val="414AFCB1"/>
    <w:rsid w:val="418AD830"/>
    <w:rsid w:val="41DC8678"/>
    <w:rsid w:val="425BF717"/>
    <w:rsid w:val="4262A493"/>
    <w:rsid w:val="429D46C8"/>
    <w:rsid w:val="43346594"/>
    <w:rsid w:val="4453D43A"/>
    <w:rsid w:val="44675ED3"/>
    <w:rsid w:val="44915D31"/>
    <w:rsid w:val="45D36FAF"/>
    <w:rsid w:val="47E7BA2F"/>
    <w:rsid w:val="4817FC8A"/>
    <w:rsid w:val="48868698"/>
    <w:rsid w:val="4924265D"/>
    <w:rsid w:val="494D406F"/>
    <w:rsid w:val="4985D405"/>
    <w:rsid w:val="49D4BA44"/>
    <w:rsid w:val="4A49605B"/>
    <w:rsid w:val="4A75A94C"/>
    <w:rsid w:val="4B079DF4"/>
    <w:rsid w:val="4B0ED18F"/>
    <w:rsid w:val="4B4061AD"/>
    <w:rsid w:val="4B784CF4"/>
    <w:rsid w:val="4BD3185A"/>
    <w:rsid w:val="4BE73767"/>
    <w:rsid w:val="4BF3E120"/>
    <w:rsid w:val="4C7AEA1C"/>
    <w:rsid w:val="4C902106"/>
    <w:rsid w:val="4D59ECB0"/>
    <w:rsid w:val="4DF0C283"/>
    <w:rsid w:val="4E0AF9D0"/>
    <w:rsid w:val="4EE0F377"/>
    <w:rsid w:val="4F75B34B"/>
    <w:rsid w:val="4F9B64DE"/>
    <w:rsid w:val="4FC6BA16"/>
    <w:rsid w:val="500C8002"/>
    <w:rsid w:val="5160E308"/>
    <w:rsid w:val="5199838F"/>
    <w:rsid w:val="52011298"/>
    <w:rsid w:val="5328FACE"/>
    <w:rsid w:val="53299299"/>
    <w:rsid w:val="54562168"/>
    <w:rsid w:val="548F4E97"/>
    <w:rsid w:val="54AB94B5"/>
    <w:rsid w:val="54CB1D9F"/>
    <w:rsid w:val="54E5400F"/>
    <w:rsid w:val="554D1EF8"/>
    <w:rsid w:val="5564FD07"/>
    <w:rsid w:val="55743FF3"/>
    <w:rsid w:val="559A0CFF"/>
    <w:rsid w:val="55D7BCC4"/>
    <w:rsid w:val="5646F610"/>
    <w:rsid w:val="56C467B2"/>
    <w:rsid w:val="57313BEE"/>
    <w:rsid w:val="57C7C997"/>
    <w:rsid w:val="5808F709"/>
    <w:rsid w:val="58BA8B01"/>
    <w:rsid w:val="5A02CEAB"/>
    <w:rsid w:val="5B0412A4"/>
    <w:rsid w:val="5B3B58D7"/>
    <w:rsid w:val="5BBA1883"/>
    <w:rsid w:val="5BBB6E3A"/>
    <w:rsid w:val="5BE4F77C"/>
    <w:rsid w:val="5D08C274"/>
    <w:rsid w:val="5D1EFCC1"/>
    <w:rsid w:val="5D2564D3"/>
    <w:rsid w:val="5D5767F1"/>
    <w:rsid w:val="5DC8F4C9"/>
    <w:rsid w:val="5EA2D880"/>
    <w:rsid w:val="5EC26EEC"/>
    <w:rsid w:val="5EE9FA2F"/>
    <w:rsid w:val="5EFC2D94"/>
    <w:rsid w:val="5F0B1A85"/>
    <w:rsid w:val="5F1E3D06"/>
    <w:rsid w:val="5F4CA064"/>
    <w:rsid w:val="5F4FA2D1"/>
    <w:rsid w:val="5F6FC333"/>
    <w:rsid w:val="5F9D74BE"/>
    <w:rsid w:val="5FF15CE4"/>
    <w:rsid w:val="60255CE8"/>
    <w:rsid w:val="603FA602"/>
    <w:rsid w:val="60875BA2"/>
    <w:rsid w:val="609E7EFD"/>
    <w:rsid w:val="619ECF95"/>
    <w:rsid w:val="61E446B8"/>
    <w:rsid w:val="627B8EE4"/>
    <w:rsid w:val="62975EB2"/>
    <w:rsid w:val="636A2BC5"/>
    <w:rsid w:val="64751B68"/>
    <w:rsid w:val="651FB978"/>
    <w:rsid w:val="6575ABA3"/>
    <w:rsid w:val="6611D771"/>
    <w:rsid w:val="662DD404"/>
    <w:rsid w:val="669C5170"/>
    <w:rsid w:val="670E9560"/>
    <w:rsid w:val="678BDF81"/>
    <w:rsid w:val="6847B390"/>
    <w:rsid w:val="6A2133F3"/>
    <w:rsid w:val="6AB538B7"/>
    <w:rsid w:val="6B56A476"/>
    <w:rsid w:val="6BA262B1"/>
    <w:rsid w:val="6BE9865E"/>
    <w:rsid w:val="6C8B65BE"/>
    <w:rsid w:val="6D2EE848"/>
    <w:rsid w:val="6D857194"/>
    <w:rsid w:val="6D979D1C"/>
    <w:rsid w:val="6E44CBB9"/>
    <w:rsid w:val="6E890BD2"/>
    <w:rsid w:val="6E945C67"/>
    <w:rsid w:val="7007D656"/>
    <w:rsid w:val="707102DD"/>
    <w:rsid w:val="7100F410"/>
    <w:rsid w:val="712AE0D8"/>
    <w:rsid w:val="719602F7"/>
    <w:rsid w:val="71B91A0E"/>
    <w:rsid w:val="71FF2E09"/>
    <w:rsid w:val="723FC7F3"/>
    <w:rsid w:val="725807AD"/>
    <w:rsid w:val="729DBF0D"/>
    <w:rsid w:val="72D92177"/>
    <w:rsid w:val="72F6D0C9"/>
    <w:rsid w:val="731AE34D"/>
    <w:rsid w:val="731ED26A"/>
    <w:rsid w:val="7347522D"/>
    <w:rsid w:val="73634141"/>
    <w:rsid w:val="73E96624"/>
    <w:rsid w:val="740B5D9A"/>
    <w:rsid w:val="74A280FC"/>
    <w:rsid w:val="74CA96CF"/>
    <w:rsid w:val="7529B84A"/>
    <w:rsid w:val="7551A945"/>
    <w:rsid w:val="75C8D710"/>
    <w:rsid w:val="776EC06B"/>
    <w:rsid w:val="79207B06"/>
    <w:rsid w:val="7B4ED7AC"/>
    <w:rsid w:val="7B7AB5E0"/>
    <w:rsid w:val="7C749ACC"/>
    <w:rsid w:val="7C977B67"/>
    <w:rsid w:val="7D956FC6"/>
    <w:rsid w:val="7DCFA884"/>
    <w:rsid w:val="7DD2875D"/>
    <w:rsid w:val="7E7612F4"/>
    <w:rsid w:val="7F336B12"/>
    <w:rsid w:val="7F3AF459"/>
    <w:rsid w:val="7F9D29A1"/>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horizontal:center;mso-position-horizontal-relative:margin;mso-position-vertical:center;mso-position-vertical-relative:margin" fill="f" fillcolor="#a6a6a6" stroke="f">
      <v:fill color="#a6a6a6" on="f"/>
      <v:stroke on="f"/>
      <v:shadow color="#868686"/>
    </o:shapedefaults>
    <o:shapelayout v:ext="edit">
      <o:idmap v:ext="edit" data="2"/>
    </o:shapelayout>
  </w:shapeDefaults>
  <w:decimalSymbol w:val="."/>
  <w:listSeparator w:val=","/>
  <w14:docId w14:val="546B8ED1"/>
  <w15:docId w15:val="{D902C609-0034-6D4B-AE98-E27759CEEF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40CDE"/>
    <w:pPr>
      <w:jc w:val="both"/>
    </w:pPr>
    <w:rPr>
      <w:rFonts w:ascii="Arial" w:hAnsi="Arial"/>
      <w:sz w:val="22"/>
      <w:lang w:eastAsia="de-DE"/>
    </w:rPr>
  </w:style>
  <w:style w:type="paragraph" w:styleId="Heading1">
    <w:name w:val="heading 1"/>
    <w:basedOn w:val="Normal"/>
    <w:next w:val="Normal"/>
    <w:link w:val="Heading1Char"/>
    <w:uiPriority w:val="9"/>
    <w:qFormat/>
    <w:rsid w:val="00971E74"/>
    <w:pPr>
      <w:keepNext/>
      <w:keepLines/>
      <w:spacing w:before="480"/>
      <w:ind w:left="142" w:hanging="255"/>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Heading2">
    <w:name w:val="heading 2"/>
    <w:basedOn w:val="Normal"/>
    <w:next w:val="Normal"/>
    <w:link w:val="Heading2Char"/>
    <w:uiPriority w:val="9"/>
    <w:unhideWhenUsed/>
    <w:qFormat/>
    <w:rsid w:val="00971E74"/>
    <w:pPr>
      <w:keepNext/>
      <w:keepLines/>
      <w:spacing w:before="200"/>
      <w:ind w:left="454" w:hanging="312"/>
      <w:outlineLvl w:val="1"/>
    </w:pPr>
    <w:rPr>
      <w:rFonts w:asciiTheme="majorHAnsi" w:eastAsiaTheme="majorEastAsia" w:hAnsiTheme="majorHAnsi" w:cstheme="majorBidi"/>
      <w:b/>
      <w:bCs/>
      <w:color w:val="4F81BD" w:themeColor="accent1"/>
      <w:sz w:val="26"/>
      <w:szCs w:val="26"/>
      <w:lang w:val="en-US" w:eastAsia="en-US"/>
    </w:rPr>
  </w:style>
  <w:style w:type="paragraph" w:styleId="Heading3">
    <w:name w:val="heading 3"/>
    <w:basedOn w:val="Normal"/>
    <w:next w:val="Normal"/>
    <w:link w:val="Heading3Char"/>
    <w:uiPriority w:val="9"/>
    <w:unhideWhenUsed/>
    <w:qFormat/>
    <w:rsid w:val="00971E74"/>
    <w:pPr>
      <w:keepNext/>
      <w:keepLines/>
      <w:spacing w:before="200"/>
      <w:ind w:left="851" w:hanging="397"/>
      <w:outlineLvl w:val="2"/>
    </w:pPr>
    <w:rPr>
      <w:rFonts w:asciiTheme="majorHAnsi" w:eastAsiaTheme="majorEastAsia" w:hAnsiTheme="majorHAnsi" w:cstheme="majorBidi"/>
      <w:b/>
      <w:bCs/>
      <w:color w:val="4F81BD" w:themeColor="accent1"/>
      <w:sz w:val="24"/>
      <w:szCs w:val="24"/>
      <w:lang w:val="en-US" w:eastAsia="en-US"/>
    </w:rPr>
  </w:style>
  <w:style w:type="paragraph" w:styleId="Heading4">
    <w:name w:val="heading 4"/>
    <w:basedOn w:val="Normal"/>
    <w:next w:val="Normal"/>
    <w:link w:val="Heading4Char"/>
    <w:uiPriority w:val="9"/>
    <w:unhideWhenUsed/>
    <w:qFormat/>
    <w:rsid w:val="00971E74"/>
    <w:pPr>
      <w:keepNext/>
      <w:keepLines/>
      <w:spacing w:before="200"/>
      <w:ind w:left="1247" w:hanging="396"/>
      <w:outlineLvl w:val="3"/>
    </w:pPr>
    <w:rPr>
      <w:rFonts w:asciiTheme="majorHAnsi" w:eastAsiaTheme="majorEastAsia" w:hAnsiTheme="majorHAnsi" w:cstheme="majorBidi"/>
      <w:b/>
      <w:bCs/>
      <w:i/>
      <w:iCs/>
      <w:color w:val="4F81BD" w:themeColor="accent1"/>
      <w:sz w:val="24"/>
      <w:szCs w:val="24"/>
      <w:lang w:val="en-US" w:eastAsia="en-US"/>
    </w:rPr>
  </w:style>
  <w:style w:type="paragraph" w:styleId="Heading5">
    <w:name w:val="heading 5"/>
    <w:basedOn w:val="Normal"/>
    <w:next w:val="Normal"/>
    <w:link w:val="Heading5Char"/>
    <w:uiPriority w:val="9"/>
    <w:unhideWhenUsed/>
    <w:qFormat/>
    <w:rsid w:val="00971E74"/>
    <w:pPr>
      <w:keepNext/>
      <w:keepLines/>
      <w:spacing w:before="200"/>
      <w:ind w:left="1588" w:hanging="341"/>
      <w:outlineLvl w:val="4"/>
    </w:pPr>
    <w:rPr>
      <w:rFonts w:asciiTheme="majorHAnsi" w:eastAsiaTheme="majorEastAsia" w:hAnsiTheme="majorHAnsi" w:cstheme="majorBidi"/>
      <w:color w:val="243F60" w:themeColor="accent1" w:themeShade="7F"/>
      <w:sz w:val="24"/>
      <w:szCs w:val="24"/>
      <w:lang w:val="en-US" w:eastAsia="en-US"/>
    </w:rPr>
  </w:style>
  <w:style w:type="paragraph" w:styleId="Heading6">
    <w:name w:val="heading 6"/>
    <w:basedOn w:val="Normal"/>
    <w:next w:val="Normal"/>
    <w:link w:val="Heading6Char"/>
    <w:uiPriority w:val="9"/>
    <w:unhideWhenUsed/>
    <w:qFormat/>
    <w:rsid w:val="00971E74"/>
    <w:pPr>
      <w:keepNext/>
      <w:keepLines/>
      <w:spacing w:before="200"/>
      <w:ind w:left="2041" w:hanging="453"/>
      <w:outlineLvl w:val="5"/>
    </w:pPr>
    <w:rPr>
      <w:rFonts w:asciiTheme="majorHAnsi" w:eastAsiaTheme="majorEastAsia" w:hAnsiTheme="majorHAnsi" w:cstheme="majorBidi"/>
      <w:i/>
      <w:iCs/>
      <w:color w:val="243F60" w:themeColor="accent1" w:themeShade="7F"/>
      <w:sz w:val="24"/>
      <w:szCs w:val="24"/>
      <w:lang w:val="en-US" w:eastAsia="en-US"/>
    </w:rPr>
  </w:style>
  <w:style w:type="paragraph" w:styleId="Heading7">
    <w:name w:val="heading 7"/>
    <w:basedOn w:val="Normal"/>
    <w:next w:val="Normal"/>
    <w:link w:val="Heading7Char"/>
    <w:uiPriority w:val="9"/>
    <w:unhideWhenUsed/>
    <w:qFormat/>
    <w:rsid w:val="00971E74"/>
    <w:pPr>
      <w:keepNext/>
      <w:keepLines/>
      <w:spacing w:before="200"/>
      <w:ind w:left="1296" w:hanging="288"/>
      <w:outlineLvl w:val="6"/>
    </w:pPr>
    <w:rPr>
      <w:rFonts w:asciiTheme="majorHAnsi" w:eastAsiaTheme="majorEastAsia" w:hAnsiTheme="majorHAnsi" w:cstheme="majorBidi"/>
      <w:i/>
      <w:iCs/>
      <w:color w:val="404040" w:themeColor="text1" w:themeTint="BF"/>
      <w:sz w:val="24"/>
      <w:szCs w:val="24"/>
      <w:lang w:val="en-US" w:eastAsia="en-US"/>
    </w:rPr>
  </w:style>
  <w:style w:type="paragraph" w:styleId="Heading8">
    <w:name w:val="heading 8"/>
    <w:basedOn w:val="Normal"/>
    <w:next w:val="Normal"/>
    <w:link w:val="Heading8Char"/>
    <w:uiPriority w:val="9"/>
    <w:unhideWhenUsed/>
    <w:qFormat/>
    <w:rsid w:val="00971E74"/>
    <w:pPr>
      <w:keepNext/>
      <w:keepLines/>
      <w:spacing w:before="200"/>
      <w:ind w:left="1440" w:hanging="432"/>
      <w:outlineLvl w:val="7"/>
    </w:pPr>
    <w:rPr>
      <w:rFonts w:asciiTheme="majorHAnsi" w:eastAsiaTheme="majorEastAsia" w:hAnsiTheme="majorHAnsi" w:cstheme="majorBidi"/>
      <w:color w:val="404040" w:themeColor="text1" w:themeTint="BF"/>
      <w:sz w:val="20"/>
      <w:lang w:val="en-US" w:eastAsia="en-US"/>
    </w:rPr>
  </w:style>
  <w:style w:type="paragraph" w:styleId="Heading9">
    <w:name w:val="heading 9"/>
    <w:basedOn w:val="Normal"/>
    <w:next w:val="Normal"/>
    <w:link w:val="Heading9Char"/>
    <w:uiPriority w:val="9"/>
    <w:unhideWhenUsed/>
    <w:qFormat/>
    <w:rsid w:val="00971E74"/>
    <w:pPr>
      <w:keepNext/>
      <w:keepLines/>
      <w:spacing w:before="200"/>
      <w:ind w:left="1584" w:hanging="144"/>
      <w:outlineLvl w:val="8"/>
    </w:pPr>
    <w:rPr>
      <w:rFonts w:asciiTheme="majorHAnsi" w:eastAsiaTheme="majorEastAsia" w:hAnsiTheme="majorHAnsi" w:cstheme="majorBidi"/>
      <w:i/>
      <w:iCs/>
      <w:color w:val="404040" w:themeColor="text1" w:themeTint="BF"/>
      <w:sz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style>
  <w:style w:type="paragraph" w:styleId="Footer">
    <w:name w:val="footer"/>
    <w:basedOn w:val="Normal"/>
    <w:link w:val="FooterChar"/>
    <w:pPr>
      <w:tabs>
        <w:tab w:val="center" w:pos="4320"/>
        <w:tab w:val="right" w:pos="8640"/>
      </w:tabs>
    </w:pPr>
  </w:style>
  <w:style w:type="paragraph" w:styleId="TOC3">
    <w:name w:val="toc 3"/>
    <w:basedOn w:val="TOC1"/>
    <w:link w:val="TOC3Char"/>
    <w:rsid w:val="00A41DB6"/>
    <w:pPr>
      <w:ind w:left="2268" w:hanging="992"/>
    </w:pPr>
    <w:rPr>
      <w:b w:val="0"/>
      <w:caps w:val="0"/>
    </w:rPr>
  </w:style>
  <w:style w:type="paragraph" w:styleId="TOC2">
    <w:name w:val="toc 2"/>
    <w:basedOn w:val="TOC1"/>
    <w:link w:val="TOC2Char"/>
    <w:rsid w:val="00B346F8"/>
    <w:pPr>
      <w:ind w:left="1276" w:hanging="709"/>
    </w:pPr>
    <w:rPr>
      <w:b w:val="0"/>
      <w:caps w:val="0"/>
    </w:rPr>
  </w:style>
  <w:style w:type="paragraph" w:styleId="TOC1">
    <w:name w:val="toc 1"/>
    <w:basedOn w:val="Normal"/>
    <w:link w:val="TOC1Char"/>
    <w:rsid w:val="00C11C8B"/>
    <w:pPr>
      <w:tabs>
        <w:tab w:val="left" w:leader="dot" w:pos="8222"/>
        <w:tab w:val="right" w:pos="9356"/>
      </w:tabs>
      <w:spacing w:before="180"/>
      <w:ind w:left="567" w:right="1418" w:hanging="567"/>
      <w:jc w:val="left"/>
    </w:pPr>
    <w:rPr>
      <w:rFonts w:cs="Arial"/>
      <w:b/>
      <w:caps/>
      <w:sz w:val="21"/>
      <w:szCs w:val="21"/>
    </w:rPr>
  </w:style>
  <w:style w:type="paragraph" w:styleId="FootnoteText">
    <w:name w:val="footnote text"/>
    <w:basedOn w:val="Normal"/>
    <w:link w:val="FootnoteTextChar"/>
    <w:rsid w:val="0028633C"/>
    <w:pPr>
      <w:keepLines/>
      <w:numPr>
        <w:numId w:val="11"/>
      </w:numPr>
      <w:spacing w:before="120" w:after="60"/>
    </w:pPr>
    <w:rPr>
      <w:sz w:val="20"/>
    </w:rPr>
  </w:style>
  <w:style w:type="character" w:styleId="Hyperlink">
    <w:name w:val="Hyperlink"/>
    <w:uiPriority w:val="99"/>
    <w:rPr>
      <w:color w:val="0000FF"/>
      <w:u w:val="single"/>
    </w:rPr>
  </w:style>
  <w:style w:type="paragraph" w:styleId="EndnoteText">
    <w:name w:val="endnote text"/>
    <w:basedOn w:val="Normal"/>
    <w:link w:val="EndnoteTextChar"/>
    <w:rsid w:val="00CC25EE"/>
    <w:rPr>
      <w:rFonts w:eastAsia="MS Mincho"/>
      <w:lang w:eastAsia="en-US"/>
    </w:rPr>
  </w:style>
  <w:style w:type="paragraph" w:styleId="CommentText">
    <w:name w:val="annotation text"/>
    <w:basedOn w:val="Normal"/>
    <w:link w:val="CommentTextChar"/>
    <w:uiPriority w:val="99"/>
    <w:rsid w:val="00CC25EE"/>
    <w:rPr>
      <w:rFonts w:eastAsia="MS Mincho"/>
      <w:sz w:val="20"/>
      <w:lang w:eastAsia="en-US"/>
    </w:rPr>
  </w:style>
  <w:style w:type="paragraph" w:styleId="Caption">
    <w:name w:val="caption"/>
    <w:basedOn w:val="Normal"/>
    <w:qFormat/>
    <w:rsid w:val="003B4E4E"/>
    <w:pPr>
      <w:keepNext/>
      <w:keepLines/>
      <w:tabs>
        <w:tab w:val="left" w:pos="1134"/>
        <w:tab w:val="left" w:pos="1956"/>
        <w:tab w:val="left" w:pos="2126"/>
        <w:tab w:val="left" w:pos="2693"/>
        <w:tab w:val="left" w:pos="3260"/>
      </w:tabs>
      <w:spacing w:before="320" w:after="120"/>
      <w:ind w:left="1956" w:hanging="1247"/>
    </w:pPr>
    <w:rPr>
      <w:b/>
      <w:bCs/>
      <w:sz w:val="20"/>
    </w:rPr>
  </w:style>
  <w:style w:type="paragraph" w:styleId="TOC9">
    <w:name w:val="toc 9"/>
    <w:basedOn w:val="Normal"/>
    <w:next w:val="Normal"/>
    <w:autoRedefine/>
    <w:uiPriority w:val="39"/>
    <w:rsid w:val="00FF135C"/>
    <w:pPr>
      <w:ind w:left="1760"/>
    </w:pPr>
  </w:style>
  <w:style w:type="paragraph" w:styleId="CommentSubject">
    <w:name w:val="annotation subject"/>
    <w:basedOn w:val="CommentText"/>
    <w:next w:val="CommentText"/>
    <w:link w:val="CommentSubjectChar"/>
    <w:uiPriority w:val="99"/>
    <w:rsid w:val="00A14BC6"/>
    <w:rPr>
      <w:rFonts w:eastAsia="Times New Roman"/>
      <w:b/>
      <w:bCs/>
      <w:lang w:eastAsia="de-DE"/>
    </w:rPr>
  </w:style>
  <w:style w:type="paragraph" w:styleId="IndexHeading">
    <w:name w:val="index heading"/>
    <w:basedOn w:val="Normal"/>
    <w:next w:val="Normal"/>
    <w:rsid w:val="00A14BC6"/>
    <w:rPr>
      <w:rFonts w:cs="Arial"/>
      <w:b/>
      <w:bCs/>
    </w:rPr>
  </w:style>
  <w:style w:type="paragraph" w:styleId="TableofAuthorities">
    <w:name w:val="table of authorities"/>
    <w:basedOn w:val="Normal"/>
    <w:next w:val="Normal"/>
    <w:rsid w:val="00A14BC6"/>
    <w:pPr>
      <w:ind w:left="220" w:hanging="220"/>
    </w:pPr>
  </w:style>
  <w:style w:type="paragraph" w:styleId="TableofFigures">
    <w:name w:val="table of figures"/>
    <w:basedOn w:val="Normal"/>
    <w:next w:val="Normal"/>
    <w:rsid w:val="00A14BC6"/>
  </w:style>
  <w:style w:type="paragraph" w:styleId="TOAHeading">
    <w:name w:val="toa heading"/>
    <w:basedOn w:val="Normal"/>
    <w:next w:val="Normal"/>
    <w:rsid w:val="00A14BC6"/>
    <w:pPr>
      <w:spacing w:before="120"/>
    </w:pPr>
    <w:rPr>
      <w:rFonts w:cs="Arial"/>
      <w:b/>
      <w:bCs/>
      <w:sz w:val="24"/>
      <w:szCs w:val="24"/>
    </w:rPr>
  </w:style>
  <w:style w:type="paragraph" w:styleId="TOC4">
    <w:name w:val="toc 4"/>
    <w:basedOn w:val="TOC1"/>
    <w:uiPriority w:val="39"/>
    <w:rsid w:val="00A41DB6"/>
    <w:pPr>
      <w:ind w:left="3544" w:hanging="1276"/>
    </w:pPr>
    <w:rPr>
      <w:b w:val="0"/>
      <w:caps w:val="0"/>
      <w:noProof/>
    </w:rPr>
  </w:style>
  <w:style w:type="paragraph" w:styleId="TOC5">
    <w:name w:val="toc 5"/>
    <w:basedOn w:val="TOC1"/>
    <w:uiPriority w:val="39"/>
    <w:rsid w:val="00A41DB6"/>
    <w:pPr>
      <w:ind w:left="5103" w:hanging="1559"/>
    </w:pPr>
    <w:rPr>
      <w:b w:val="0"/>
      <w:caps w:val="0"/>
      <w:noProof/>
    </w:rPr>
  </w:style>
  <w:style w:type="paragraph" w:styleId="TOC6">
    <w:name w:val="toc 6"/>
    <w:basedOn w:val="TOC1"/>
    <w:next w:val="Normal"/>
    <w:uiPriority w:val="39"/>
    <w:rsid w:val="00DE7548"/>
    <w:pPr>
      <w:ind w:left="1588" w:hanging="1588"/>
    </w:pPr>
    <w:rPr>
      <w:noProof/>
    </w:rPr>
  </w:style>
  <w:style w:type="paragraph" w:styleId="TOC7">
    <w:name w:val="toc 7"/>
    <w:basedOn w:val="Normal"/>
    <w:next w:val="Normal"/>
    <w:autoRedefine/>
    <w:uiPriority w:val="39"/>
    <w:rsid w:val="00A14BC6"/>
    <w:pPr>
      <w:ind w:left="1320"/>
    </w:pPr>
  </w:style>
  <w:style w:type="paragraph" w:styleId="TOC8">
    <w:name w:val="toc 8"/>
    <w:basedOn w:val="Normal"/>
    <w:next w:val="Normal"/>
    <w:autoRedefine/>
    <w:uiPriority w:val="39"/>
    <w:rsid w:val="00A14BC6"/>
    <w:pPr>
      <w:ind w:left="1540"/>
    </w:pPr>
  </w:style>
  <w:style w:type="paragraph" w:customStyle="1" w:styleId="SDMTiHead">
    <w:name w:val="SDMTiHead"/>
    <w:basedOn w:val="Header"/>
    <w:rsid w:val="00287B65"/>
    <w:pPr>
      <w:ind w:left="-330" w:firstLine="330"/>
    </w:pPr>
    <w:rPr>
      <w:rFonts w:cs="Arial"/>
      <w:caps/>
      <w:szCs w:val="19"/>
    </w:rPr>
  </w:style>
  <w:style w:type="paragraph" w:customStyle="1" w:styleId="SDMTitle2">
    <w:name w:val="SDMTitle2"/>
    <w:basedOn w:val="Normal"/>
    <w:rsid w:val="009E24B3"/>
    <w:pPr>
      <w:spacing w:after="600"/>
      <w:jc w:val="left"/>
    </w:pPr>
    <w:rPr>
      <w:rFonts w:cs="Arial"/>
      <w:sz w:val="48"/>
      <w:szCs w:val="48"/>
    </w:rPr>
  </w:style>
  <w:style w:type="paragraph" w:customStyle="1" w:styleId="SDMTitle1">
    <w:name w:val="SDMTitle1"/>
    <w:basedOn w:val="Normal"/>
    <w:rsid w:val="002B570D"/>
    <w:pPr>
      <w:pBdr>
        <w:bottom w:val="single" w:sz="12" w:space="7" w:color="auto"/>
      </w:pBdr>
      <w:spacing w:before="1800" w:after="200"/>
      <w:jc w:val="left"/>
    </w:pPr>
    <w:rPr>
      <w:rFonts w:cs="Arial"/>
      <w:sz w:val="48"/>
      <w:szCs w:val="48"/>
    </w:rPr>
  </w:style>
  <w:style w:type="paragraph" w:customStyle="1" w:styleId="SDMTiInfo">
    <w:name w:val="SDMTiInfo"/>
    <w:basedOn w:val="Normal"/>
    <w:rsid w:val="004B2991"/>
    <w:pPr>
      <w:spacing w:before="300"/>
    </w:pPr>
    <w:rPr>
      <w:rFonts w:cs="Arial"/>
      <w:szCs w:val="22"/>
    </w:rPr>
  </w:style>
  <w:style w:type="paragraph" w:customStyle="1" w:styleId="SDMHead1">
    <w:name w:val="SDMHead1"/>
    <w:basedOn w:val="Normal"/>
    <w:link w:val="SDMHead1Char"/>
    <w:rsid w:val="00670750"/>
    <w:pPr>
      <w:keepNext/>
      <w:keepLines/>
      <w:tabs>
        <w:tab w:val="num" w:pos="709"/>
      </w:tabs>
      <w:suppressAutoHyphens/>
      <w:spacing w:before="240" w:after="60"/>
      <w:ind w:left="709" w:hanging="709"/>
      <w:outlineLvl w:val="0"/>
    </w:pPr>
    <w:rPr>
      <w:rFonts w:cs="Arial"/>
      <w:b/>
      <w:sz w:val="32"/>
      <w:szCs w:val="32"/>
    </w:rPr>
  </w:style>
  <w:style w:type="paragraph" w:customStyle="1" w:styleId="SDMHead2">
    <w:name w:val="SDMHead2"/>
    <w:basedOn w:val="Normal"/>
    <w:rsid w:val="00670750"/>
    <w:pPr>
      <w:keepNext/>
      <w:keepLines/>
      <w:numPr>
        <w:ilvl w:val="1"/>
        <w:numId w:val="20"/>
      </w:numPr>
      <w:suppressAutoHyphens/>
      <w:spacing w:before="240" w:after="60"/>
      <w:outlineLvl w:val="1"/>
    </w:pPr>
    <w:rPr>
      <w:rFonts w:cs="Arial"/>
      <w:b/>
      <w:sz w:val="24"/>
      <w:szCs w:val="24"/>
    </w:rPr>
  </w:style>
  <w:style w:type="paragraph" w:customStyle="1" w:styleId="SDMHead3">
    <w:name w:val="SDMHead3"/>
    <w:basedOn w:val="Normal"/>
    <w:rsid w:val="00670750"/>
    <w:pPr>
      <w:keepNext/>
      <w:keepLines/>
      <w:numPr>
        <w:ilvl w:val="2"/>
        <w:numId w:val="20"/>
      </w:numPr>
      <w:suppressAutoHyphens/>
      <w:spacing w:before="240" w:after="60"/>
      <w:outlineLvl w:val="2"/>
    </w:pPr>
    <w:rPr>
      <w:rFonts w:cs="Arial"/>
      <w:b/>
      <w:szCs w:val="24"/>
    </w:rPr>
  </w:style>
  <w:style w:type="paragraph" w:customStyle="1" w:styleId="SDMHead4">
    <w:name w:val="SDMHead4"/>
    <w:basedOn w:val="Normal"/>
    <w:rsid w:val="00670750"/>
    <w:pPr>
      <w:keepNext/>
      <w:keepLines/>
      <w:numPr>
        <w:ilvl w:val="3"/>
        <w:numId w:val="20"/>
      </w:numPr>
      <w:suppressAutoHyphens/>
      <w:spacing w:before="240" w:after="60"/>
      <w:outlineLvl w:val="3"/>
    </w:pPr>
    <w:rPr>
      <w:rFonts w:cs="Arial"/>
      <w:b/>
      <w:szCs w:val="24"/>
    </w:rPr>
  </w:style>
  <w:style w:type="paragraph" w:customStyle="1" w:styleId="SDMHead5">
    <w:name w:val="SDMHead5"/>
    <w:basedOn w:val="Normal"/>
    <w:rsid w:val="00670750"/>
    <w:pPr>
      <w:keepNext/>
      <w:keepLines/>
      <w:numPr>
        <w:ilvl w:val="4"/>
        <w:numId w:val="20"/>
      </w:numPr>
      <w:suppressAutoHyphens/>
      <w:spacing w:before="240" w:after="60"/>
      <w:outlineLvl w:val="4"/>
    </w:pPr>
    <w:rPr>
      <w:rFonts w:cs="Arial"/>
      <w:b/>
      <w:szCs w:val="24"/>
    </w:rPr>
  </w:style>
  <w:style w:type="character" w:customStyle="1" w:styleId="SDMHead1Char">
    <w:name w:val="SDMHead1 Char"/>
    <w:link w:val="SDMHead1"/>
    <w:rsid w:val="00670750"/>
    <w:rPr>
      <w:rFonts w:ascii="Arial" w:hAnsi="Arial" w:cs="Arial"/>
      <w:b/>
      <w:sz w:val="32"/>
      <w:szCs w:val="32"/>
      <w:lang w:eastAsia="de-DE"/>
    </w:rPr>
  </w:style>
  <w:style w:type="paragraph" w:customStyle="1" w:styleId="SDMPara">
    <w:name w:val="SDMPara"/>
    <w:basedOn w:val="Normal"/>
    <w:rsid w:val="00AC2C95"/>
    <w:pPr>
      <w:numPr>
        <w:numId w:val="89"/>
      </w:numPr>
      <w:spacing w:before="180"/>
    </w:pPr>
    <w:rPr>
      <w:rFonts w:cs="Arial"/>
      <w:szCs w:val="22"/>
    </w:rPr>
  </w:style>
  <w:style w:type="paragraph" w:customStyle="1" w:styleId="SDMSubPara1">
    <w:name w:val="SDMSubPara1"/>
    <w:basedOn w:val="Normal"/>
    <w:rsid w:val="008F5CDF"/>
    <w:pPr>
      <w:numPr>
        <w:ilvl w:val="1"/>
        <w:numId w:val="89"/>
      </w:numPr>
      <w:spacing w:before="180"/>
    </w:pPr>
    <w:rPr>
      <w:rFonts w:cs="Arial"/>
      <w:szCs w:val="22"/>
    </w:rPr>
  </w:style>
  <w:style w:type="paragraph" w:customStyle="1" w:styleId="SDMSubPara2">
    <w:name w:val="SDMSubPara2"/>
    <w:basedOn w:val="Normal"/>
    <w:rsid w:val="008F5CDF"/>
    <w:pPr>
      <w:numPr>
        <w:ilvl w:val="2"/>
        <w:numId w:val="89"/>
      </w:numPr>
      <w:spacing w:before="180"/>
    </w:pPr>
    <w:rPr>
      <w:rFonts w:cs="Arial"/>
      <w:szCs w:val="22"/>
    </w:rPr>
  </w:style>
  <w:style w:type="character" w:customStyle="1" w:styleId="FootnoteTextChar">
    <w:name w:val="Footnote Text Char"/>
    <w:link w:val="FootnoteText"/>
    <w:rsid w:val="0028633C"/>
    <w:rPr>
      <w:rFonts w:ascii="Arial" w:hAnsi="Arial"/>
      <w:lang w:eastAsia="de-DE"/>
    </w:rPr>
  </w:style>
  <w:style w:type="table" w:customStyle="1" w:styleId="SDMTable">
    <w:name w:val="SDMTable"/>
    <w:basedOn w:val="TableNormal"/>
    <w:rsid w:val="007B4613"/>
    <w:rPr>
      <w:rFonts w:ascii="Arial" w:hAnsi="Arial"/>
    </w:rPr>
    <w:tblPr>
      <w:tblStyleRowBandSize w:val="1"/>
      <w:tblInd w:w="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Pr>
    <w:trPr>
      <w:cantSplit/>
    </w:trPr>
    <w:tblStylePr w:type="firstRow">
      <w:pPr>
        <w:keepNext/>
        <w:keepLines/>
        <w:wordWrap/>
        <w:jc w:val="center"/>
      </w:pPr>
      <w:rPr>
        <w:b/>
      </w:rPr>
      <w:tblPr/>
      <w:trPr>
        <w:tblHeader/>
      </w:trPr>
      <w:tcPr>
        <w:tcBorders>
          <w:top w:val="single" w:sz="4" w:space="0" w:color="auto"/>
          <w:left w:val="single" w:sz="4" w:space="0" w:color="auto"/>
          <w:bottom w:val="single" w:sz="12" w:space="0" w:color="auto"/>
          <w:right w:val="single" w:sz="4" w:space="0" w:color="auto"/>
          <w:insideH w:val="nil"/>
          <w:insideV w:val="nil"/>
          <w:tl2br w:val="nil"/>
          <w:tr2bl w:val="nil"/>
        </w:tcBorders>
        <w:tcMar>
          <w:top w:w="57" w:type="dxa"/>
          <w:left w:w="0" w:type="nil"/>
          <w:bottom w:w="57" w:type="dxa"/>
          <w:right w:w="0" w:type="nil"/>
        </w:tcMar>
        <w:vAlign w:val="center"/>
      </w:tcPr>
    </w:tblStylePr>
    <w:tblStylePr w:type="lastRow">
      <w:pPr>
        <w:keepNext w:val="0"/>
        <w:wordWrap/>
      </w:pPr>
    </w:tblStylePr>
    <w:tblStylePr w:type="firstCol">
      <w:rPr>
        <w:b/>
      </w:rPr>
    </w:tblStylePr>
  </w:style>
  <w:style w:type="paragraph" w:customStyle="1" w:styleId="SDMFooter">
    <w:name w:val="SDMFooter"/>
    <w:basedOn w:val="Footer"/>
    <w:rsid w:val="00555299"/>
    <w:pPr>
      <w:jc w:val="center"/>
    </w:pPr>
    <w:rPr>
      <w:rFonts w:cs="Arial"/>
      <w:sz w:val="20"/>
    </w:rPr>
  </w:style>
  <w:style w:type="table" w:customStyle="1" w:styleId="SDMTableDocInfo">
    <w:name w:val="SDMTableDocInfo"/>
    <w:basedOn w:val="TableNormal"/>
    <w:rsid w:val="0057436D"/>
    <w:pPr>
      <w:keepNext/>
      <w:spacing w:before="80" w:after="80"/>
    </w:pPr>
    <w:rPr>
      <w:rFonts w:ascii="Arial" w:hAnsi="Arial"/>
    </w:rPr>
    <w:tblPr/>
    <w:tblStylePr w:type="firstRow">
      <w:rPr>
        <w:rFonts w:ascii="Arial" w:hAnsi="Arial"/>
        <w:i/>
        <w:sz w:val="16"/>
      </w:rPr>
      <w:tblPr/>
      <w:trPr>
        <w:cantSplit w:val="0"/>
        <w:tblHeader/>
      </w:trPr>
      <w:tcPr>
        <w:tcBorders>
          <w:top w:val="single" w:sz="4" w:space="0" w:color="auto"/>
          <w:left w:val="nil"/>
          <w:bottom w:val="single" w:sz="12" w:space="0" w:color="auto"/>
          <w:right w:val="nil"/>
          <w:insideV w:val="nil"/>
        </w:tcBorders>
        <w:tcMar>
          <w:top w:w="80" w:type="dxa"/>
          <w:left w:w="0" w:type="nil"/>
          <w:bottom w:w="80" w:type="dxa"/>
          <w:right w:w="0" w:type="nil"/>
        </w:tcMar>
        <w:vAlign w:val="center"/>
      </w:tcPr>
    </w:tblStylePr>
    <w:tblStylePr w:type="lastRow">
      <w:tblPr/>
      <w:trPr>
        <w:cantSplit w:val="0"/>
      </w:trPr>
      <w:tcPr>
        <w:tcBorders>
          <w:top w:val="single" w:sz="4" w:space="0" w:color="auto"/>
          <w:left w:val="nil"/>
          <w:bottom w:val="single" w:sz="12" w:space="0" w:color="auto"/>
          <w:right w:val="nil"/>
          <w:insideH w:val="nil"/>
          <w:insideV w:val="nil"/>
          <w:tl2br w:val="nil"/>
          <w:tr2bl w:val="nil"/>
        </w:tcBorders>
        <w:vAlign w:val="center"/>
      </w:tcPr>
    </w:tblStylePr>
  </w:style>
  <w:style w:type="paragraph" w:customStyle="1" w:styleId="SDMDocInfoText">
    <w:name w:val="SDMDocInfoText"/>
    <w:basedOn w:val="Normal"/>
    <w:link w:val="SDMDocInfoTextChar"/>
    <w:rsid w:val="000940E6"/>
    <w:pPr>
      <w:keepLines/>
      <w:numPr>
        <w:numId w:val="13"/>
      </w:numPr>
      <w:spacing w:before="80" w:after="80"/>
    </w:pPr>
    <w:rPr>
      <w:rFonts w:cs="Arial"/>
      <w:sz w:val="20"/>
    </w:rPr>
  </w:style>
  <w:style w:type="character" w:customStyle="1" w:styleId="SDMDocInfoTextChar">
    <w:name w:val="SDMDocInfoText Char"/>
    <w:link w:val="SDMDocInfoText"/>
    <w:rsid w:val="000940E6"/>
    <w:rPr>
      <w:rFonts w:ascii="Arial" w:hAnsi="Arial" w:cs="Arial"/>
      <w:lang w:eastAsia="de-DE"/>
    </w:rPr>
  </w:style>
  <w:style w:type="paragraph" w:customStyle="1" w:styleId="SDMDocInfoTitle">
    <w:name w:val="SDMDocInfoTitle"/>
    <w:basedOn w:val="Normal"/>
    <w:rsid w:val="00B0050F"/>
    <w:pPr>
      <w:keepNext/>
      <w:keepLines/>
      <w:spacing w:before="480" w:after="240"/>
      <w:jc w:val="center"/>
    </w:pPr>
    <w:rPr>
      <w:rFonts w:cs="Arial"/>
      <w:b/>
      <w:szCs w:val="22"/>
    </w:rPr>
  </w:style>
  <w:style w:type="paragraph" w:customStyle="1" w:styleId="SDMSubPara3">
    <w:name w:val="SDMSubPara3"/>
    <w:basedOn w:val="Normal"/>
    <w:rsid w:val="008F5CDF"/>
    <w:pPr>
      <w:numPr>
        <w:ilvl w:val="3"/>
        <w:numId w:val="89"/>
      </w:numPr>
      <w:spacing w:before="180"/>
    </w:pPr>
  </w:style>
  <w:style w:type="paragraph" w:customStyle="1" w:styleId="SDMSubPara4">
    <w:name w:val="SDMSubPara4"/>
    <w:basedOn w:val="Normal"/>
    <w:rsid w:val="008F5CDF"/>
    <w:pPr>
      <w:numPr>
        <w:ilvl w:val="4"/>
        <w:numId w:val="89"/>
      </w:numPr>
      <w:spacing w:before="180"/>
    </w:pPr>
  </w:style>
  <w:style w:type="character" w:customStyle="1" w:styleId="TOC1Char">
    <w:name w:val="TOC 1 Char"/>
    <w:link w:val="TOC1"/>
    <w:uiPriority w:val="39"/>
    <w:rsid w:val="00C11C8B"/>
    <w:rPr>
      <w:rFonts w:ascii="Arial" w:hAnsi="Arial" w:cs="Arial"/>
      <w:b/>
      <w:caps/>
      <w:sz w:val="21"/>
      <w:szCs w:val="21"/>
      <w:lang w:eastAsia="de-DE"/>
    </w:rPr>
  </w:style>
  <w:style w:type="character" w:customStyle="1" w:styleId="TOC2Char">
    <w:name w:val="TOC 2 Char"/>
    <w:link w:val="TOC2"/>
    <w:uiPriority w:val="39"/>
    <w:rsid w:val="00B346F8"/>
    <w:rPr>
      <w:rFonts w:ascii="Arial" w:hAnsi="Arial" w:cs="Arial"/>
      <w:sz w:val="21"/>
      <w:szCs w:val="21"/>
      <w:lang w:eastAsia="de-DE"/>
    </w:rPr>
  </w:style>
  <w:style w:type="character" w:customStyle="1" w:styleId="TOC3Char">
    <w:name w:val="TOC 3 Char"/>
    <w:link w:val="TOC3"/>
    <w:uiPriority w:val="39"/>
    <w:rsid w:val="00A41DB6"/>
    <w:rPr>
      <w:rFonts w:ascii="Arial" w:hAnsi="Arial" w:cs="Arial"/>
      <w:sz w:val="21"/>
      <w:szCs w:val="21"/>
      <w:lang w:eastAsia="de-DE"/>
    </w:rPr>
  </w:style>
  <w:style w:type="paragraph" w:customStyle="1" w:styleId="SDMHeader">
    <w:name w:val="SDMHeader"/>
    <w:basedOn w:val="Header"/>
    <w:rsid w:val="00C478DA"/>
    <w:pPr>
      <w:pBdr>
        <w:bottom w:val="single" w:sz="4" w:space="10" w:color="auto"/>
      </w:pBdr>
      <w:tabs>
        <w:tab w:val="clear" w:pos="4320"/>
        <w:tab w:val="clear" w:pos="8640"/>
        <w:tab w:val="right" w:pos="9356"/>
        <w:tab w:val="right" w:pos="14288"/>
      </w:tabs>
    </w:pPr>
    <w:rPr>
      <w:rFonts w:cs="Arial"/>
      <w:sz w:val="20"/>
      <w:szCs w:val="16"/>
    </w:rPr>
  </w:style>
  <w:style w:type="paragraph" w:customStyle="1" w:styleId="SDMDocInfoHeadRow">
    <w:name w:val="SDMDocInfoHeadRow"/>
    <w:basedOn w:val="Normal"/>
    <w:rsid w:val="00E30033"/>
    <w:pPr>
      <w:keepNext/>
      <w:keepLines/>
    </w:pPr>
    <w:rPr>
      <w:rFonts w:cs="Arial"/>
      <w:i/>
      <w:sz w:val="16"/>
      <w:szCs w:val="16"/>
    </w:rPr>
  </w:style>
  <w:style w:type="table" w:customStyle="1" w:styleId="SDMBox">
    <w:name w:val="SDMBox"/>
    <w:basedOn w:val="TableNormal"/>
    <w:rsid w:val="005E4CB4"/>
    <w:rPr>
      <w:rFonts w:ascii="Arial" w:hAnsi="Arial"/>
    </w:rPr>
    <w:tblPr>
      <w:tblInd w:w="822" w:type="dxa"/>
      <w:tblBorders>
        <w:top w:val="single" w:sz="4" w:space="0" w:color="auto"/>
        <w:left w:val="single" w:sz="4" w:space="0" w:color="auto"/>
        <w:bottom w:val="single" w:sz="4" w:space="0" w:color="auto"/>
        <w:right w:val="single" w:sz="4" w:space="0" w:color="auto"/>
      </w:tblBorders>
      <w:tblCellMar>
        <w:top w:w="28" w:type="dxa"/>
        <w:bottom w:w="28" w:type="dxa"/>
      </w:tblCellMar>
    </w:tblPr>
    <w:trPr>
      <w:cantSplit/>
    </w:trPr>
    <w:tcPr>
      <w:shd w:val="clear" w:color="auto" w:fill="E6E6E6"/>
    </w:tcPr>
    <w:tblStylePr w:type="firstRow">
      <w:pPr>
        <w:keepNext/>
        <w:keepLines/>
        <w:wordWrap/>
      </w:pPr>
      <w:rPr>
        <w:b/>
      </w:rPr>
      <w:tblPr/>
      <w:tcPr>
        <w:tcMar>
          <w:top w:w="57" w:type="dxa"/>
          <w:left w:w="0" w:type="nil"/>
          <w:bottom w:w="57" w:type="dxa"/>
          <w:right w:w="0" w:type="nil"/>
        </w:tcMar>
      </w:tcPr>
    </w:tblStylePr>
    <w:tblStylePr w:type="lastRow">
      <w:pPr>
        <w:keepNext w:val="0"/>
        <w:wordWrap/>
      </w:pPr>
    </w:tblStylePr>
  </w:style>
  <w:style w:type="numbering" w:customStyle="1" w:styleId="SDMParaList">
    <w:name w:val="SDMParaList"/>
    <w:rsid w:val="0067415B"/>
    <w:pPr>
      <w:numPr>
        <w:numId w:val="1"/>
      </w:numPr>
    </w:pPr>
  </w:style>
  <w:style w:type="numbering" w:customStyle="1" w:styleId="SDMHeadList">
    <w:name w:val="SDMHeadList"/>
    <w:uiPriority w:val="99"/>
    <w:rsid w:val="00670750"/>
    <w:pPr>
      <w:numPr>
        <w:numId w:val="4"/>
      </w:numPr>
    </w:pPr>
  </w:style>
  <w:style w:type="numbering" w:customStyle="1" w:styleId="SDMTableBoxParaNumberedList">
    <w:name w:val="SDMTable&amp;BoxParaNumberedList"/>
    <w:rsid w:val="006C3E07"/>
    <w:pPr>
      <w:numPr>
        <w:numId w:val="2"/>
      </w:numPr>
    </w:pPr>
  </w:style>
  <w:style w:type="paragraph" w:customStyle="1" w:styleId="SDMAppTitle">
    <w:name w:val="SDMAppTitle"/>
    <w:basedOn w:val="SDMHead1"/>
    <w:next w:val="SDMApp1"/>
    <w:qFormat/>
    <w:rsid w:val="00AC6944"/>
    <w:pPr>
      <w:pageBreakBefore/>
      <w:numPr>
        <w:numId w:val="10"/>
      </w:numPr>
      <w:spacing w:before="120" w:after="600"/>
    </w:pPr>
  </w:style>
  <w:style w:type="paragraph" w:customStyle="1" w:styleId="SDMApp1">
    <w:name w:val="SDMApp1"/>
    <w:basedOn w:val="SDMHead2"/>
    <w:qFormat/>
    <w:rsid w:val="00800F84"/>
    <w:pPr>
      <w:numPr>
        <w:numId w:val="10"/>
      </w:numPr>
      <w:outlineLvl w:val="9"/>
    </w:pPr>
  </w:style>
  <w:style w:type="paragraph" w:customStyle="1" w:styleId="SDMApp2">
    <w:name w:val="SDMApp2"/>
    <w:basedOn w:val="SDMHead3"/>
    <w:qFormat/>
    <w:rsid w:val="00800F84"/>
    <w:pPr>
      <w:numPr>
        <w:numId w:val="10"/>
      </w:numPr>
      <w:outlineLvl w:val="9"/>
    </w:pPr>
  </w:style>
  <w:style w:type="paragraph" w:customStyle="1" w:styleId="SDMApp3">
    <w:name w:val="SDMApp3"/>
    <w:basedOn w:val="SDMHead4"/>
    <w:qFormat/>
    <w:rsid w:val="00800F84"/>
    <w:pPr>
      <w:numPr>
        <w:numId w:val="10"/>
      </w:numPr>
      <w:outlineLvl w:val="9"/>
    </w:pPr>
  </w:style>
  <w:style w:type="paragraph" w:customStyle="1" w:styleId="SDMApp4">
    <w:name w:val="SDMApp4"/>
    <w:basedOn w:val="SDMHead5"/>
    <w:qFormat/>
    <w:rsid w:val="00800F84"/>
    <w:pPr>
      <w:numPr>
        <w:numId w:val="10"/>
      </w:numPr>
      <w:outlineLvl w:val="9"/>
    </w:pPr>
  </w:style>
  <w:style w:type="numbering" w:customStyle="1" w:styleId="SDMAppHeadList">
    <w:name w:val="SDMAppHeadList"/>
    <w:uiPriority w:val="99"/>
    <w:rsid w:val="00800F84"/>
    <w:pPr>
      <w:numPr>
        <w:numId w:val="3"/>
      </w:numPr>
    </w:pPr>
  </w:style>
  <w:style w:type="paragraph" w:customStyle="1" w:styleId="SDMDocRef">
    <w:name w:val="SDMDocRef"/>
    <w:basedOn w:val="Normal"/>
    <w:qFormat/>
    <w:rsid w:val="001F4D32"/>
    <w:pPr>
      <w:spacing w:before="100"/>
    </w:pPr>
    <w:rPr>
      <w:b/>
      <w:caps/>
      <w:sz w:val="28"/>
    </w:rPr>
  </w:style>
  <w:style w:type="paragraph" w:customStyle="1" w:styleId="SDMApp5">
    <w:name w:val="SDMApp5"/>
    <w:basedOn w:val="SDMApp4"/>
    <w:qFormat/>
    <w:rsid w:val="00EC5BC1"/>
    <w:pPr>
      <w:numPr>
        <w:ilvl w:val="5"/>
      </w:numPr>
      <w:tabs>
        <w:tab w:val="left" w:pos="1418"/>
      </w:tabs>
      <w:ind w:left="1418" w:hanging="1418"/>
    </w:pPr>
  </w:style>
  <w:style w:type="paragraph" w:customStyle="1" w:styleId="SDMTableBoxFigureFootnote">
    <w:name w:val="SDMTableBoxFigureFootnote"/>
    <w:basedOn w:val="Normal"/>
    <w:qFormat/>
    <w:rsid w:val="008B7552"/>
    <w:pPr>
      <w:numPr>
        <w:numId w:val="16"/>
      </w:numPr>
      <w:spacing w:before="120"/>
    </w:pPr>
    <w:rPr>
      <w:sz w:val="20"/>
    </w:rPr>
  </w:style>
  <w:style w:type="paragraph" w:customStyle="1" w:styleId="SDMCovNoteTitle">
    <w:name w:val="SDMCovNoteTitle"/>
    <w:basedOn w:val="Normal"/>
    <w:qFormat/>
    <w:rsid w:val="00BE377E"/>
    <w:pPr>
      <w:keepNext/>
      <w:keepLines/>
      <w:suppressAutoHyphens/>
      <w:spacing w:before="240" w:after="840"/>
      <w:jc w:val="center"/>
    </w:pPr>
    <w:rPr>
      <w:b/>
      <w:caps/>
      <w:sz w:val="32"/>
    </w:rPr>
  </w:style>
  <w:style w:type="numbering" w:customStyle="1" w:styleId="SDMCovNoteHeadList">
    <w:name w:val="SDMCovNoteHeadList"/>
    <w:uiPriority w:val="99"/>
    <w:rsid w:val="00567E70"/>
    <w:pPr>
      <w:numPr>
        <w:numId w:val="5"/>
      </w:numPr>
    </w:pPr>
  </w:style>
  <w:style w:type="paragraph" w:customStyle="1" w:styleId="SDMCovNoteHead1">
    <w:name w:val="SDMCovNoteHead1"/>
    <w:basedOn w:val="Normal"/>
    <w:rsid w:val="00D25DF5"/>
    <w:pPr>
      <w:keepNext/>
      <w:keepLines/>
      <w:numPr>
        <w:numId w:val="7"/>
      </w:numPr>
      <w:suppressAutoHyphens/>
      <w:spacing w:before="240" w:after="60"/>
    </w:pPr>
    <w:rPr>
      <w:b/>
      <w:sz w:val="24"/>
    </w:rPr>
  </w:style>
  <w:style w:type="paragraph" w:customStyle="1" w:styleId="SDMCovNoteHead2">
    <w:name w:val="SDMCovNoteHead2"/>
    <w:basedOn w:val="Normal"/>
    <w:rsid w:val="00D25DF5"/>
    <w:pPr>
      <w:keepNext/>
      <w:keepLines/>
      <w:numPr>
        <w:ilvl w:val="1"/>
        <w:numId w:val="7"/>
      </w:numPr>
      <w:spacing w:before="240" w:after="60"/>
    </w:pPr>
    <w:rPr>
      <w:b/>
    </w:rPr>
  </w:style>
  <w:style w:type="paragraph" w:customStyle="1" w:styleId="SDMCovNoteHead3">
    <w:name w:val="SDMCovNoteHead3"/>
    <w:basedOn w:val="Normal"/>
    <w:rsid w:val="00D25DF5"/>
    <w:pPr>
      <w:keepNext/>
      <w:keepLines/>
      <w:numPr>
        <w:ilvl w:val="2"/>
        <w:numId w:val="7"/>
      </w:numPr>
      <w:spacing w:before="240" w:after="60"/>
    </w:pPr>
    <w:rPr>
      <w:b/>
    </w:rPr>
  </w:style>
  <w:style w:type="paragraph" w:styleId="NoSpacing">
    <w:name w:val="No Spacing"/>
    <w:link w:val="NoSpacingChar"/>
    <w:uiPriority w:val="1"/>
    <w:qFormat/>
    <w:rsid w:val="00A12E1C"/>
    <w:rPr>
      <w:rFonts w:ascii="Calibri" w:eastAsia="MS Mincho" w:hAnsi="Calibri" w:cs="Arial"/>
      <w:sz w:val="22"/>
      <w:szCs w:val="22"/>
      <w:lang w:val="en-US" w:eastAsia="ja-JP"/>
    </w:rPr>
  </w:style>
  <w:style w:type="character" w:customStyle="1" w:styleId="NoSpacingChar">
    <w:name w:val="No Spacing Char"/>
    <w:link w:val="NoSpacing"/>
    <w:uiPriority w:val="1"/>
    <w:rsid w:val="00A12E1C"/>
    <w:rPr>
      <w:rFonts w:ascii="Calibri" w:eastAsia="MS Mincho" w:hAnsi="Calibri" w:cs="Arial"/>
      <w:sz w:val="22"/>
      <w:szCs w:val="22"/>
      <w:lang w:val="en-US" w:eastAsia="ja-JP"/>
    </w:rPr>
  </w:style>
  <w:style w:type="paragraph" w:customStyle="1" w:styleId="SDMTOCHeading">
    <w:name w:val="SDMTOCHeading"/>
    <w:basedOn w:val="Normal"/>
    <w:qFormat/>
    <w:rsid w:val="00036902"/>
    <w:pPr>
      <w:keepNext/>
      <w:keepLines/>
      <w:pageBreakBefore/>
      <w:tabs>
        <w:tab w:val="right" w:pos="9356"/>
      </w:tabs>
      <w:spacing w:before="240" w:after="600"/>
    </w:pPr>
    <w:rPr>
      <w:rFonts w:cs="Arial"/>
      <w:b/>
      <w:szCs w:val="22"/>
    </w:rPr>
  </w:style>
  <w:style w:type="numbering" w:customStyle="1" w:styleId="SDMTableBoxFigureFootnoteList">
    <w:name w:val="SDMTableBoxFigureFootnoteList"/>
    <w:uiPriority w:val="99"/>
    <w:rsid w:val="008B7552"/>
    <w:pPr>
      <w:numPr>
        <w:numId w:val="6"/>
      </w:numPr>
    </w:pPr>
  </w:style>
  <w:style w:type="paragraph" w:customStyle="1" w:styleId="SDMTableBoxFigureFootnoteSL1">
    <w:name w:val="SDMTableBoxFigureFootnoteSL1"/>
    <w:basedOn w:val="SDMTableBoxFigureFootnote"/>
    <w:qFormat/>
    <w:rsid w:val="00907133"/>
    <w:pPr>
      <w:numPr>
        <w:ilvl w:val="1"/>
      </w:numPr>
      <w:spacing w:before="40"/>
    </w:pPr>
  </w:style>
  <w:style w:type="paragraph" w:customStyle="1" w:styleId="SDMTableBoxFigureFootnoteSL2">
    <w:name w:val="SDMTableBoxFigureFootnoteSL2"/>
    <w:basedOn w:val="SDMTableBoxFigureFootnote"/>
    <w:qFormat/>
    <w:rsid w:val="00907133"/>
    <w:pPr>
      <w:numPr>
        <w:ilvl w:val="2"/>
      </w:numPr>
      <w:spacing w:before="40"/>
    </w:pPr>
  </w:style>
  <w:style w:type="paragraph" w:customStyle="1" w:styleId="SDMTableBoxFigureFootnoteSL3">
    <w:name w:val="SDMTableBoxFigureFootnoteSL3"/>
    <w:basedOn w:val="SDMTableBoxFigureFootnote"/>
    <w:qFormat/>
    <w:rsid w:val="00907133"/>
    <w:pPr>
      <w:numPr>
        <w:ilvl w:val="3"/>
      </w:numPr>
      <w:spacing w:before="40"/>
    </w:pPr>
  </w:style>
  <w:style w:type="paragraph" w:customStyle="1" w:styleId="SDMTableBoxFigureFootnoteSL4">
    <w:name w:val="SDMTableBoxFigureFootnoteSL4"/>
    <w:basedOn w:val="SDMTableBoxFigureFootnote"/>
    <w:qFormat/>
    <w:rsid w:val="00907133"/>
    <w:pPr>
      <w:numPr>
        <w:ilvl w:val="4"/>
      </w:numPr>
      <w:spacing w:before="40"/>
    </w:pPr>
  </w:style>
  <w:style w:type="paragraph" w:customStyle="1" w:styleId="SDMTableBoxFigureFootnoteSL5">
    <w:name w:val="SDMTableBoxFigureFootnoteSL5"/>
    <w:basedOn w:val="SDMTableBoxFigureFootnote"/>
    <w:qFormat/>
    <w:rsid w:val="00907133"/>
    <w:pPr>
      <w:numPr>
        <w:ilvl w:val="5"/>
      </w:numPr>
      <w:spacing w:before="40"/>
    </w:pPr>
  </w:style>
  <w:style w:type="character" w:styleId="PlaceholderText">
    <w:name w:val="Placeholder Text"/>
    <w:basedOn w:val="DefaultParagraphFont"/>
    <w:uiPriority w:val="99"/>
    <w:semiHidden/>
    <w:rsid w:val="00515747"/>
    <w:rPr>
      <w:color w:val="808080"/>
    </w:rPr>
  </w:style>
  <w:style w:type="paragraph" w:styleId="BalloonText">
    <w:name w:val="Balloon Text"/>
    <w:basedOn w:val="Normal"/>
    <w:link w:val="BalloonTextChar"/>
    <w:rsid w:val="00515747"/>
    <w:rPr>
      <w:rFonts w:ascii="Tahoma" w:hAnsi="Tahoma" w:cs="Tahoma"/>
      <w:sz w:val="16"/>
      <w:szCs w:val="16"/>
    </w:rPr>
  </w:style>
  <w:style w:type="character" w:customStyle="1" w:styleId="BalloonTextChar">
    <w:name w:val="Balloon Text Char"/>
    <w:basedOn w:val="DefaultParagraphFont"/>
    <w:link w:val="BalloonText"/>
    <w:rsid w:val="00515747"/>
    <w:rPr>
      <w:rFonts w:ascii="Tahoma" w:hAnsi="Tahoma" w:cs="Tahoma"/>
      <w:sz w:val="16"/>
      <w:szCs w:val="16"/>
      <w:lang w:eastAsia="de-DE"/>
    </w:rPr>
  </w:style>
  <w:style w:type="paragraph" w:styleId="Date">
    <w:name w:val="Date"/>
    <w:basedOn w:val="Normal"/>
    <w:next w:val="Normal"/>
    <w:link w:val="DateChar"/>
    <w:rsid w:val="00C764CD"/>
  </w:style>
  <w:style w:type="character" w:customStyle="1" w:styleId="DateChar">
    <w:name w:val="Date Char"/>
    <w:basedOn w:val="DefaultParagraphFont"/>
    <w:link w:val="Date"/>
    <w:rsid w:val="00C764CD"/>
    <w:rPr>
      <w:rFonts w:ascii="Arial" w:hAnsi="Arial"/>
      <w:sz w:val="22"/>
      <w:lang w:eastAsia="de-DE"/>
    </w:rPr>
  </w:style>
  <w:style w:type="paragraph" w:customStyle="1" w:styleId="SDMConfidentialMark">
    <w:name w:val="SDMConfidentialMark"/>
    <w:basedOn w:val="Normal"/>
    <w:qFormat/>
    <w:rsid w:val="00B40106"/>
    <w:pPr>
      <w:spacing w:before="1200"/>
      <w:jc w:val="right"/>
    </w:pPr>
    <w:rPr>
      <w:b/>
      <w:caps/>
      <w:spacing w:val="10"/>
      <w:sz w:val="32"/>
    </w:rPr>
  </w:style>
  <w:style w:type="character" w:customStyle="1" w:styleId="Heading1Char">
    <w:name w:val="Heading 1 Char"/>
    <w:basedOn w:val="DefaultParagraphFont"/>
    <w:link w:val="Heading1"/>
    <w:uiPriority w:val="9"/>
    <w:rsid w:val="00971E74"/>
    <w:rPr>
      <w:rFonts w:asciiTheme="majorHAnsi" w:eastAsiaTheme="majorEastAsia" w:hAnsiTheme="majorHAnsi" w:cstheme="majorBidi"/>
      <w:b/>
      <w:bCs/>
      <w:color w:val="365F91" w:themeColor="accent1" w:themeShade="BF"/>
      <w:sz w:val="28"/>
      <w:szCs w:val="28"/>
      <w:lang w:val="en-US" w:eastAsia="en-US"/>
    </w:rPr>
  </w:style>
  <w:style w:type="character" w:customStyle="1" w:styleId="Heading2Char">
    <w:name w:val="Heading 2 Char"/>
    <w:basedOn w:val="DefaultParagraphFont"/>
    <w:link w:val="Heading2"/>
    <w:uiPriority w:val="9"/>
    <w:rsid w:val="00971E74"/>
    <w:rPr>
      <w:rFonts w:asciiTheme="majorHAnsi" w:eastAsiaTheme="majorEastAsia" w:hAnsiTheme="majorHAnsi" w:cstheme="majorBidi"/>
      <w:b/>
      <w:bCs/>
      <w:color w:val="4F81BD" w:themeColor="accent1"/>
      <w:sz w:val="26"/>
      <w:szCs w:val="26"/>
      <w:lang w:val="en-US" w:eastAsia="en-US"/>
    </w:rPr>
  </w:style>
  <w:style w:type="character" w:customStyle="1" w:styleId="Heading3Char">
    <w:name w:val="Heading 3 Char"/>
    <w:basedOn w:val="DefaultParagraphFont"/>
    <w:link w:val="Heading3"/>
    <w:uiPriority w:val="9"/>
    <w:rsid w:val="00971E74"/>
    <w:rPr>
      <w:rFonts w:asciiTheme="majorHAnsi" w:eastAsiaTheme="majorEastAsia" w:hAnsiTheme="majorHAnsi" w:cstheme="majorBidi"/>
      <w:b/>
      <w:bCs/>
      <w:color w:val="4F81BD" w:themeColor="accent1"/>
      <w:sz w:val="24"/>
      <w:szCs w:val="24"/>
      <w:lang w:val="en-US" w:eastAsia="en-US"/>
    </w:rPr>
  </w:style>
  <w:style w:type="character" w:customStyle="1" w:styleId="Heading4Char">
    <w:name w:val="Heading 4 Char"/>
    <w:basedOn w:val="DefaultParagraphFont"/>
    <w:link w:val="Heading4"/>
    <w:uiPriority w:val="9"/>
    <w:rsid w:val="00971E74"/>
    <w:rPr>
      <w:rFonts w:asciiTheme="majorHAnsi" w:eastAsiaTheme="majorEastAsia" w:hAnsiTheme="majorHAnsi" w:cstheme="majorBidi"/>
      <w:b/>
      <w:bCs/>
      <w:i/>
      <w:iCs/>
      <w:color w:val="4F81BD" w:themeColor="accent1"/>
      <w:sz w:val="24"/>
      <w:szCs w:val="24"/>
      <w:lang w:val="en-US" w:eastAsia="en-US"/>
    </w:rPr>
  </w:style>
  <w:style w:type="character" w:customStyle="1" w:styleId="Heading5Char">
    <w:name w:val="Heading 5 Char"/>
    <w:basedOn w:val="DefaultParagraphFont"/>
    <w:link w:val="Heading5"/>
    <w:uiPriority w:val="9"/>
    <w:rsid w:val="00971E74"/>
    <w:rPr>
      <w:rFonts w:asciiTheme="majorHAnsi" w:eastAsiaTheme="majorEastAsia" w:hAnsiTheme="majorHAnsi" w:cstheme="majorBidi"/>
      <w:color w:val="243F60" w:themeColor="accent1" w:themeShade="7F"/>
      <w:sz w:val="24"/>
      <w:szCs w:val="24"/>
      <w:lang w:val="en-US" w:eastAsia="en-US"/>
    </w:rPr>
  </w:style>
  <w:style w:type="character" w:customStyle="1" w:styleId="Heading6Char">
    <w:name w:val="Heading 6 Char"/>
    <w:basedOn w:val="DefaultParagraphFont"/>
    <w:link w:val="Heading6"/>
    <w:uiPriority w:val="9"/>
    <w:rsid w:val="00971E74"/>
    <w:rPr>
      <w:rFonts w:asciiTheme="majorHAnsi" w:eastAsiaTheme="majorEastAsia" w:hAnsiTheme="majorHAnsi" w:cstheme="majorBidi"/>
      <w:i/>
      <w:iCs/>
      <w:color w:val="243F60" w:themeColor="accent1" w:themeShade="7F"/>
      <w:sz w:val="24"/>
      <w:szCs w:val="24"/>
      <w:lang w:val="en-US" w:eastAsia="en-US"/>
    </w:rPr>
  </w:style>
  <w:style w:type="character" w:customStyle="1" w:styleId="Heading7Char">
    <w:name w:val="Heading 7 Char"/>
    <w:basedOn w:val="DefaultParagraphFont"/>
    <w:link w:val="Heading7"/>
    <w:uiPriority w:val="9"/>
    <w:rsid w:val="00971E74"/>
    <w:rPr>
      <w:rFonts w:asciiTheme="majorHAnsi" w:eastAsiaTheme="majorEastAsia" w:hAnsiTheme="majorHAnsi" w:cstheme="majorBidi"/>
      <w:i/>
      <w:iCs/>
      <w:color w:val="404040" w:themeColor="text1" w:themeTint="BF"/>
      <w:sz w:val="24"/>
      <w:szCs w:val="24"/>
      <w:lang w:val="en-US" w:eastAsia="en-US"/>
    </w:rPr>
  </w:style>
  <w:style w:type="character" w:customStyle="1" w:styleId="Heading8Char">
    <w:name w:val="Heading 8 Char"/>
    <w:basedOn w:val="DefaultParagraphFont"/>
    <w:link w:val="Heading8"/>
    <w:uiPriority w:val="9"/>
    <w:rsid w:val="00971E74"/>
    <w:rPr>
      <w:rFonts w:asciiTheme="majorHAnsi" w:eastAsiaTheme="majorEastAsia" w:hAnsiTheme="majorHAnsi" w:cstheme="majorBidi"/>
      <w:color w:val="404040" w:themeColor="text1" w:themeTint="BF"/>
      <w:lang w:val="en-US" w:eastAsia="en-US"/>
    </w:rPr>
  </w:style>
  <w:style w:type="character" w:customStyle="1" w:styleId="Heading9Char">
    <w:name w:val="Heading 9 Char"/>
    <w:basedOn w:val="DefaultParagraphFont"/>
    <w:link w:val="Heading9"/>
    <w:uiPriority w:val="9"/>
    <w:rsid w:val="00971E74"/>
    <w:rPr>
      <w:rFonts w:asciiTheme="majorHAnsi" w:eastAsiaTheme="majorEastAsia" w:hAnsiTheme="majorHAnsi" w:cstheme="majorBidi"/>
      <w:i/>
      <w:iCs/>
      <w:color w:val="404040" w:themeColor="text1" w:themeTint="BF"/>
      <w:lang w:val="en-US" w:eastAsia="en-US"/>
    </w:rPr>
  </w:style>
  <w:style w:type="table" w:customStyle="1" w:styleId="SDMMethTableEmmissions">
    <w:name w:val="SDMMethTableEmmissions"/>
    <w:basedOn w:val="TableNormal"/>
    <w:uiPriority w:val="99"/>
    <w:rsid w:val="004956B9"/>
    <w:rPr>
      <w:rFonts w:ascii="Arial" w:hAnsi="Arial"/>
    </w:rPr>
    <w:tblPr>
      <w:tblStyleRowBandSize w:val="3"/>
      <w:tblStyleColBandSize w:val="1"/>
      <w:tblInd w:w="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Pr>
    <w:trPr>
      <w:cantSplit/>
    </w:trPr>
    <w:tcPr>
      <w:vAlign w:val="center"/>
    </w:tcPr>
    <w:tblStylePr w:type="firstRow">
      <w:pPr>
        <w:keepNext/>
        <w:keepLines/>
        <w:wordWrap/>
        <w:jc w:val="center"/>
      </w:pPr>
      <w:rPr>
        <w:rFonts w:ascii="Arial" w:hAnsi="Arial"/>
        <w:b/>
        <w:sz w:val="22"/>
        <w:u w:val="none"/>
      </w:rPr>
      <w:tblPr/>
      <w:trPr>
        <w:tblHeader/>
      </w:trPr>
      <w:tcPr>
        <w:tcBorders>
          <w:top w:val="single" w:sz="4" w:space="0" w:color="auto"/>
          <w:left w:val="single" w:sz="4" w:space="0" w:color="auto"/>
          <w:bottom w:val="single" w:sz="12" w:space="0" w:color="auto"/>
          <w:right w:val="single" w:sz="4" w:space="0" w:color="auto"/>
          <w:insideH w:val="nil"/>
          <w:insideV w:val="single" w:sz="4" w:space="0" w:color="auto"/>
          <w:tl2br w:val="nil"/>
          <w:tr2bl w:val="nil"/>
        </w:tcBorders>
        <w:shd w:val="clear" w:color="auto" w:fill="E6E6E6"/>
        <w:tcMar>
          <w:top w:w="113" w:type="dxa"/>
          <w:left w:w="0" w:type="nil"/>
          <w:bottom w:w="113" w:type="dxa"/>
          <w:right w:w="0" w:type="nil"/>
        </w:tcMar>
      </w:tcPr>
    </w:tblStylePr>
    <w:tblStylePr w:type="firstCol">
      <w:pPr>
        <w:keepLines/>
        <w:wordWrap/>
        <w:jc w:val="center"/>
      </w:pPr>
      <w:rPr>
        <w:b/>
      </w:rPr>
    </w:tblStylePr>
    <w:tblStylePr w:type="band2Horz">
      <w:tblPr/>
      <w:tcPr>
        <w:shd w:val="clear" w:color="auto" w:fill="E6E6E6"/>
      </w:tcPr>
    </w:tblStylePr>
  </w:style>
  <w:style w:type="table" w:customStyle="1" w:styleId="SDMMethTableDataParameter">
    <w:name w:val="SDMMethTableDataParameter"/>
    <w:basedOn w:val="TableNormal"/>
    <w:uiPriority w:val="99"/>
    <w:rsid w:val="00C57ED8"/>
    <w:rPr>
      <w:rFonts w:ascii="Arial" w:hAnsi="Arial"/>
    </w:rPr>
    <w:tblPr>
      <w:tblInd w:w="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Pr>
    <w:trPr>
      <w:cantSplit/>
    </w:trPr>
    <w:tblStylePr w:type="firstRow">
      <w:pPr>
        <w:keepNext/>
        <w:keepLines/>
        <w:wordWrap/>
      </w:pPr>
      <w:rPr>
        <w:b/>
      </w:rPr>
      <w:tblPr/>
      <w:tcPr>
        <w:tcMar>
          <w:top w:w="62" w:type="dxa"/>
          <w:left w:w="0" w:type="nil"/>
          <w:bottom w:w="62" w:type="dxa"/>
          <w:right w:w="0" w:type="nil"/>
        </w:tcMar>
      </w:tcPr>
    </w:tblStylePr>
    <w:tblStylePr w:type="firstCol">
      <w:tblPr/>
      <w:tcPr>
        <w:shd w:val="clear" w:color="auto" w:fill="E6E6E6"/>
      </w:tcPr>
    </w:tblStylePr>
  </w:style>
  <w:style w:type="paragraph" w:customStyle="1" w:styleId="SDMMethCaptionNestedTableDataParameter">
    <w:name w:val="SDMMethCaptionNestedTableDataParameter"/>
    <w:basedOn w:val="Caption"/>
    <w:qFormat/>
    <w:rsid w:val="00EE4278"/>
    <w:pPr>
      <w:ind w:left="1531"/>
    </w:pPr>
  </w:style>
  <w:style w:type="table" w:customStyle="1" w:styleId="SDMMethTable">
    <w:name w:val="SDMMethTable"/>
    <w:basedOn w:val="SDMTable"/>
    <w:uiPriority w:val="99"/>
    <w:rsid w:val="00183BCF"/>
    <w:tblPr/>
    <w:tblStylePr w:type="firstRow">
      <w:pPr>
        <w:keepNext/>
        <w:keepLines/>
        <w:wordWrap/>
        <w:jc w:val="center"/>
      </w:pPr>
      <w:rPr>
        <w:b/>
      </w:rPr>
      <w:tblPr/>
      <w:trPr>
        <w:tblHeader/>
      </w:trPr>
      <w:tcPr>
        <w:tcBorders>
          <w:top w:val="single" w:sz="4" w:space="0" w:color="auto"/>
          <w:left w:val="single" w:sz="4" w:space="0" w:color="auto"/>
          <w:bottom w:val="single" w:sz="12" w:space="0" w:color="auto"/>
          <w:right w:val="single" w:sz="4" w:space="0" w:color="auto"/>
          <w:insideH w:val="nil"/>
          <w:insideV w:val="nil"/>
          <w:tl2br w:val="nil"/>
          <w:tr2bl w:val="nil"/>
        </w:tcBorders>
        <w:shd w:val="clear" w:color="auto" w:fill="E6E6E6"/>
        <w:tcMar>
          <w:top w:w="57" w:type="dxa"/>
          <w:left w:w="0" w:type="nil"/>
          <w:bottom w:w="57" w:type="dxa"/>
          <w:right w:w="0" w:type="nil"/>
        </w:tcMar>
        <w:vAlign w:val="center"/>
      </w:tcPr>
    </w:tblStylePr>
    <w:tblStylePr w:type="lastRow">
      <w:pPr>
        <w:keepNext w:val="0"/>
        <w:wordWrap/>
      </w:pPr>
    </w:tblStylePr>
    <w:tblStylePr w:type="firstCol">
      <w:rPr>
        <w:b/>
      </w:rPr>
    </w:tblStylePr>
  </w:style>
  <w:style w:type="table" w:customStyle="1" w:styleId="SDMMethTableEquationParameters">
    <w:name w:val="SDMMethTableEquationParameters"/>
    <w:basedOn w:val="TableNormal"/>
    <w:uiPriority w:val="99"/>
    <w:rsid w:val="007D575E"/>
    <w:rPr>
      <w:rFonts w:ascii="Arial" w:hAnsi="Arial"/>
      <w:sz w:val="22"/>
    </w:rPr>
    <w:tblPr>
      <w:tblInd w:w="680" w:type="dxa"/>
      <w:tblCellMar>
        <w:top w:w="85" w:type="dxa"/>
        <w:bottom w:w="28" w:type="dxa"/>
      </w:tblCellMar>
    </w:tblPr>
    <w:trPr>
      <w:cantSplit/>
    </w:trPr>
    <w:tcPr>
      <w:vAlign w:val="center"/>
    </w:tcPr>
  </w:style>
  <w:style w:type="paragraph" w:customStyle="1" w:styleId="SDMMethCaptionEquationParametersTable">
    <w:name w:val="SDMMethCaptionEquationParametersTable"/>
    <w:basedOn w:val="Caption"/>
    <w:qFormat/>
    <w:rsid w:val="00A3375B"/>
    <w:pPr>
      <w:spacing w:before="180" w:after="0"/>
    </w:pPr>
    <w:rPr>
      <w:b w:val="0"/>
      <w:sz w:val="22"/>
    </w:rPr>
  </w:style>
  <w:style w:type="paragraph" w:customStyle="1" w:styleId="SDMMethEquation">
    <w:name w:val="SDMMethEquation"/>
    <w:basedOn w:val="SDMPara"/>
    <w:qFormat/>
    <w:rsid w:val="003C73C2"/>
    <w:pPr>
      <w:keepLines/>
      <w:numPr>
        <w:numId w:val="0"/>
      </w:numPr>
      <w:spacing w:before="360" w:line="360" w:lineRule="auto"/>
    </w:pPr>
  </w:style>
  <w:style w:type="table" w:customStyle="1" w:styleId="SDMMethTableEquation">
    <w:name w:val="SDMMethTableEquation"/>
    <w:basedOn w:val="TableNormal"/>
    <w:uiPriority w:val="99"/>
    <w:rsid w:val="0049797A"/>
    <w:rPr>
      <w:rFonts w:ascii="Arial" w:hAnsi="Arial"/>
      <w:sz w:val="22"/>
    </w:rPr>
    <w:tblPr>
      <w:tblInd w:w="680" w:type="dxa"/>
    </w:tblPr>
    <w:trPr>
      <w:cantSplit/>
    </w:trPr>
  </w:style>
  <w:style w:type="paragraph" w:customStyle="1" w:styleId="SDMTableBoxParaNotNumbered">
    <w:name w:val="SDMTable&amp;BoxParaNotNumbered"/>
    <w:basedOn w:val="Normal"/>
    <w:qFormat/>
    <w:rsid w:val="00CC398D"/>
    <w:pPr>
      <w:jc w:val="left"/>
    </w:pPr>
    <w:rPr>
      <w:sz w:val="20"/>
    </w:rPr>
  </w:style>
  <w:style w:type="paragraph" w:customStyle="1" w:styleId="SDMTableBoxParaNumbered">
    <w:name w:val="SDMTable&amp;BoxParaNumbered"/>
    <w:basedOn w:val="Normal"/>
    <w:qFormat/>
    <w:rsid w:val="006C3E07"/>
    <w:pPr>
      <w:numPr>
        <w:numId w:val="2"/>
      </w:numPr>
      <w:jc w:val="left"/>
    </w:pPr>
    <w:rPr>
      <w:sz w:val="20"/>
    </w:rPr>
  </w:style>
  <w:style w:type="paragraph" w:customStyle="1" w:styleId="SDMMethEquationNr">
    <w:name w:val="SDMMethEquationNr"/>
    <w:basedOn w:val="SDMMethEquation"/>
    <w:qFormat/>
    <w:rsid w:val="006E5800"/>
    <w:pPr>
      <w:keepNext/>
      <w:jc w:val="right"/>
    </w:pPr>
    <w:rPr>
      <w:sz w:val="20"/>
    </w:rPr>
  </w:style>
  <w:style w:type="numbering" w:customStyle="1" w:styleId="SDMMethEquationNrList">
    <w:name w:val="SDMMethEquationNrList"/>
    <w:uiPriority w:val="99"/>
    <w:rsid w:val="00725BB6"/>
    <w:pPr>
      <w:numPr>
        <w:numId w:val="9"/>
      </w:numPr>
    </w:pPr>
  </w:style>
  <w:style w:type="paragraph" w:styleId="ListParagraph">
    <w:name w:val="List Paragraph"/>
    <w:basedOn w:val="Normal"/>
    <w:uiPriority w:val="34"/>
    <w:qFormat/>
    <w:rsid w:val="002B6960"/>
    <w:pPr>
      <w:ind w:left="720"/>
      <w:contextualSpacing/>
    </w:pPr>
  </w:style>
  <w:style w:type="table" w:customStyle="1" w:styleId="SDMTableFullPage">
    <w:name w:val="SDMTableFullPage"/>
    <w:basedOn w:val="SDMTable"/>
    <w:uiPriority w:val="99"/>
    <w:rsid w:val="00A27F63"/>
    <w:tblPr>
      <w:jc w:val="center"/>
      <w:tblInd w:w="0" w:type="dxa"/>
    </w:tblPr>
    <w:trPr>
      <w:jc w:val="center"/>
    </w:trPr>
    <w:tblStylePr w:type="firstRow">
      <w:pPr>
        <w:keepNext/>
        <w:keepLines/>
        <w:wordWrap/>
        <w:jc w:val="center"/>
      </w:pPr>
      <w:rPr>
        <w:b/>
      </w:rPr>
      <w:tblPr/>
      <w:trPr>
        <w:cantSplit w:val="0"/>
        <w:tblHeader/>
      </w:trPr>
      <w:tcPr>
        <w:tcBorders>
          <w:top w:val="single" w:sz="4" w:space="0" w:color="auto"/>
          <w:left w:val="single" w:sz="4" w:space="0" w:color="auto"/>
          <w:bottom w:val="single" w:sz="12" w:space="0" w:color="auto"/>
          <w:right w:val="single" w:sz="4" w:space="0" w:color="auto"/>
          <w:insideH w:val="nil"/>
          <w:insideV w:val="nil"/>
          <w:tl2br w:val="nil"/>
          <w:tr2bl w:val="nil"/>
        </w:tcBorders>
        <w:tcMar>
          <w:top w:w="57" w:type="dxa"/>
          <w:left w:w="0" w:type="nil"/>
          <w:bottom w:w="57" w:type="dxa"/>
          <w:right w:w="0" w:type="nil"/>
        </w:tcMar>
        <w:vAlign w:val="center"/>
      </w:tcPr>
    </w:tblStylePr>
    <w:tblStylePr w:type="lastRow">
      <w:pPr>
        <w:keepNext w:val="0"/>
        <w:wordWrap/>
      </w:pPr>
    </w:tblStylePr>
    <w:tblStylePr w:type="firstCol">
      <w:rPr>
        <w:b/>
      </w:rPr>
    </w:tblStylePr>
  </w:style>
  <w:style w:type="table" w:customStyle="1" w:styleId="SDMMethTableFullPage">
    <w:name w:val="SDMMethTableFullPage"/>
    <w:basedOn w:val="SDMMethTable"/>
    <w:uiPriority w:val="99"/>
    <w:rsid w:val="00A27F63"/>
    <w:tblPr>
      <w:jc w:val="center"/>
      <w:tblInd w:w="0" w:type="dxa"/>
    </w:tblPr>
    <w:trPr>
      <w:jc w:val="center"/>
    </w:trPr>
    <w:tblStylePr w:type="firstRow">
      <w:pPr>
        <w:keepNext/>
        <w:keepLines/>
        <w:wordWrap/>
        <w:jc w:val="center"/>
      </w:pPr>
      <w:rPr>
        <w:b/>
      </w:rPr>
      <w:tblPr/>
      <w:trPr>
        <w:tblHeader/>
      </w:trPr>
      <w:tcPr>
        <w:tcBorders>
          <w:top w:val="single" w:sz="4" w:space="0" w:color="auto"/>
          <w:left w:val="single" w:sz="4" w:space="0" w:color="auto"/>
          <w:bottom w:val="single" w:sz="12" w:space="0" w:color="auto"/>
          <w:right w:val="single" w:sz="4" w:space="0" w:color="auto"/>
          <w:insideH w:val="nil"/>
          <w:insideV w:val="nil"/>
          <w:tl2br w:val="nil"/>
          <w:tr2bl w:val="nil"/>
        </w:tcBorders>
        <w:shd w:val="clear" w:color="auto" w:fill="E6E6E6"/>
        <w:tcMar>
          <w:top w:w="57" w:type="dxa"/>
          <w:left w:w="0" w:type="nil"/>
          <w:bottom w:w="57" w:type="dxa"/>
          <w:right w:w="0" w:type="nil"/>
        </w:tcMar>
        <w:vAlign w:val="center"/>
      </w:tcPr>
    </w:tblStylePr>
    <w:tblStylePr w:type="lastRow">
      <w:pPr>
        <w:keepNext w:val="0"/>
        <w:wordWrap/>
      </w:pPr>
    </w:tblStylePr>
    <w:tblStylePr w:type="firstCol">
      <w:rPr>
        <w:b/>
      </w:rPr>
    </w:tblStylePr>
  </w:style>
  <w:style w:type="paragraph" w:customStyle="1" w:styleId="CaptionFullPage">
    <w:name w:val="CaptionFullPage"/>
    <w:basedOn w:val="Caption"/>
    <w:qFormat/>
    <w:rsid w:val="00C170E5"/>
    <w:pPr>
      <w:ind w:left="0" w:firstLine="0"/>
    </w:pPr>
  </w:style>
  <w:style w:type="character" w:styleId="FootnoteReference">
    <w:name w:val="footnote reference"/>
    <w:basedOn w:val="DefaultParagraphFont"/>
    <w:rsid w:val="00D90755"/>
    <w:rPr>
      <w:vertAlign w:val="superscript"/>
    </w:rPr>
  </w:style>
  <w:style w:type="numbering" w:customStyle="1" w:styleId="SDMFootnoteList">
    <w:name w:val="SDMFootnoteList"/>
    <w:uiPriority w:val="99"/>
    <w:rsid w:val="0028633C"/>
    <w:pPr>
      <w:numPr>
        <w:numId w:val="11"/>
      </w:numPr>
    </w:pPr>
  </w:style>
  <w:style w:type="numbering" w:customStyle="1" w:styleId="SDMDocInfoTextBullets">
    <w:name w:val="SDMDocInfoTextBullets"/>
    <w:uiPriority w:val="99"/>
    <w:rsid w:val="00AF21A4"/>
    <w:pPr>
      <w:numPr>
        <w:numId w:val="89"/>
      </w:numPr>
    </w:pPr>
  </w:style>
  <w:style w:type="table" w:customStyle="1" w:styleId="SDMBoxFullPage">
    <w:name w:val="SDMBoxFullPage"/>
    <w:basedOn w:val="SDMBox"/>
    <w:uiPriority w:val="99"/>
    <w:rsid w:val="00CB3238"/>
    <w:tblPr>
      <w:jc w:val="center"/>
      <w:tblInd w:w="0" w:type="dxa"/>
    </w:tblPr>
    <w:trPr>
      <w:jc w:val="center"/>
    </w:trPr>
    <w:tcPr>
      <w:shd w:val="clear" w:color="auto" w:fill="E6E6E6"/>
    </w:tcPr>
    <w:tblStylePr w:type="firstRow">
      <w:pPr>
        <w:keepNext/>
        <w:keepLines/>
        <w:wordWrap/>
      </w:pPr>
      <w:rPr>
        <w:b/>
      </w:rPr>
      <w:tblPr/>
      <w:tcPr>
        <w:tcMar>
          <w:top w:w="57" w:type="dxa"/>
          <w:left w:w="0" w:type="nil"/>
          <w:bottom w:w="57" w:type="dxa"/>
          <w:right w:w="0" w:type="nil"/>
        </w:tcMar>
      </w:tcPr>
    </w:tblStylePr>
    <w:tblStylePr w:type="lastRow">
      <w:pPr>
        <w:keepNext w:val="0"/>
        <w:wordWrap/>
      </w:pPr>
    </w:tblStylePr>
  </w:style>
  <w:style w:type="paragraph" w:customStyle="1" w:styleId="SDMTableBoxFigureFootnoteFullPage">
    <w:name w:val="SDMTableBoxFigureFootnoteFullPage"/>
    <w:basedOn w:val="SDMTableBoxFigureFootnote"/>
    <w:rsid w:val="00D767B7"/>
    <w:pPr>
      <w:numPr>
        <w:numId w:val="15"/>
      </w:numPr>
    </w:pPr>
  </w:style>
  <w:style w:type="paragraph" w:customStyle="1" w:styleId="SDMTableBoxFigureFootnoteSL1FullPage">
    <w:name w:val="SDMTableBoxFigureFootnoteSL1FullPage"/>
    <w:basedOn w:val="SDMTableBoxFigureFootnoteSL1"/>
    <w:rsid w:val="00D767B7"/>
    <w:pPr>
      <w:numPr>
        <w:numId w:val="15"/>
      </w:numPr>
    </w:pPr>
  </w:style>
  <w:style w:type="paragraph" w:customStyle="1" w:styleId="SDMTableBoxFigureFootnoteSL2FullPage">
    <w:name w:val="SDMTableBoxFigureFootnoteSL2FullPage"/>
    <w:basedOn w:val="SDMTableBoxFigureFootnoteSL2"/>
    <w:rsid w:val="00D767B7"/>
    <w:pPr>
      <w:numPr>
        <w:numId w:val="15"/>
      </w:numPr>
    </w:pPr>
  </w:style>
  <w:style w:type="paragraph" w:customStyle="1" w:styleId="SDMTableBoxFigureFootnoteSL3FullPage">
    <w:name w:val="SDMTableBoxFigureFootnoteSL3FullPage"/>
    <w:basedOn w:val="SDMTableBoxFigureFootnoteSL3"/>
    <w:rsid w:val="00D767B7"/>
    <w:pPr>
      <w:numPr>
        <w:numId w:val="15"/>
      </w:numPr>
    </w:pPr>
  </w:style>
  <w:style w:type="paragraph" w:customStyle="1" w:styleId="SDMTableBoxFigureFootnoteSL4FullPage">
    <w:name w:val="SDMTableBoxFigureFootnoteSL4FullPage"/>
    <w:basedOn w:val="SDMTableBoxFigureFootnoteSL4"/>
    <w:rsid w:val="00D767B7"/>
    <w:pPr>
      <w:numPr>
        <w:numId w:val="15"/>
      </w:numPr>
    </w:pPr>
  </w:style>
  <w:style w:type="paragraph" w:customStyle="1" w:styleId="SDMTableBoxFigureFootnoteSL5FullPage">
    <w:name w:val="SDMTableBoxFigureFootnoteSL5FullPage"/>
    <w:basedOn w:val="SDMTableBoxFigureFootnoteSL5"/>
    <w:rsid w:val="00D767B7"/>
    <w:pPr>
      <w:numPr>
        <w:numId w:val="15"/>
      </w:numPr>
    </w:pPr>
  </w:style>
  <w:style w:type="numbering" w:customStyle="1" w:styleId="SDMTableBoxFigureFootnoteFullPageList">
    <w:name w:val="SDMTableBoxFigureFootnoteFullPageList"/>
    <w:uiPriority w:val="99"/>
    <w:rsid w:val="00DF48B4"/>
    <w:pPr>
      <w:numPr>
        <w:numId w:val="15"/>
      </w:numPr>
    </w:pPr>
  </w:style>
  <w:style w:type="table" w:styleId="TableGrid">
    <w:name w:val="Table Grid"/>
    <w:basedOn w:val="TableNormal"/>
    <w:uiPriority w:val="39"/>
    <w:rsid w:val="00337FA0"/>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TickBox">
    <w:name w:val="ParaTickBox"/>
    <w:basedOn w:val="Normal"/>
    <w:link w:val="ParaTickBoxChar"/>
    <w:rsid w:val="00337FA0"/>
    <w:pPr>
      <w:tabs>
        <w:tab w:val="left" w:pos="510"/>
      </w:tabs>
      <w:spacing w:before="60" w:after="60"/>
      <w:ind w:left="511" w:hanging="454"/>
      <w:jc w:val="left"/>
    </w:pPr>
    <w:rPr>
      <w:rFonts w:eastAsia="MS Mincho" w:cs="Arial"/>
      <w:sz w:val="20"/>
      <w:szCs w:val="18"/>
      <w:lang w:eastAsia="en-US"/>
    </w:rPr>
  </w:style>
  <w:style w:type="character" w:customStyle="1" w:styleId="ParaTickBoxChar">
    <w:name w:val="ParaTickBox Char"/>
    <w:link w:val="ParaTickBox"/>
    <w:rsid w:val="00337FA0"/>
    <w:rPr>
      <w:rFonts w:ascii="Arial" w:eastAsia="MS Mincho" w:hAnsi="Arial" w:cs="Arial"/>
      <w:szCs w:val="18"/>
      <w:lang w:eastAsia="en-US"/>
    </w:rPr>
  </w:style>
  <w:style w:type="character" w:styleId="CommentReference">
    <w:name w:val="annotation reference"/>
    <w:basedOn w:val="DefaultParagraphFont"/>
    <w:uiPriority w:val="99"/>
    <w:unhideWhenUsed/>
    <w:rsid w:val="001A40E5"/>
    <w:rPr>
      <w:sz w:val="16"/>
      <w:szCs w:val="16"/>
    </w:rPr>
  </w:style>
  <w:style w:type="paragraph" w:styleId="Revision">
    <w:name w:val="Revision"/>
    <w:hidden/>
    <w:uiPriority w:val="99"/>
    <w:semiHidden/>
    <w:rsid w:val="0007322C"/>
    <w:rPr>
      <w:rFonts w:ascii="Arial" w:hAnsi="Arial"/>
      <w:sz w:val="22"/>
      <w:lang w:eastAsia="de-DE"/>
    </w:rPr>
  </w:style>
  <w:style w:type="character" w:customStyle="1" w:styleId="CommentTextChar">
    <w:name w:val="Comment Text Char"/>
    <w:basedOn w:val="DefaultParagraphFont"/>
    <w:link w:val="CommentText"/>
    <w:uiPriority w:val="99"/>
    <w:rsid w:val="00A32B17"/>
    <w:rPr>
      <w:rFonts w:ascii="Arial" w:eastAsia="MS Mincho" w:hAnsi="Arial"/>
      <w:lang w:eastAsia="en-US"/>
    </w:rPr>
  </w:style>
  <w:style w:type="paragraph" w:customStyle="1" w:styleId="RegSectionLevel1">
    <w:name w:val="RegSectionLevel1"/>
    <w:basedOn w:val="Normal"/>
    <w:rsid w:val="007946BD"/>
    <w:pPr>
      <w:keepNext/>
      <w:numPr>
        <w:ilvl w:val="1"/>
        <w:numId w:val="19"/>
      </w:numPr>
      <w:tabs>
        <w:tab w:val="num" w:pos="360"/>
      </w:tabs>
      <w:spacing w:before="120"/>
      <w:ind w:left="1440" w:hanging="360"/>
      <w:outlineLvl w:val="0"/>
    </w:pPr>
    <w:rPr>
      <w:rFonts w:eastAsia="MS Mincho"/>
      <w:b/>
      <w:lang w:eastAsia="en-US"/>
    </w:rPr>
  </w:style>
  <w:style w:type="paragraph" w:customStyle="1" w:styleId="RegSectionLevel2">
    <w:name w:val="RegSectionLevel2"/>
    <w:basedOn w:val="Normal"/>
    <w:rsid w:val="007946BD"/>
    <w:pPr>
      <w:keepNext/>
      <w:numPr>
        <w:ilvl w:val="2"/>
        <w:numId w:val="19"/>
      </w:numPr>
    </w:pPr>
    <w:rPr>
      <w:b/>
      <w:szCs w:val="22"/>
    </w:rPr>
  </w:style>
  <w:style w:type="paragraph" w:customStyle="1" w:styleId="RegSectionLevel3">
    <w:name w:val="RegSectionLevel3"/>
    <w:basedOn w:val="Normal"/>
    <w:rsid w:val="007946BD"/>
    <w:pPr>
      <w:keepNext/>
      <w:numPr>
        <w:ilvl w:val="3"/>
        <w:numId w:val="19"/>
      </w:numPr>
      <w:autoSpaceDE w:val="0"/>
      <w:autoSpaceDN w:val="0"/>
      <w:adjustRightInd w:val="0"/>
      <w:ind w:left="2880" w:hanging="360"/>
    </w:pPr>
    <w:rPr>
      <w:b/>
      <w:bCs/>
      <w:szCs w:val="22"/>
      <w:lang w:val="en-US"/>
    </w:rPr>
  </w:style>
  <w:style w:type="paragraph" w:customStyle="1" w:styleId="RegSectionLevel4">
    <w:name w:val="RegSectionLevel4"/>
    <w:basedOn w:val="Normal"/>
    <w:rsid w:val="007946BD"/>
    <w:pPr>
      <w:keepNext/>
      <w:numPr>
        <w:ilvl w:val="4"/>
        <w:numId w:val="19"/>
      </w:numPr>
      <w:spacing w:after="120"/>
      <w:ind w:left="3600" w:hanging="360"/>
    </w:pPr>
    <w:rPr>
      <w:rFonts w:eastAsia="MS Mincho"/>
      <w:b/>
    </w:rPr>
  </w:style>
  <w:style w:type="paragraph" w:customStyle="1" w:styleId="RegSectionLevel5">
    <w:name w:val="RegSectionLevel5"/>
    <w:basedOn w:val="Normal"/>
    <w:rsid w:val="007946BD"/>
    <w:pPr>
      <w:keepNext/>
      <w:numPr>
        <w:ilvl w:val="5"/>
        <w:numId w:val="19"/>
      </w:numPr>
      <w:spacing w:after="120"/>
      <w:ind w:left="4320" w:hanging="360"/>
    </w:pPr>
    <w:rPr>
      <w:rFonts w:eastAsia="MS Mincho"/>
      <w:b/>
    </w:rPr>
  </w:style>
  <w:style w:type="paragraph" w:customStyle="1" w:styleId="RegSectionLevel6">
    <w:name w:val="RegSectionLevel6"/>
    <w:basedOn w:val="Normal"/>
    <w:rsid w:val="007946BD"/>
    <w:pPr>
      <w:keepNext/>
      <w:numPr>
        <w:ilvl w:val="6"/>
        <w:numId w:val="19"/>
      </w:numPr>
      <w:tabs>
        <w:tab w:val="num" w:pos="360"/>
      </w:tabs>
      <w:spacing w:after="120"/>
      <w:ind w:left="0" w:firstLine="0"/>
    </w:pPr>
    <w:rPr>
      <w:rFonts w:eastAsia="MS Mincho"/>
      <w:b/>
    </w:rPr>
  </w:style>
  <w:style w:type="paragraph" w:customStyle="1" w:styleId="RegSectionLevel7">
    <w:name w:val="RegSectionLevel7"/>
    <w:basedOn w:val="Normal"/>
    <w:rsid w:val="007946BD"/>
    <w:pPr>
      <w:keepNext/>
      <w:numPr>
        <w:ilvl w:val="7"/>
        <w:numId w:val="19"/>
      </w:numPr>
      <w:tabs>
        <w:tab w:val="num" w:pos="360"/>
      </w:tabs>
      <w:spacing w:after="120"/>
      <w:ind w:left="5760" w:hanging="360"/>
    </w:pPr>
    <w:rPr>
      <w:rFonts w:eastAsia="MS Mincho"/>
      <w:b/>
    </w:rPr>
  </w:style>
  <w:style w:type="paragraph" w:customStyle="1" w:styleId="RegSectionLevel8">
    <w:name w:val="RegSectionLevel8"/>
    <w:basedOn w:val="Normal"/>
    <w:rsid w:val="007946BD"/>
    <w:pPr>
      <w:keepNext/>
      <w:numPr>
        <w:ilvl w:val="8"/>
        <w:numId w:val="19"/>
      </w:numPr>
      <w:tabs>
        <w:tab w:val="num" w:pos="360"/>
      </w:tabs>
      <w:spacing w:after="120"/>
      <w:ind w:left="6480" w:hanging="360"/>
    </w:pPr>
    <w:rPr>
      <w:rFonts w:eastAsia="MS Mincho"/>
      <w:b/>
    </w:rPr>
  </w:style>
  <w:style w:type="paragraph" w:customStyle="1" w:styleId="PartTitleBox">
    <w:name w:val="PartTitleBox"/>
    <w:basedOn w:val="Normal"/>
    <w:rsid w:val="007946BD"/>
    <w:pPr>
      <w:keepNext/>
      <w:keepLines/>
      <w:numPr>
        <w:numId w:val="19"/>
      </w:numPr>
      <w:pBdr>
        <w:top w:val="single" w:sz="4" w:space="1" w:color="auto"/>
        <w:left w:val="single" w:sz="4" w:space="1" w:color="auto"/>
        <w:bottom w:val="single" w:sz="4" w:space="1" w:color="auto"/>
        <w:right w:val="single" w:sz="4" w:space="1" w:color="auto"/>
      </w:pBdr>
      <w:shd w:val="clear" w:color="auto" w:fill="D9D9D9"/>
      <w:tabs>
        <w:tab w:val="num" w:pos="360"/>
      </w:tabs>
      <w:ind w:left="720" w:right="57" w:hanging="360"/>
      <w:jc w:val="center"/>
      <w:outlineLvl w:val="0"/>
    </w:pPr>
    <w:rPr>
      <w:rFonts w:ascii="Times New Roman Bold" w:hAnsi="Times New Roman Bold"/>
      <w:b/>
      <w:u w:val="dash"/>
    </w:rPr>
  </w:style>
  <w:style w:type="paragraph" w:customStyle="1" w:styleId="Default">
    <w:name w:val="Default"/>
    <w:rsid w:val="002F5B60"/>
    <w:pPr>
      <w:autoSpaceDE w:val="0"/>
      <w:autoSpaceDN w:val="0"/>
      <w:adjustRightInd w:val="0"/>
    </w:pPr>
    <w:rPr>
      <w:rFonts w:ascii="Arial" w:hAnsi="Arial" w:cs="Arial"/>
      <w:color w:val="000000"/>
      <w:sz w:val="24"/>
      <w:szCs w:val="24"/>
      <w:lang w:val="en-US"/>
    </w:rPr>
  </w:style>
  <w:style w:type="paragraph" w:customStyle="1" w:styleId="SectionTitle">
    <w:name w:val="SectionTitle"/>
    <w:basedOn w:val="Normal"/>
    <w:rsid w:val="00277C18"/>
    <w:pPr>
      <w:keepNext/>
      <w:numPr>
        <w:numId w:val="21"/>
      </w:numPr>
      <w:spacing w:before="120" w:after="120"/>
      <w:jc w:val="center"/>
    </w:pPr>
    <w:rPr>
      <w:rFonts w:eastAsia="MS Mincho" w:cs="Arial"/>
      <w:b/>
      <w:bCs/>
      <w:smallCaps/>
      <w:sz w:val="20"/>
      <w:szCs w:val="24"/>
      <w:lang w:eastAsia="en-US"/>
    </w:rPr>
  </w:style>
  <w:style w:type="paragraph" w:customStyle="1" w:styleId="SubSectionTitle">
    <w:name w:val="SubSectionTitle"/>
    <w:basedOn w:val="Normal"/>
    <w:link w:val="SubSectionTitleChar"/>
    <w:rsid w:val="00277C18"/>
    <w:pPr>
      <w:keepNext/>
      <w:keepLines/>
      <w:numPr>
        <w:ilvl w:val="1"/>
        <w:numId w:val="21"/>
      </w:numPr>
      <w:tabs>
        <w:tab w:val="clear" w:pos="0"/>
        <w:tab w:val="num" w:pos="397"/>
      </w:tabs>
      <w:spacing w:before="120" w:after="120"/>
      <w:ind w:left="397" w:hanging="340"/>
      <w:jc w:val="left"/>
    </w:pPr>
    <w:rPr>
      <w:rFonts w:eastAsia="MS Mincho" w:cs="Arial"/>
      <w:b/>
      <w:bCs/>
      <w:iCs/>
      <w:sz w:val="20"/>
      <w:szCs w:val="24"/>
      <w:lang w:eastAsia="en-US"/>
    </w:rPr>
  </w:style>
  <w:style w:type="paragraph" w:customStyle="1" w:styleId="TitleForm">
    <w:name w:val="TitleForm"/>
    <w:basedOn w:val="Normal"/>
    <w:rsid w:val="00277C18"/>
    <w:pPr>
      <w:ind w:left="1077"/>
      <w:jc w:val="center"/>
    </w:pPr>
    <w:rPr>
      <w:rFonts w:eastAsia="MS Mincho" w:cs="Arial"/>
      <w:b/>
      <w:sz w:val="24"/>
      <w:szCs w:val="24"/>
      <w:lang w:eastAsia="en-US"/>
    </w:rPr>
  </w:style>
  <w:style w:type="paragraph" w:customStyle="1" w:styleId="RegLeftInstructionCell">
    <w:name w:val="RegLeftInstructionCell"/>
    <w:basedOn w:val="Normal"/>
    <w:link w:val="RegLeftInstructionCellChar"/>
    <w:rsid w:val="00277C18"/>
    <w:pPr>
      <w:spacing w:before="120" w:after="120"/>
      <w:ind w:left="57"/>
      <w:jc w:val="left"/>
    </w:pPr>
    <w:rPr>
      <w:rFonts w:eastAsia="MS Mincho" w:cs="Arial"/>
      <w:b/>
      <w:sz w:val="20"/>
      <w:szCs w:val="18"/>
      <w:lang w:eastAsia="en-US"/>
    </w:rPr>
  </w:style>
  <w:style w:type="paragraph" w:customStyle="1" w:styleId="RegTypePara">
    <w:name w:val="RegTypePara"/>
    <w:basedOn w:val="Normal"/>
    <w:link w:val="RegTypeParaChar"/>
    <w:rsid w:val="00277C18"/>
    <w:pPr>
      <w:spacing w:before="120"/>
      <w:ind w:left="57"/>
      <w:jc w:val="left"/>
    </w:pPr>
    <w:rPr>
      <w:rFonts w:eastAsia="MS Mincho" w:cs="Arial"/>
      <w:sz w:val="20"/>
      <w:szCs w:val="18"/>
      <w:lang w:eastAsia="en-US"/>
    </w:rPr>
  </w:style>
  <w:style w:type="character" w:customStyle="1" w:styleId="RegTypeParaChar">
    <w:name w:val="RegTypePara Char"/>
    <w:link w:val="RegTypePara"/>
    <w:rsid w:val="00277C18"/>
    <w:rPr>
      <w:rFonts w:ascii="Arial" w:eastAsia="MS Mincho" w:hAnsi="Arial" w:cs="Arial"/>
      <w:szCs w:val="18"/>
      <w:lang w:eastAsia="en-US"/>
    </w:rPr>
  </w:style>
  <w:style w:type="character" w:customStyle="1" w:styleId="RegLeftInstructionCellChar">
    <w:name w:val="RegLeftInstructionCell Char"/>
    <w:link w:val="RegLeftInstructionCell"/>
    <w:rsid w:val="00277C18"/>
    <w:rPr>
      <w:rFonts w:ascii="Arial" w:eastAsia="MS Mincho" w:hAnsi="Arial" w:cs="Arial"/>
      <w:b/>
      <w:szCs w:val="18"/>
      <w:lang w:eastAsia="en-US"/>
    </w:rPr>
  </w:style>
  <w:style w:type="paragraph" w:customStyle="1" w:styleId="SDMPDDPoASection">
    <w:name w:val="SDMPDD&amp;PoASection"/>
    <w:basedOn w:val="Normal"/>
    <w:qFormat/>
    <w:rsid w:val="00074232"/>
    <w:pPr>
      <w:keepNext/>
      <w:keepLines/>
      <w:tabs>
        <w:tab w:val="left" w:pos="1729"/>
      </w:tabs>
      <w:suppressAutoHyphens/>
      <w:spacing w:before="240" w:after="60"/>
      <w:ind w:left="1418" w:hanging="1418"/>
      <w:outlineLvl w:val="1"/>
    </w:pPr>
    <w:rPr>
      <w:rFonts w:cs="Arial"/>
      <w:b/>
      <w:sz w:val="24"/>
      <w:szCs w:val="24"/>
    </w:rPr>
  </w:style>
  <w:style w:type="paragraph" w:customStyle="1" w:styleId="SymbolForm">
    <w:name w:val="SymbolForm"/>
    <w:basedOn w:val="Normal"/>
    <w:rsid w:val="0038630A"/>
    <w:pPr>
      <w:jc w:val="right"/>
    </w:pPr>
    <w:rPr>
      <w:rFonts w:eastAsia="MS Mincho" w:cs="Arial"/>
      <w:b/>
      <w:bCs/>
      <w:sz w:val="24"/>
      <w:szCs w:val="24"/>
      <w:lang w:eastAsia="en-US"/>
    </w:rPr>
  </w:style>
  <w:style w:type="character" w:styleId="PageNumber">
    <w:name w:val="page number"/>
    <w:basedOn w:val="DefaultParagraphFont"/>
    <w:rsid w:val="008E5A47"/>
  </w:style>
  <w:style w:type="paragraph" w:customStyle="1" w:styleId="FooterF">
    <w:name w:val="FooterF"/>
    <w:basedOn w:val="Footer"/>
    <w:rsid w:val="008E5A47"/>
    <w:pPr>
      <w:tabs>
        <w:tab w:val="clear" w:pos="4320"/>
        <w:tab w:val="clear" w:pos="8640"/>
        <w:tab w:val="right" w:pos="9639"/>
      </w:tabs>
      <w:ind w:right="-1"/>
      <w:jc w:val="left"/>
    </w:pPr>
    <w:rPr>
      <w:rFonts w:eastAsia="MS Mincho" w:cs="Arial"/>
      <w:b/>
      <w:sz w:val="24"/>
      <w:szCs w:val="24"/>
      <w:lang w:val="en-US" w:eastAsia="en-US"/>
    </w:rPr>
  </w:style>
  <w:style w:type="character" w:styleId="Mention">
    <w:name w:val="Mention"/>
    <w:basedOn w:val="DefaultParagraphFont"/>
    <w:uiPriority w:val="99"/>
    <w:unhideWhenUsed/>
    <w:rsid w:val="00B70A5D"/>
    <w:rPr>
      <w:color w:val="2B579A"/>
      <w:shd w:val="clear" w:color="auto" w:fill="E1DFDD"/>
    </w:rPr>
  </w:style>
  <w:style w:type="paragraph" w:styleId="NormalWeb">
    <w:name w:val="Normal (Web)"/>
    <w:basedOn w:val="Normal"/>
    <w:uiPriority w:val="99"/>
    <w:unhideWhenUsed/>
    <w:rsid w:val="00B70A5D"/>
    <w:pPr>
      <w:spacing w:before="100" w:beforeAutospacing="1" w:after="100" w:afterAutospacing="1"/>
      <w:jc w:val="left"/>
    </w:pPr>
    <w:rPr>
      <w:rFonts w:ascii="Times New Roman" w:hAnsi="Times New Roman"/>
      <w:sz w:val="24"/>
      <w:szCs w:val="24"/>
      <w:lang w:val="en-US" w:eastAsia="en-US"/>
    </w:rPr>
  </w:style>
  <w:style w:type="paragraph" w:styleId="Title">
    <w:name w:val="Title"/>
    <w:basedOn w:val="Normal"/>
    <w:next w:val="Normal"/>
    <w:link w:val="TitleChar"/>
    <w:uiPriority w:val="10"/>
    <w:qFormat/>
    <w:rsid w:val="005B411E"/>
    <w:pPr>
      <w:keepNext/>
      <w:keepLines/>
      <w:spacing w:before="480" w:after="120"/>
      <w:jc w:val="left"/>
    </w:pPr>
    <w:rPr>
      <w:rFonts w:ascii="Times New Roman" w:hAnsi="Times New Roman"/>
      <w:b/>
      <w:sz w:val="72"/>
      <w:szCs w:val="72"/>
      <w:lang w:eastAsia="en-US"/>
    </w:rPr>
  </w:style>
  <w:style w:type="character" w:customStyle="1" w:styleId="TitleChar">
    <w:name w:val="Title Char"/>
    <w:basedOn w:val="DefaultParagraphFont"/>
    <w:link w:val="Title"/>
    <w:uiPriority w:val="10"/>
    <w:rsid w:val="005B411E"/>
    <w:rPr>
      <w:b/>
      <w:sz w:val="72"/>
      <w:szCs w:val="72"/>
      <w:lang w:eastAsia="en-US"/>
    </w:rPr>
  </w:style>
  <w:style w:type="paragraph" w:customStyle="1" w:styleId="RegHead1">
    <w:name w:val="RegHead1"/>
    <w:basedOn w:val="Normal"/>
    <w:next w:val="RegHead2"/>
    <w:rsid w:val="005B411E"/>
    <w:pPr>
      <w:keepNext/>
      <w:spacing w:before="180"/>
      <w:ind w:left="720" w:hanging="360"/>
      <w:jc w:val="center"/>
    </w:pPr>
    <w:rPr>
      <w:rFonts w:ascii="Times New Roman" w:hAnsi="Times New Roman"/>
      <w:b/>
      <w:sz w:val="28"/>
      <w:szCs w:val="24"/>
      <w:lang w:eastAsia="en-US"/>
    </w:rPr>
  </w:style>
  <w:style w:type="paragraph" w:customStyle="1" w:styleId="RegHead2">
    <w:name w:val="RegHead2"/>
    <w:basedOn w:val="Normal"/>
    <w:next w:val="RegHead3"/>
    <w:rsid w:val="005B411E"/>
    <w:pPr>
      <w:keepNext/>
      <w:spacing w:before="180"/>
      <w:ind w:left="1440" w:hanging="360"/>
      <w:jc w:val="center"/>
    </w:pPr>
    <w:rPr>
      <w:rFonts w:ascii="Times New Roman" w:hAnsi="Times New Roman"/>
      <w:b/>
      <w:sz w:val="24"/>
      <w:szCs w:val="24"/>
      <w:lang w:eastAsia="en-US"/>
    </w:rPr>
  </w:style>
  <w:style w:type="character" w:customStyle="1" w:styleId="HeaderChar">
    <w:name w:val="Header Char"/>
    <w:basedOn w:val="DefaultParagraphFont"/>
    <w:link w:val="Header"/>
    <w:rsid w:val="005B411E"/>
    <w:rPr>
      <w:rFonts w:ascii="Arial" w:hAnsi="Arial"/>
      <w:sz w:val="22"/>
      <w:lang w:eastAsia="de-DE"/>
    </w:rPr>
  </w:style>
  <w:style w:type="character" w:customStyle="1" w:styleId="FooterChar">
    <w:name w:val="Footer Char"/>
    <w:basedOn w:val="DefaultParagraphFont"/>
    <w:link w:val="Footer"/>
    <w:uiPriority w:val="99"/>
    <w:rsid w:val="005B411E"/>
    <w:rPr>
      <w:rFonts w:ascii="Arial" w:hAnsi="Arial"/>
      <w:sz w:val="22"/>
      <w:lang w:eastAsia="de-DE"/>
    </w:rPr>
  </w:style>
  <w:style w:type="paragraph" w:customStyle="1" w:styleId="HeadLevel3">
    <w:name w:val="HeadLevel3"/>
    <w:basedOn w:val="Normal"/>
    <w:autoRedefine/>
    <w:rsid w:val="005B411E"/>
    <w:pPr>
      <w:jc w:val="center"/>
    </w:pPr>
    <w:rPr>
      <w:rFonts w:ascii="Times New Roman" w:hAnsi="Times New Roman"/>
      <w:b/>
      <w:bCs/>
      <w:sz w:val="24"/>
      <w:szCs w:val="24"/>
      <w:lang w:eastAsia="en-US"/>
    </w:rPr>
  </w:style>
  <w:style w:type="paragraph" w:customStyle="1" w:styleId="RegHead3">
    <w:name w:val="RegHead3"/>
    <w:basedOn w:val="Normal"/>
    <w:next w:val="Normal"/>
    <w:rsid w:val="005B411E"/>
    <w:pPr>
      <w:spacing w:before="180"/>
      <w:ind w:left="2160" w:hanging="360"/>
      <w:jc w:val="center"/>
    </w:pPr>
    <w:rPr>
      <w:rFonts w:ascii="Times New Roman" w:hAnsi="Times New Roman"/>
      <w:sz w:val="24"/>
      <w:szCs w:val="24"/>
      <w:u w:val="single"/>
      <w:lang w:eastAsia="en-US"/>
    </w:rPr>
  </w:style>
  <w:style w:type="character" w:customStyle="1" w:styleId="CommentSubjectChar">
    <w:name w:val="Comment Subject Char"/>
    <w:basedOn w:val="CommentTextChar"/>
    <w:link w:val="CommentSubject"/>
    <w:uiPriority w:val="99"/>
    <w:rsid w:val="005B411E"/>
    <w:rPr>
      <w:rFonts w:ascii="Arial" w:eastAsia="MS Mincho" w:hAnsi="Arial"/>
      <w:b/>
      <w:bCs/>
      <w:lang w:eastAsia="de-DE"/>
    </w:rPr>
  </w:style>
  <w:style w:type="paragraph" w:customStyle="1" w:styleId="AgendaItem">
    <w:name w:val="AgendaItem"/>
    <w:basedOn w:val="Normal"/>
    <w:autoRedefine/>
    <w:rsid w:val="005B411E"/>
    <w:pPr>
      <w:jc w:val="left"/>
    </w:pPr>
    <w:rPr>
      <w:rFonts w:ascii="Times New Roman" w:hAnsi="Times New Roman"/>
      <w:b/>
      <w:sz w:val="20"/>
      <w:szCs w:val="24"/>
      <w:lang w:eastAsia="en-US"/>
    </w:rPr>
  </w:style>
  <w:style w:type="paragraph" w:customStyle="1" w:styleId="MainTitle">
    <w:name w:val="MainTitle"/>
    <w:basedOn w:val="Normal"/>
    <w:rsid w:val="005B411E"/>
    <w:pPr>
      <w:jc w:val="center"/>
    </w:pPr>
    <w:rPr>
      <w:rFonts w:ascii="Times New Roman" w:hAnsi="Times New Roman"/>
      <w:b/>
      <w:sz w:val="28"/>
      <w:szCs w:val="24"/>
      <w:lang w:eastAsia="en-US"/>
    </w:rPr>
  </w:style>
  <w:style w:type="paragraph" w:customStyle="1" w:styleId="NoteSecretariat">
    <w:name w:val="NoteSecretariat"/>
    <w:basedOn w:val="Normal"/>
    <w:rsid w:val="005B411E"/>
    <w:pPr>
      <w:jc w:val="center"/>
    </w:pPr>
    <w:rPr>
      <w:rFonts w:ascii="Times New Roman" w:hAnsi="Times New Roman"/>
      <w:b/>
      <w:sz w:val="24"/>
      <w:szCs w:val="24"/>
      <w:lang w:eastAsia="en-US"/>
    </w:rPr>
  </w:style>
  <w:style w:type="paragraph" w:customStyle="1" w:styleId="FootnoteTable">
    <w:name w:val="FootnoteTable"/>
    <w:rsid w:val="005B411E"/>
    <w:pPr>
      <w:ind w:left="720" w:hanging="360"/>
    </w:pPr>
    <w:rPr>
      <w:sz w:val="16"/>
      <w:szCs w:val="24"/>
      <w:lang w:eastAsia="en-US"/>
    </w:rPr>
  </w:style>
  <w:style w:type="character" w:styleId="FollowedHyperlink">
    <w:name w:val="FollowedHyperlink"/>
    <w:rsid w:val="005B411E"/>
    <w:rPr>
      <w:color w:val="800080"/>
      <w:u w:val="single"/>
    </w:rPr>
  </w:style>
  <w:style w:type="paragraph" w:customStyle="1" w:styleId="AnnexTitle">
    <w:name w:val="AnnexTitle"/>
    <w:basedOn w:val="Normal"/>
    <w:rsid w:val="005B411E"/>
    <w:pPr>
      <w:keepNext/>
      <w:pageBreakBefore/>
      <w:jc w:val="center"/>
    </w:pPr>
    <w:rPr>
      <w:b/>
      <w:sz w:val="24"/>
      <w:szCs w:val="24"/>
      <w:lang w:eastAsia="en-US"/>
    </w:rPr>
  </w:style>
  <w:style w:type="paragraph" w:customStyle="1" w:styleId="AnnexIntroText">
    <w:name w:val="AnnexIntroText"/>
    <w:basedOn w:val="Normal"/>
    <w:rsid w:val="005B411E"/>
    <w:pPr>
      <w:keepNext/>
      <w:spacing w:before="120" w:after="120"/>
      <w:jc w:val="left"/>
    </w:pPr>
    <w:rPr>
      <w:b/>
      <w:sz w:val="20"/>
      <w:szCs w:val="24"/>
      <w:lang w:eastAsia="en-US"/>
    </w:rPr>
  </w:style>
  <w:style w:type="paragraph" w:customStyle="1" w:styleId="AddRows">
    <w:name w:val="AddRows"/>
    <w:basedOn w:val="Normal"/>
    <w:rsid w:val="005B411E"/>
    <w:pPr>
      <w:spacing w:before="60" w:after="60"/>
      <w:jc w:val="left"/>
    </w:pPr>
    <w:rPr>
      <w:rFonts w:cs="Arial"/>
      <w:i/>
      <w:sz w:val="20"/>
      <w:szCs w:val="18"/>
      <w:lang w:eastAsia="en-US"/>
    </w:rPr>
  </w:style>
  <w:style w:type="paragraph" w:customStyle="1" w:styleId="FooterForm">
    <w:name w:val="FooterForm"/>
    <w:basedOn w:val="Footer"/>
    <w:rsid w:val="005B411E"/>
    <w:pPr>
      <w:spacing w:before="180"/>
      <w:jc w:val="left"/>
    </w:pPr>
    <w:rPr>
      <w:rFonts w:ascii="Times New Roman" w:hAnsi="Times New Roman"/>
      <w:sz w:val="24"/>
      <w:szCs w:val="24"/>
      <w:lang w:eastAsia="en-US"/>
    </w:rPr>
  </w:style>
  <w:style w:type="character" w:customStyle="1" w:styleId="SubSectionTitleChar">
    <w:name w:val="SubSectionTitle Char"/>
    <w:link w:val="SubSectionTitle"/>
    <w:rsid w:val="005B411E"/>
    <w:rPr>
      <w:rFonts w:ascii="Arial" w:eastAsia="MS Mincho" w:hAnsi="Arial" w:cs="Arial"/>
      <w:b/>
      <w:bCs/>
      <w:iCs/>
      <w:szCs w:val="24"/>
      <w:lang w:eastAsia="en-US"/>
    </w:rPr>
  </w:style>
  <w:style w:type="paragraph" w:customStyle="1" w:styleId="LeftCellTickBox">
    <w:name w:val="LeftCellTickBox"/>
    <w:basedOn w:val="Normal"/>
    <w:rsid w:val="005B411E"/>
    <w:pPr>
      <w:keepNext/>
      <w:spacing w:before="60" w:after="60"/>
      <w:ind w:left="57"/>
      <w:jc w:val="center"/>
    </w:pPr>
    <w:rPr>
      <w:bCs/>
      <w:sz w:val="20"/>
      <w:szCs w:val="24"/>
      <w:lang w:eastAsia="en-US"/>
    </w:rPr>
  </w:style>
  <w:style w:type="paragraph" w:customStyle="1" w:styleId="EnumaratedItem">
    <w:name w:val="EnumaratedItem"/>
    <w:basedOn w:val="Normal"/>
    <w:autoRedefine/>
    <w:rsid w:val="005B411E"/>
    <w:pPr>
      <w:keepNext/>
      <w:widowControl w:val="0"/>
      <w:spacing w:before="120" w:after="120"/>
      <w:ind w:left="57"/>
      <w:jc w:val="left"/>
    </w:pPr>
    <w:rPr>
      <w:rFonts w:ascii="Segoe UI" w:hAnsi="Segoe UI" w:cs="Segoe UI"/>
      <w:b/>
      <w:color w:val="374151"/>
      <w:sz w:val="20"/>
      <w:szCs w:val="24"/>
      <w:lang w:eastAsia="en-US"/>
    </w:rPr>
  </w:style>
  <w:style w:type="paragraph" w:customStyle="1" w:styleId="RegInstructionText">
    <w:name w:val="RegInstructionText"/>
    <w:basedOn w:val="Normal"/>
    <w:link w:val="RegInstructionTextChar"/>
    <w:rsid w:val="005B411E"/>
    <w:pPr>
      <w:tabs>
        <w:tab w:val="left" w:pos="510"/>
      </w:tabs>
      <w:spacing w:before="60" w:after="60"/>
      <w:ind w:left="57"/>
      <w:jc w:val="left"/>
    </w:pPr>
    <w:rPr>
      <w:rFonts w:cs="Arial"/>
      <w:i/>
      <w:sz w:val="20"/>
      <w:szCs w:val="18"/>
      <w:lang w:eastAsia="en-US"/>
    </w:rPr>
  </w:style>
  <w:style w:type="character" w:customStyle="1" w:styleId="RegInstructionTextChar">
    <w:name w:val="RegInstructionText Char"/>
    <w:link w:val="RegInstructionText"/>
    <w:rsid w:val="005B411E"/>
    <w:rPr>
      <w:rFonts w:ascii="Arial" w:hAnsi="Arial" w:cs="Arial"/>
      <w:i/>
      <w:szCs w:val="18"/>
      <w:lang w:eastAsia="en-US"/>
    </w:rPr>
  </w:style>
  <w:style w:type="paragraph" w:customStyle="1" w:styleId="HistoryBoxTitle">
    <w:name w:val="HistoryBoxTitle"/>
    <w:basedOn w:val="Heading4"/>
    <w:rsid w:val="005B411E"/>
    <w:pPr>
      <w:keepLines w:val="0"/>
      <w:spacing w:before="0"/>
      <w:ind w:left="0" w:firstLine="0"/>
      <w:jc w:val="center"/>
    </w:pPr>
    <w:rPr>
      <w:rFonts w:ascii="Times New Roman" w:eastAsia="Times New Roman" w:hAnsi="Times New Roman" w:cs="Times New Roman"/>
      <w:i w:val="0"/>
      <w:iCs w:val="0"/>
      <w:color w:val="auto"/>
      <w:sz w:val="18"/>
      <w:szCs w:val="18"/>
      <w:lang w:val="en-GB"/>
    </w:rPr>
  </w:style>
  <w:style w:type="paragraph" w:customStyle="1" w:styleId="RegFormPara">
    <w:name w:val="RegFormPara"/>
    <w:basedOn w:val="Normal"/>
    <w:link w:val="RegFormParaChar"/>
    <w:rsid w:val="005B411E"/>
    <w:pPr>
      <w:tabs>
        <w:tab w:val="left" w:pos="510"/>
      </w:tabs>
      <w:spacing w:before="60" w:after="60"/>
      <w:ind w:left="57"/>
      <w:jc w:val="left"/>
    </w:pPr>
    <w:rPr>
      <w:rFonts w:cs="Arial"/>
      <w:sz w:val="20"/>
      <w:szCs w:val="18"/>
      <w:lang w:eastAsia="en-US"/>
    </w:rPr>
  </w:style>
  <w:style w:type="paragraph" w:customStyle="1" w:styleId="SecondLevelParaTickBox">
    <w:name w:val="SecondLevelParaTickBox"/>
    <w:basedOn w:val="ParaTickBox"/>
    <w:rsid w:val="005B411E"/>
    <w:pPr>
      <w:keepLines/>
      <w:tabs>
        <w:tab w:val="clear" w:pos="510"/>
        <w:tab w:val="left" w:pos="794"/>
      </w:tabs>
      <w:ind w:left="794"/>
    </w:pPr>
    <w:rPr>
      <w:rFonts w:eastAsia="Times New Roman"/>
    </w:rPr>
  </w:style>
  <w:style w:type="paragraph" w:customStyle="1" w:styleId="BulletedItem">
    <w:name w:val="BulletedItem"/>
    <w:basedOn w:val="EnumaratedItem"/>
    <w:rsid w:val="005B411E"/>
    <w:pPr>
      <w:keepNext w:val="0"/>
      <w:ind w:left="681" w:hanging="397"/>
    </w:pPr>
  </w:style>
  <w:style w:type="paragraph" w:customStyle="1" w:styleId="autofill">
    <w:name w:val="autofill"/>
    <w:basedOn w:val="Normal"/>
    <w:rsid w:val="005B411E"/>
    <w:pPr>
      <w:jc w:val="center"/>
    </w:pPr>
    <w:rPr>
      <w:rFonts w:cs="Arial"/>
      <w:b/>
      <w:bCs/>
      <w:i/>
      <w:iCs/>
      <w:color w:val="808080"/>
      <w:sz w:val="20"/>
      <w:szCs w:val="24"/>
      <w:lang w:eastAsia="en-US"/>
    </w:rPr>
  </w:style>
  <w:style w:type="paragraph" w:customStyle="1" w:styleId="OutlineNumb">
    <w:name w:val="OutlineNumb"/>
    <w:basedOn w:val="EnumaratedItem"/>
    <w:autoRedefine/>
    <w:rsid w:val="005B411E"/>
    <w:pPr>
      <w:keepNext w:val="0"/>
      <w:ind w:left="738" w:hanging="454"/>
    </w:pPr>
  </w:style>
  <w:style w:type="paragraph" w:customStyle="1" w:styleId="StyleEnumaratedItemBold">
    <w:name w:val="Style EnumaratedItem + Bold"/>
    <w:basedOn w:val="EnumaratedItem"/>
    <w:rsid w:val="005B411E"/>
    <w:rPr>
      <w:b w:val="0"/>
    </w:rPr>
  </w:style>
  <w:style w:type="paragraph" w:customStyle="1" w:styleId="FootnoteForm">
    <w:name w:val="FootnoteForm"/>
    <w:basedOn w:val="FootnoteText"/>
    <w:rsid w:val="005B411E"/>
    <w:pPr>
      <w:keepLines w:val="0"/>
      <w:numPr>
        <w:numId w:val="0"/>
      </w:numPr>
      <w:spacing w:before="180" w:after="0"/>
      <w:ind w:left="113" w:hanging="113"/>
      <w:jc w:val="left"/>
    </w:pPr>
    <w:rPr>
      <w:rFonts w:cs="Arial"/>
      <w:sz w:val="17"/>
      <w:szCs w:val="17"/>
      <w:lang w:val="de-DE" w:eastAsia="en-US"/>
    </w:rPr>
  </w:style>
  <w:style w:type="paragraph" w:customStyle="1" w:styleId="RegInstrBox">
    <w:name w:val="RegInstrBox"/>
    <w:basedOn w:val="RegInstructionText"/>
    <w:rsid w:val="005B411E"/>
    <w:pPr>
      <w:keepNext/>
    </w:pPr>
  </w:style>
  <w:style w:type="paragraph" w:customStyle="1" w:styleId="OutL1">
    <w:name w:val="OutL1"/>
    <w:basedOn w:val="RegFormPara"/>
    <w:rsid w:val="005B411E"/>
    <w:pPr>
      <w:tabs>
        <w:tab w:val="clear" w:pos="510"/>
        <w:tab w:val="left" w:pos="284"/>
      </w:tabs>
      <w:ind w:left="284" w:hanging="227"/>
    </w:pPr>
    <w:rPr>
      <w:b/>
    </w:rPr>
  </w:style>
  <w:style w:type="paragraph" w:customStyle="1" w:styleId="OutL2">
    <w:name w:val="OutL2"/>
    <w:basedOn w:val="RegFormPara"/>
    <w:rsid w:val="005B411E"/>
    <w:pPr>
      <w:tabs>
        <w:tab w:val="clear" w:pos="510"/>
        <w:tab w:val="left" w:pos="340"/>
      </w:tabs>
      <w:ind w:left="737" w:hanging="567"/>
    </w:pPr>
    <w:rPr>
      <w:b/>
    </w:rPr>
  </w:style>
  <w:style w:type="paragraph" w:customStyle="1" w:styleId="OutL3">
    <w:name w:val="OutL3"/>
    <w:basedOn w:val="RegFormPara"/>
    <w:rsid w:val="005B411E"/>
    <w:pPr>
      <w:tabs>
        <w:tab w:val="clear" w:pos="510"/>
        <w:tab w:val="left" w:pos="227"/>
      </w:tabs>
      <w:ind w:left="738" w:hanging="454"/>
    </w:pPr>
  </w:style>
  <w:style w:type="paragraph" w:customStyle="1" w:styleId="OutL4">
    <w:name w:val="OutL4"/>
    <w:basedOn w:val="RegFormPara"/>
    <w:rsid w:val="005B411E"/>
    <w:pPr>
      <w:tabs>
        <w:tab w:val="clear" w:pos="510"/>
        <w:tab w:val="left" w:pos="964"/>
      </w:tabs>
      <w:ind w:left="964" w:hanging="227"/>
    </w:pPr>
  </w:style>
  <w:style w:type="paragraph" w:customStyle="1" w:styleId="OutL5">
    <w:name w:val="OutL5"/>
    <w:basedOn w:val="Normal"/>
    <w:rsid w:val="005B411E"/>
    <w:pPr>
      <w:tabs>
        <w:tab w:val="left" w:pos="1134"/>
      </w:tabs>
      <w:ind w:left="1191" w:hanging="227"/>
      <w:jc w:val="left"/>
    </w:pPr>
    <w:rPr>
      <w:rFonts w:cs="Arial"/>
      <w:sz w:val="20"/>
      <w:szCs w:val="24"/>
      <w:lang w:eastAsia="en-US"/>
    </w:rPr>
  </w:style>
  <w:style w:type="paragraph" w:customStyle="1" w:styleId="SDMPDDPoAPart">
    <w:name w:val="SDMPDD&amp;PoAPart"/>
    <w:basedOn w:val="Normal"/>
    <w:qFormat/>
    <w:rsid w:val="005B411E"/>
    <w:pPr>
      <w:keepNext/>
      <w:keepLines/>
      <w:tabs>
        <w:tab w:val="num" w:pos="720"/>
        <w:tab w:val="left" w:pos="1729"/>
      </w:tabs>
      <w:suppressAutoHyphens/>
      <w:spacing w:before="680" w:after="320"/>
      <w:ind w:left="1707" w:right="709" w:hanging="1707"/>
      <w:outlineLvl w:val="0"/>
    </w:pPr>
    <w:rPr>
      <w:rFonts w:cs="Arial"/>
      <w:b/>
      <w:sz w:val="28"/>
      <w:szCs w:val="24"/>
    </w:rPr>
  </w:style>
  <w:style w:type="numbering" w:customStyle="1" w:styleId="SDMPDDPoASectionList">
    <w:name w:val="SDMPDD&amp;PoASectionList"/>
    <w:uiPriority w:val="99"/>
    <w:rsid w:val="005B411E"/>
  </w:style>
  <w:style w:type="paragraph" w:customStyle="1" w:styleId="SDMPDDPoASubSection1">
    <w:name w:val="SDMPDD&amp;PoASubSection1"/>
    <w:basedOn w:val="Normal"/>
    <w:qFormat/>
    <w:rsid w:val="005B411E"/>
    <w:pPr>
      <w:keepNext/>
      <w:keepLines/>
      <w:tabs>
        <w:tab w:val="left" w:pos="1474"/>
        <w:tab w:val="num" w:pos="2160"/>
      </w:tabs>
      <w:suppressAutoHyphens/>
      <w:spacing w:before="240" w:after="60"/>
      <w:ind w:left="2160" w:hanging="720"/>
      <w:outlineLvl w:val="2"/>
    </w:pPr>
    <w:rPr>
      <w:rFonts w:cs="Arial"/>
      <w:b/>
      <w:szCs w:val="24"/>
    </w:rPr>
  </w:style>
  <w:style w:type="paragraph" w:customStyle="1" w:styleId="SDMPDDPoASubSection2">
    <w:name w:val="SDMPDD&amp;PoASubSection2"/>
    <w:basedOn w:val="Normal"/>
    <w:qFormat/>
    <w:rsid w:val="005B411E"/>
    <w:pPr>
      <w:keepNext/>
      <w:keepLines/>
      <w:tabs>
        <w:tab w:val="left" w:pos="1474"/>
        <w:tab w:val="num" w:pos="2880"/>
      </w:tabs>
      <w:suppressAutoHyphens/>
      <w:spacing w:before="240" w:after="60"/>
      <w:ind w:left="2880" w:hanging="720"/>
      <w:outlineLvl w:val="3"/>
    </w:pPr>
    <w:rPr>
      <w:rFonts w:cs="Arial"/>
      <w:b/>
      <w:szCs w:val="24"/>
    </w:rPr>
  </w:style>
  <w:style w:type="paragraph" w:customStyle="1" w:styleId="SDMPDDPoASubSection3">
    <w:name w:val="SDMPDD&amp;PoASubSection3"/>
    <w:basedOn w:val="SDMPDDPoASubSection2"/>
    <w:qFormat/>
    <w:rsid w:val="005B411E"/>
    <w:pPr>
      <w:tabs>
        <w:tab w:val="clear" w:pos="2880"/>
        <w:tab w:val="num" w:pos="3600"/>
      </w:tabs>
      <w:ind w:left="3600"/>
    </w:pPr>
  </w:style>
  <w:style w:type="character" w:customStyle="1" w:styleId="RegFormParaChar">
    <w:name w:val="RegFormPara Char"/>
    <w:link w:val="RegFormPara"/>
    <w:rsid w:val="005B411E"/>
    <w:rPr>
      <w:rFonts w:ascii="Arial" w:hAnsi="Arial" w:cs="Arial"/>
      <w:szCs w:val="18"/>
      <w:lang w:eastAsia="en-US"/>
    </w:rPr>
  </w:style>
  <w:style w:type="character" w:customStyle="1" w:styleId="normaltextrun">
    <w:name w:val="normaltextrun"/>
    <w:basedOn w:val="DefaultParagraphFont"/>
    <w:rsid w:val="005B411E"/>
  </w:style>
  <w:style w:type="character" w:styleId="UnresolvedMention">
    <w:name w:val="Unresolved Mention"/>
    <w:basedOn w:val="DefaultParagraphFont"/>
    <w:uiPriority w:val="99"/>
    <w:semiHidden/>
    <w:unhideWhenUsed/>
    <w:rsid w:val="005B411E"/>
    <w:rPr>
      <w:color w:val="605E5C"/>
      <w:shd w:val="clear" w:color="auto" w:fill="E1DFDD"/>
    </w:rPr>
  </w:style>
  <w:style w:type="paragraph" w:styleId="Subtitle">
    <w:name w:val="Subtitle"/>
    <w:basedOn w:val="Normal"/>
    <w:next w:val="Normal"/>
    <w:link w:val="SubtitleChar"/>
    <w:uiPriority w:val="11"/>
    <w:qFormat/>
    <w:rsid w:val="005B411E"/>
    <w:pPr>
      <w:keepNext/>
      <w:keepLines/>
      <w:spacing w:before="360" w:after="80"/>
      <w:jc w:val="left"/>
    </w:pPr>
    <w:rPr>
      <w:rFonts w:ascii="Georgia" w:eastAsia="Georgia" w:hAnsi="Georgia" w:cs="Georgia"/>
      <w:i/>
      <w:color w:val="666666"/>
      <w:sz w:val="48"/>
      <w:szCs w:val="48"/>
      <w:lang w:eastAsia="en-US"/>
    </w:rPr>
  </w:style>
  <w:style w:type="character" w:customStyle="1" w:styleId="SubtitleChar">
    <w:name w:val="Subtitle Char"/>
    <w:basedOn w:val="DefaultParagraphFont"/>
    <w:link w:val="Subtitle"/>
    <w:uiPriority w:val="11"/>
    <w:rsid w:val="005B411E"/>
    <w:rPr>
      <w:rFonts w:ascii="Georgia" w:eastAsia="Georgia" w:hAnsi="Georgia" w:cs="Georgia"/>
      <w:i/>
      <w:color w:val="666666"/>
      <w:sz w:val="48"/>
      <w:szCs w:val="48"/>
      <w:lang w:eastAsia="en-US"/>
    </w:rPr>
  </w:style>
  <w:style w:type="paragraph" w:customStyle="1" w:styleId="paragraph">
    <w:name w:val="paragraph"/>
    <w:basedOn w:val="Normal"/>
    <w:rsid w:val="005B411E"/>
    <w:pPr>
      <w:spacing w:before="100" w:beforeAutospacing="1" w:after="100" w:afterAutospacing="1"/>
      <w:jc w:val="left"/>
    </w:pPr>
    <w:rPr>
      <w:rFonts w:ascii="Times New Roman" w:hAnsi="Times New Roman"/>
      <w:sz w:val="24"/>
      <w:szCs w:val="24"/>
      <w:lang w:eastAsia="en-US"/>
    </w:rPr>
  </w:style>
  <w:style w:type="character" w:customStyle="1" w:styleId="contentcontrolboundarysink">
    <w:name w:val="contentcontrolboundarysink"/>
    <w:basedOn w:val="DefaultParagraphFont"/>
    <w:rsid w:val="005B411E"/>
  </w:style>
  <w:style w:type="character" w:customStyle="1" w:styleId="eop">
    <w:name w:val="eop"/>
    <w:basedOn w:val="DefaultParagraphFont"/>
    <w:rsid w:val="005B411E"/>
  </w:style>
  <w:style w:type="paragraph" w:styleId="Quote">
    <w:name w:val="Quote"/>
    <w:basedOn w:val="Normal"/>
    <w:next w:val="Normal"/>
    <w:link w:val="QuoteChar"/>
    <w:uiPriority w:val="29"/>
    <w:qFormat/>
    <w:rsid w:val="005B411E"/>
    <w:pPr>
      <w:spacing w:before="160" w:after="160" w:line="278" w:lineRule="auto"/>
      <w:jc w:val="center"/>
    </w:pPr>
    <w:rPr>
      <w:rFonts w:asciiTheme="minorHAnsi" w:eastAsiaTheme="minorHAnsi" w:hAnsiTheme="minorHAnsi" w:cstheme="minorBidi"/>
      <w:i/>
      <w:iCs/>
      <w:color w:val="404040" w:themeColor="text1" w:themeTint="BF"/>
      <w:kern w:val="2"/>
      <w:sz w:val="24"/>
      <w:szCs w:val="24"/>
      <w:lang w:eastAsia="en-GB"/>
      <w14:ligatures w14:val="standardContextual"/>
    </w:rPr>
  </w:style>
  <w:style w:type="character" w:customStyle="1" w:styleId="QuoteChar">
    <w:name w:val="Quote Char"/>
    <w:basedOn w:val="DefaultParagraphFont"/>
    <w:link w:val="Quote"/>
    <w:uiPriority w:val="29"/>
    <w:rsid w:val="005B411E"/>
    <w:rPr>
      <w:rFonts w:asciiTheme="minorHAnsi" w:eastAsiaTheme="minorHAnsi" w:hAnsiTheme="minorHAnsi" w:cstheme="minorBidi"/>
      <w:i/>
      <w:iCs/>
      <w:color w:val="404040" w:themeColor="text1" w:themeTint="BF"/>
      <w:kern w:val="2"/>
      <w:sz w:val="24"/>
      <w:szCs w:val="24"/>
      <w14:ligatures w14:val="standardContextual"/>
    </w:rPr>
  </w:style>
  <w:style w:type="character" w:styleId="IntenseEmphasis">
    <w:name w:val="Intense Emphasis"/>
    <w:basedOn w:val="DefaultParagraphFont"/>
    <w:uiPriority w:val="21"/>
    <w:qFormat/>
    <w:rsid w:val="005B411E"/>
    <w:rPr>
      <w:i/>
      <w:iCs/>
      <w:color w:val="365F91" w:themeColor="accent1" w:themeShade="BF"/>
    </w:rPr>
  </w:style>
  <w:style w:type="paragraph" w:styleId="IntenseQuote">
    <w:name w:val="Intense Quote"/>
    <w:basedOn w:val="Normal"/>
    <w:next w:val="Normal"/>
    <w:link w:val="IntenseQuoteChar"/>
    <w:uiPriority w:val="30"/>
    <w:qFormat/>
    <w:rsid w:val="005B411E"/>
    <w:pPr>
      <w:pBdr>
        <w:top w:val="single" w:sz="4" w:space="10" w:color="365F91" w:themeColor="accent1" w:themeShade="BF"/>
        <w:bottom w:val="single" w:sz="4" w:space="10" w:color="365F91" w:themeColor="accent1" w:themeShade="BF"/>
      </w:pBdr>
      <w:spacing w:before="360" w:after="360" w:line="278" w:lineRule="auto"/>
      <w:ind w:left="864" w:right="864"/>
      <w:jc w:val="center"/>
    </w:pPr>
    <w:rPr>
      <w:rFonts w:asciiTheme="minorHAnsi" w:eastAsiaTheme="minorHAnsi" w:hAnsiTheme="minorHAnsi" w:cstheme="minorBidi"/>
      <w:i/>
      <w:iCs/>
      <w:color w:val="365F91" w:themeColor="accent1" w:themeShade="BF"/>
      <w:kern w:val="2"/>
      <w:sz w:val="24"/>
      <w:szCs w:val="24"/>
      <w:lang w:eastAsia="en-GB"/>
      <w14:ligatures w14:val="standardContextual"/>
    </w:rPr>
  </w:style>
  <w:style w:type="character" w:customStyle="1" w:styleId="IntenseQuoteChar">
    <w:name w:val="Intense Quote Char"/>
    <w:basedOn w:val="DefaultParagraphFont"/>
    <w:link w:val="IntenseQuote"/>
    <w:uiPriority w:val="30"/>
    <w:rsid w:val="005B411E"/>
    <w:rPr>
      <w:rFonts w:asciiTheme="minorHAnsi" w:eastAsiaTheme="minorHAnsi" w:hAnsiTheme="minorHAnsi" w:cstheme="minorBidi"/>
      <w:i/>
      <w:iCs/>
      <w:color w:val="365F91" w:themeColor="accent1" w:themeShade="BF"/>
      <w:kern w:val="2"/>
      <w:sz w:val="24"/>
      <w:szCs w:val="24"/>
      <w14:ligatures w14:val="standardContextual"/>
    </w:rPr>
  </w:style>
  <w:style w:type="character" w:styleId="IntenseReference">
    <w:name w:val="Intense Reference"/>
    <w:basedOn w:val="DefaultParagraphFont"/>
    <w:uiPriority w:val="32"/>
    <w:qFormat/>
    <w:rsid w:val="005B411E"/>
    <w:rPr>
      <w:b/>
      <w:bCs/>
      <w:smallCaps/>
      <w:color w:val="365F91" w:themeColor="accent1" w:themeShade="BF"/>
      <w:spacing w:val="5"/>
    </w:rPr>
  </w:style>
  <w:style w:type="character" w:styleId="Strong">
    <w:name w:val="Strong"/>
    <w:basedOn w:val="DefaultParagraphFont"/>
    <w:uiPriority w:val="22"/>
    <w:qFormat/>
    <w:rsid w:val="005B411E"/>
    <w:rPr>
      <w:b/>
      <w:bCs/>
    </w:rPr>
  </w:style>
  <w:style w:type="character" w:customStyle="1" w:styleId="apple-converted-space">
    <w:name w:val="apple-converted-space"/>
    <w:basedOn w:val="DefaultParagraphFont"/>
    <w:rsid w:val="005B411E"/>
  </w:style>
  <w:style w:type="character" w:styleId="Emphasis">
    <w:name w:val="Emphasis"/>
    <w:basedOn w:val="DefaultParagraphFont"/>
    <w:uiPriority w:val="20"/>
    <w:qFormat/>
    <w:rsid w:val="005B411E"/>
    <w:rPr>
      <w:i/>
      <w:iCs/>
    </w:rPr>
  </w:style>
  <w:style w:type="character" w:customStyle="1" w:styleId="katex-mathml">
    <w:name w:val="katex-mathml"/>
    <w:basedOn w:val="DefaultParagraphFont"/>
    <w:rsid w:val="005B411E"/>
  </w:style>
  <w:style w:type="character" w:customStyle="1" w:styleId="mord">
    <w:name w:val="mord"/>
    <w:basedOn w:val="DefaultParagraphFont"/>
    <w:rsid w:val="005B411E"/>
  </w:style>
  <w:style w:type="character" w:customStyle="1" w:styleId="mpunct">
    <w:name w:val="mpunct"/>
    <w:basedOn w:val="DefaultParagraphFont"/>
    <w:rsid w:val="005B411E"/>
  </w:style>
  <w:style w:type="character" w:customStyle="1" w:styleId="vlist-s">
    <w:name w:val="vlist-s"/>
    <w:basedOn w:val="DefaultParagraphFont"/>
    <w:rsid w:val="005B411E"/>
  </w:style>
  <w:style w:type="character" w:customStyle="1" w:styleId="mrel">
    <w:name w:val="mrel"/>
    <w:basedOn w:val="DefaultParagraphFont"/>
    <w:rsid w:val="005B411E"/>
  </w:style>
  <w:style w:type="character" w:customStyle="1" w:styleId="mop">
    <w:name w:val="mop"/>
    <w:basedOn w:val="DefaultParagraphFont"/>
    <w:rsid w:val="005B411E"/>
  </w:style>
  <w:style w:type="character" w:customStyle="1" w:styleId="mopen">
    <w:name w:val="mopen"/>
    <w:basedOn w:val="DefaultParagraphFont"/>
    <w:rsid w:val="005B411E"/>
  </w:style>
  <w:style w:type="character" w:customStyle="1" w:styleId="mclose">
    <w:name w:val="mclose"/>
    <w:basedOn w:val="DefaultParagraphFont"/>
    <w:rsid w:val="005B411E"/>
  </w:style>
  <w:style w:type="numbering" w:customStyle="1" w:styleId="CurrentList1">
    <w:name w:val="Current List1"/>
    <w:uiPriority w:val="99"/>
    <w:rsid w:val="005B411E"/>
    <w:pPr>
      <w:numPr>
        <w:numId w:val="40"/>
      </w:numPr>
    </w:pPr>
  </w:style>
  <w:style w:type="table" w:styleId="TableGridLight">
    <w:name w:val="Grid Table Light"/>
    <w:basedOn w:val="TableNormal"/>
    <w:uiPriority w:val="40"/>
    <w:rsid w:val="00620061"/>
    <w:rPr>
      <w:sz w:val="24"/>
      <w:szCs w:val="24"/>
      <w:lang w:val="en-US"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UnresolvedMention1">
    <w:name w:val="Unresolved Mention1"/>
    <w:basedOn w:val="DefaultParagraphFont"/>
    <w:uiPriority w:val="99"/>
    <w:semiHidden/>
    <w:unhideWhenUsed/>
    <w:rsid w:val="00620061"/>
    <w:rPr>
      <w:color w:val="605E5C"/>
      <w:shd w:val="clear" w:color="auto" w:fill="E1DFDD"/>
    </w:rPr>
  </w:style>
  <w:style w:type="character" w:customStyle="1" w:styleId="Mention1">
    <w:name w:val="Mention1"/>
    <w:basedOn w:val="DefaultParagraphFont"/>
    <w:uiPriority w:val="99"/>
    <w:unhideWhenUsed/>
    <w:rsid w:val="00620061"/>
    <w:rPr>
      <w:color w:val="2B579A"/>
      <w:shd w:val="clear" w:color="auto" w:fill="E1DFDD"/>
    </w:rPr>
  </w:style>
  <w:style w:type="character" w:customStyle="1" w:styleId="EndnoteTextChar">
    <w:name w:val="Endnote Text Char"/>
    <w:basedOn w:val="DefaultParagraphFont"/>
    <w:link w:val="EndnoteText"/>
    <w:uiPriority w:val="99"/>
    <w:rsid w:val="00620061"/>
    <w:rPr>
      <w:rFonts w:ascii="Arial" w:eastAsia="MS Mincho" w:hAnsi="Arial"/>
      <w:sz w:val="22"/>
      <w:lang w:eastAsia="en-US"/>
    </w:rPr>
  </w:style>
  <w:style w:type="character" w:styleId="EndnoteReference">
    <w:name w:val="endnote reference"/>
    <w:basedOn w:val="DefaultParagraphFont"/>
    <w:uiPriority w:val="99"/>
    <w:semiHidden/>
    <w:unhideWhenUsed/>
    <w:rsid w:val="00620061"/>
    <w:rPr>
      <w:vertAlign w:val="superscript"/>
    </w:rPr>
  </w:style>
  <w:style w:type="paragraph" w:styleId="TOCHeading">
    <w:name w:val="TOC Heading"/>
    <w:basedOn w:val="Heading1"/>
    <w:next w:val="Normal"/>
    <w:uiPriority w:val="39"/>
    <w:unhideWhenUsed/>
    <w:qFormat/>
    <w:rsid w:val="00686E74"/>
    <w:pPr>
      <w:numPr>
        <w:numId w:val="38"/>
      </w:numPr>
      <w:spacing w:before="240" w:line="259" w:lineRule="auto"/>
      <w:jc w:val="left"/>
      <w:outlineLvl w:val="9"/>
    </w:pPr>
    <w:rPr>
      <w:rFonts w:ascii="Montserrat" w:eastAsia="Montserrat" w:hAnsi="Montserrat" w:cs="Montserrat"/>
      <w:bCs w:val="0"/>
      <w:sz w:val="32"/>
      <w:szCs w:val="32"/>
    </w:rPr>
  </w:style>
  <w:style w:type="character" w:styleId="SubtleEmphasis">
    <w:name w:val="Subtle Emphasis"/>
    <w:aliases w:val="Table Note"/>
    <w:basedOn w:val="DefaultParagraphFont"/>
    <w:uiPriority w:val="19"/>
    <w:qFormat/>
    <w:rsid w:val="00620061"/>
    <w:rPr>
      <w:rFonts w:ascii="Arial" w:hAnsi="Arial"/>
      <w:i/>
      <w:iCs/>
      <w:color w:val="1F497D" w:themeColor="text2"/>
    </w:rPr>
  </w:style>
  <w:style w:type="table" w:customStyle="1" w:styleId="87">
    <w:name w:val="87"/>
    <w:basedOn w:val="TableNormal"/>
    <w:rsid w:val="00620061"/>
    <w:rPr>
      <w:sz w:val="24"/>
      <w:szCs w:val="24"/>
      <w:lang w:val="en-US" w:eastAsia="en-US"/>
    </w:rPr>
    <w:tblPr>
      <w:tblStyleRowBandSize w:val="1"/>
      <w:tblStyleColBandSize w:val="1"/>
      <w:tblCellMar>
        <w:top w:w="100" w:type="dxa"/>
        <w:left w:w="100" w:type="dxa"/>
        <w:bottom w:w="100" w:type="dxa"/>
        <w:right w:w="100" w:type="dxa"/>
      </w:tblCellMar>
    </w:tblPr>
  </w:style>
  <w:style w:type="table" w:customStyle="1" w:styleId="86">
    <w:name w:val="86"/>
    <w:basedOn w:val="TableNormal"/>
    <w:rsid w:val="00620061"/>
    <w:rPr>
      <w:sz w:val="24"/>
      <w:szCs w:val="24"/>
      <w:lang w:val="en-US" w:eastAsia="en-US"/>
    </w:rPr>
    <w:tblPr>
      <w:tblStyleRowBandSize w:val="1"/>
      <w:tblStyleColBandSize w:val="1"/>
      <w:tblCellMar>
        <w:left w:w="115" w:type="dxa"/>
        <w:right w:w="115" w:type="dxa"/>
      </w:tblCellMar>
    </w:tblPr>
  </w:style>
  <w:style w:type="table" w:customStyle="1" w:styleId="85">
    <w:name w:val="85"/>
    <w:basedOn w:val="TableNormal"/>
    <w:rsid w:val="00620061"/>
    <w:rPr>
      <w:sz w:val="24"/>
      <w:szCs w:val="24"/>
      <w:lang w:val="en-US" w:eastAsia="en-US"/>
    </w:rPr>
    <w:tblPr>
      <w:tblStyleRowBandSize w:val="1"/>
      <w:tblStyleColBandSize w:val="1"/>
    </w:tblPr>
  </w:style>
  <w:style w:type="table" w:customStyle="1" w:styleId="84">
    <w:name w:val="84"/>
    <w:basedOn w:val="TableNormal"/>
    <w:rsid w:val="00620061"/>
    <w:rPr>
      <w:sz w:val="24"/>
      <w:szCs w:val="24"/>
      <w:lang w:val="en-US" w:eastAsia="en-US"/>
    </w:rPr>
    <w:tblPr>
      <w:tblStyleRowBandSize w:val="1"/>
      <w:tblStyleColBandSize w:val="1"/>
    </w:tblPr>
  </w:style>
  <w:style w:type="table" w:customStyle="1" w:styleId="83">
    <w:name w:val="83"/>
    <w:basedOn w:val="TableNormal"/>
    <w:rsid w:val="00620061"/>
    <w:rPr>
      <w:sz w:val="24"/>
      <w:szCs w:val="24"/>
      <w:lang w:val="en-US" w:eastAsia="en-US"/>
    </w:rPr>
    <w:tblPr>
      <w:tblStyleRowBandSize w:val="1"/>
      <w:tblStyleColBandSize w:val="1"/>
    </w:tblPr>
  </w:style>
  <w:style w:type="table" w:customStyle="1" w:styleId="82">
    <w:name w:val="82"/>
    <w:basedOn w:val="TableNormal"/>
    <w:rsid w:val="00620061"/>
    <w:rPr>
      <w:sz w:val="24"/>
      <w:szCs w:val="24"/>
      <w:lang w:val="en-US" w:eastAsia="en-US"/>
    </w:rPr>
    <w:tblPr>
      <w:tblStyleRowBandSize w:val="1"/>
      <w:tblStyleColBandSize w:val="1"/>
    </w:tblPr>
  </w:style>
  <w:style w:type="table" w:customStyle="1" w:styleId="81">
    <w:name w:val="81"/>
    <w:basedOn w:val="TableNormal"/>
    <w:rsid w:val="00620061"/>
    <w:rPr>
      <w:sz w:val="24"/>
      <w:szCs w:val="24"/>
      <w:lang w:val="en-US" w:eastAsia="en-US"/>
    </w:rPr>
    <w:tblPr>
      <w:tblStyleRowBandSize w:val="1"/>
      <w:tblStyleColBandSize w:val="1"/>
    </w:tblPr>
  </w:style>
  <w:style w:type="table" w:customStyle="1" w:styleId="80">
    <w:name w:val="80"/>
    <w:basedOn w:val="TableNormal"/>
    <w:rsid w:val="00620061"/>
    <w:rPr>
      <w:sz w:val="24"/>
      <w:szCs w:val="24"/>
      <w:lang w:val="en-US" w:eastAsia="en-US"/>
    </w:rPr>
    <w:tblPr>
      <w:tblStyleRowBandSize w:val="1"/>
      <w:tblStyleColBandSize w:val="1"/>
    </w:tblPr>
  </w:style>
  <w:style w:type="table" w:customStyle="1" w:styleId="79">
    <w:name w:val="79"/>
    <w:basedOn w:val="TableNormal"/>
    <w:rsid w:val="00620061"/>
    <w:rPr>
      <w:sz w:val="24"/>
      <w:szCs w:val="24"/>
      <w:lang w:val="en-US" w:eastAsia="en-US"/>
    </w:rPr>
    <w:tblPr>
      <w:tblStyleRowBandSize w:val="1"/>
      <w:tblStyleColBandSize w:val="1"/>
    </w:tblPr>
  </w:style>
  <w:style w:type="table" w:customStyle="1" w:styleId="78">
    <w:name w:val="78"/>
    <w:basedOn w:val="TableNormal"/>
    <w:rsid w:val="00620061"/>
    <w:rPr>
      <w:sz w:val="24"/>
      <w:szCs w:val="24"/>
      <w:lang w:val="en-US" w:eastAsia="en-US"/>
    </w:rPr>
    <w:tblPr>
      <w:tblStyleRowBandSize w:val="1"/>
      <w:tblStyleColBandSize w:val="1"/>
    </w:tblPr>
  </w:style>
  <w:style w:type="table" w:customStyle="1" w:styleId="77">
    <w:name w:val="77"/>
    <w:basedOn w:val="TableNormal"/>
    <w:rsid w:val="00620061"/>
    <w:rPr>
      <w:sz w:val="24"/>
      <w:szCs w:val="24"/>
      <w:lang w:val="en-US" w:eastAsia="en-US"/>
    </w:rPr>
    <w:tblPr>
      <w:tblStyleRowBandSize w:val="1"/>
      <w:tblStyleColBandSize w:val="1"/>
    </w:tblPr>
  </w:style>
  <w:style w:type="table" w:customStyle="1" w:styleId="76">
    <w:name w:val="76"/>
    <w:basedOn w:val="TableNormal"/>
    <w:rsid w:val="00620061"/>
    <w:rPr>
      <w:sz w:val="24"/>
      <w:szCs w:val="24"/>
      <w:lang w:val="en-US" w:eastAsia="en-US"/>
    </w:rPr>
    <w:tblPr>
      <w:tblStyleRowBandSize w:val="1"/>
      <w:tblStyleColBandSize w:val="1"/>
    </w:tblPr>
  </w:style>
  <w:style w:type="table" w:customStyle="1" w:styleId="75">
    <w:name w:val="75"/>
    <w:basedOn w:val="TableNormal"/>
    <w:rsid w:val="00620061"/>
    <w:rPr>
      <w:sz w:val="24"/>
      <w:szCs w:val="24"/>
      <w:lang w:val="en-US" w:eastAsia="en-US"/>
    </w:rPr>
    <w:tblPr>
      <w:tblStyleRowBandSize w:val="1"/>
      <w:tblStyleColBandSize w:val="1"/>
    </w:tblPr>
  </w:style>
  <w:style w:type="table" w:customStyle="1" w:styleId="74">
    <w:name w:val="74"/>
    <w:basedOn w:val="TableNormal"/>
    <w:rsid w:val="00620061"/>
    <w:rPr>
      <w:sz w:val="24"/>
      <w:szCs w:val="24"/>
      <w:lang w:val="en-US" w:eastAsia="en-US"/>
    </w:rPr>
    <w:tblPr>
      <w:tblStyleRowBandSize w:val="1"/>
      <w:tblStyleColBandSize w:val="1"/>
    </w:tblPr>
  </w:style>
  <w:style w:type="table" w:customStyle="1" w:styleId="73">
    <w:name w:val="73"/>
    <w:basedOn w:val="TableNormal"/>
    <w:rsid w:val="00620061"/>
    <w:rPr>
      <w:sz w:val="24"/>
      <w:szCs w:val="24"/>
      <w:lang w:val="en-US" w:eastAsia="en-US"/>
    </w:rPr>
    <w:tblPr>
      <w:tblStyleRowBandSize w:val="1"/>
      <w:tblStyleColBandSize w:val="1"/>
    </w:tblPr>
  </w:style>
  <w:style w:type="table" w:customStyle="1" w:styleId="72">
    <w:name w:val="72"/>
    <w:basedOn w:val="TableNormal"/>
    <w:rsid w:val="00620061"/>
    <w:rPr>
      <w:sz w:val="24"/>
      <w:szCs w:val="24"/>
      <w:lang w:val="en-US" w:eastAsia="en-US"/>
    </w:rPr>
    <w:tblPr>
      <w:tblStyleRowBandSize w:val="1"/>
      <w:tblStyleColBandSize w:val="1"/>
    </w:tblPr>
  </w:style>
  <w:style w:type="table" w:customStyle="1" w:styleId="71">
    <w:name w:val="71"/>
    <w:basedOn w:val="TableNormal"/>
    <w:rsid w:val="00620061"/>
    <w:rPr>
      <w:sz w:val="24"/>
      <w:szCs w:val="24"/>
      <w:lang w:val="en-US" w:eastAsia="en-US"/>
    </w:rPr>
    <w:tblPr>
      <w:tblStyleRowBandSize w:val="1"/>
      <w:tblStyleColBandSize w:val="1"/>
    </w:tblPr>
  </w:style>
  <w:style w:type="table" w:customStyle="1" w:styleId="70">
    <w:name w:val="70"/>
    <w:basedOn w:val="TableNormal"/>
    <w:rsid w:val="00620061"/>
    <w:rPr>
      <w:sz w:val="24"/>
      <w:szCs w:val="24"/>
      <w:lang w:val="en-US" w:eastAsia="en-US"/>
    </w:rPr>
    <w:tblPr>
      <w:tblStyleRowBandSize w:val="1"/>
      <w:tblStyleColBandSize w:val="1"/>
    </w:tblPr>
  </w:style>
  <w:style w:type="table" w:customStyle="1" w:styleId="69">
    <w:name w:val="69"/>
    <w:basedOn w:val="TableNormal"/>
    <w:rsid w:val="00620061"/>
    <w:rPr>
      <w:sz w:val="24"/>
      <w:szCs w:val="24"/>
      <w:lang w:val="en-US" w:eastAsia="en-US"/>
    </w:rPr>
    <w:tblPr>
      <w:tblStyleRowBandSize w:val="1"/>
      <w:tblStyleColBandSize w:val="1"/>
    </w:tblPr>
  </w:style>
  <w:style w:type="table" w:customStyle="1" w:styleId="68">
    <w:name w:val="68"/>
    <w:basedOn w:val="TableNormal"/>
    <w:rsid w:val="00620061"/>
    <w:rPr>
      <w:sz w:val="24"/>
      <w:szCs w:val="24"/>
      <w:lang w:val="en-US" w:eastAsia="en-US"/>
    </w:rPr>
    <w:tblPr>
      <w:tblStyleRowBandSize w:val="1"/>
      <w:tblStyleColBandSize w:val="1"/>
    </w:tblPr>
  </w:style>
  <w:style w:type="table" w:customStyle="1" w:styleId="67">
    <w:name w:val="67"/>
    <w:basedOn w:val="TableNormal"/>
    <w:rsid w:val="00620061"/>
    <w:rPr>
      <w:sz w:val="24"/>
      <w:szCs w:val="24"/>
      <w:lang w:val="en-US" w:eastAsia="en-US"/>
    </w:rPr>
    <w:tblPr>
      <w:tblStyleRowBandSize w:val="1"/>
      <w:tblStyleColBandSize w:val="1"/>
    </w:tblPr>
  </w:style>
  <w:style w:type="table" w:customStyle="1" w:styleId="66">
    <w:name w:val="66"/>
    <w:basedOn w:val="TableNormal"/>
    <w:rsid w:val="00620061"/>
    <w:rPr>
      <w:sz w:val="24"/>
      <w:szCs w:val="24"/>
      <w:lang w:val="en-US" w:eastAsia="en-US"/>
    </w:rPr>
    <w:tblPr>
      <w:tblStyleRowBandSize w:val="1"/>
      <w:tblStyleColBandSize w:val="1"/>
    </w:tblPr>
  </w:style>
  <w:style w:type="table" w:customStyle="1" w:styleId="65">
    <w:name w:val="65"/>
    <w:basedOn w:val="TableNormal"/>
    <w:rsid w:val="00620061"/>
    <w:rPr>
      <w:sz w:val="24"/>
      <w:szCs w:val="24"/>
      <w:lang w:val="en-US" w:eastAsia="en-US"/>
    </w:rPr>
    <w:tblPr>
      <w:tblStyleRowBandSize w:val="1"/>
      <w:tblStyleColBandSize w:val="1"/>
    </w:tblPr>
  </w:style>
  <w:style w:type="table" w:customStyle="1" w:styleId="64">
    <w:name w:val="64"/>
    <w:basedOn w:val="TableNormal"/>
    <w:rsid w:val="00620061"/>
    <w:rPr>
      <w:sz w:val="24"/>
      <w:szCs w:val="24"/>
      <w:lang w:val="en-US" w:eastAsia="en-US"/>
    </w:rPr>
    <w:tblPr>
      <w:tblStyleRowBandSize w:val="1"/>
      <w:tblStyleColBandSize w:val="1"/>
    </w:tblPr>
  </w:style>
  <w:style w:type="table" w:customStyle="1" w:styleId="63">
    <w:name w:val="63"/>
    <w:basedOn w:val="TableNormal"/>
    <w:rsid w:val="00620061"/>
    <w:rPr>
      <w:sz w:val="24"/>
      <w:szCs w:val="24"/>
      <w:lang w:val="en-US" w:eastAsia="en-US"/>
    </w:rPr>
    <w:tblPr>
      <w:tblStyleRowBandSize w:val="1"/>
      <w:tblStyleColBandSize w:val="1"/>
    </w:tblPr>
  </w:style>
  <w:style w:type="table" w:customStyle="1" w:styleId="62">
    <w:name w:val="62"/>
    <w:basedOn w:val="TableNormal"/>
    <w:rsid w:val="00620061"/>
    <w:rPr>
      <w:sz w:val="24"/>
      <w:szCs w:val="24"/>
      <w:lang w:val="en-US" w:eastAsia="en-US"/>
    </w:rPr>
    <w:tblPr>
      <w:tblStyleRowBandSize w:val="1"/>
      <w:tblStyleColBandSize w:val="1"/>
    </w:tblPr>
  </w:style>
  <w:style w:type="table" w:customStyle="1" w:styleId="61">
    <w:name w:val="61"/>
    <w:basedOn w:val="TableNormal"/>
    <w:rsid w:val="00620061"/>
    <w:rPr>
      <w:sz w:val="24"/>
      <w:szCs w:val="24"/>
      <w:lang w:val="en-US" w:eastAsia="en-US"/>
    </w:rPr>
    <w:tblPr>
      <w:tblStyleRowBandSize w:val="1"/>
      <w:tblStyleColBandSize w:val="1"/>
    </w:tblPr>
  </w:style>
  <w:style w:type="table" w:customStyle="1" w:styleId="60">
    <w:name w:val="60"/>
    <w:basedOn w:val="TableNormal"/>
    <w:rsid w:val="00620061"/>
    <w:rPr>
      <w:sz w:val="24"/>
      <w:szCs w:val="24"/>
      <w:lang w:val="en-US" w:eastAsia="en-US"/>
    </w:rPr>
    <w:tblPr>
      <w:tblStyleRowBandSize w:val="1"/>
      <w:tblStyleColBandSize w:val="1"/>
    </w:tblPr>
  </w:style>
  <w:style w:type="table" w:customStyle="1" w:styleId="59">
    <w:name w:val="59"/>
    <w:basedOn w:val="TableNormal"/>
    <w:rsid w:val="00620061"/>
    <w:rPr>
      <w:sz w:val="24"/>
      <w:szCs w:val="24"/>
      <w:lang w:val="en-US" w:eastAsia="en-US"/>
    </w:rPr>
    <w:tblPr>
      <w:tblStyleRowBandSize w:val="1"/>
      <w:tblStyleColBandSize w:val="1"/>
    </w:tblPr>
  </w:style>
  <w:style w:type="table" w:customStyle="1" w:styleId="58">
    <w:name w:val="58"/>
    <w:basedOn w:val="TableNormal"/>
    <w:rsid w:val="00620061"/>
    <w:rPr>
      <w:sz w:val="24"/>
      <w:szCs w:val="24"/>
      <w:lang w:val="en-US" w:eastAsia="en-US"/>
    </w:rPr>
    <w:tblPr>
      <w:tblStyleRowBandSize w:val="1"/>
      <w:tblStyleColBandSize w:val="1"/>
    </w:tblPr>
  </w:style>
  <w:style w:type="table" w:customStyle="1" w:styleId="57">
    <w:name w:val="57"/>
    <w:basedOn w:val="TableNormal"/>
    <w:rsid w:val="00620061"/>
    <w:rPr>
      <w:sz w:val="24"/>
      <w:szCs w:val="24"/>
      <w:lang w:val="en-US" w:eastAsia="en-US"/>
    </w:rPr>
    <w:tblPr>
      <w:tblStyleRowBandSize w:val="1"/>
      <w:tblStyleColBandSize w:val="1"/>
    </w:tblPr>
  </w:style>
  <w:style w:type="table" w:customStyle="1" w:styleId="56">
    <w:name w:val="56"/>
    <w:basedOn w:val="TableNormal"/>
    <w:rsid w:val="00620061"/>
    <w:rPr>
      <w:sz w:val="24"/>
      <w:szCs w:val="24"/>
      <w:lang w:val="en-US" w:eastAsia="en-US"/>
    </w:rPr>
    <w:tblPr>
      <w:tblStyleRowBandSize w:val="1"/>
      <w:tblStyleColBandSize w:val="1"/>
    </w:tblPr>
  </w:style>
  <w:style w:type="table" w:customStyle="1" w:styleId="55">
    <w:name w:val="55"/>
    <w:basedOn w:val="TableNormal"/>
    <w:rsid w:val="00620061"/>
    <w:rPr>
      <w:sz w:val="24"/>
      <w:szCs w:val="24"/>
      <w:lang w:val="en-US" w:eastAsia="en-US"/>
    </w:rPr>
    <w:tblPr>
      <w:tblStyleRowBandSize w:val="1"/>
      <w:tblStyleColBandSize w:val="1"/>
    </w:tblPr>
  </w:style>
  <w:style w:type="table" w:customStyle="1" w:styleId="54">
    <w:name w:val="54"/>
    <w:basedOn w:val="TableNormal"/>
    <w:rsid w:val="00620061"/>
    <w:rPr>
      <w:sz w:val="24"/>
      <w:szCs w:val="24"/>
      <w:lang w:val="en-US" w:eastAsia="en-US"/>
    </w:rPr>
    <w:tblPr>
      <w:tblStyleRowBandSize w:val="1"/>
      <w:tblStyleColBandSize w:val="1"/>
    </w:tblPr>
  </w:style>
  <w:style w:type="table" w:customStyle="1" w:styleId="53">
    <w:name w:val="53"/>
    <w:basedOn w:val="TableNormal"/>
    <w:rsid w:val="00620061"/>
    <w:rPr>
      <w:sz w:val="24"/>
      <w:szCs w:val="24"/>
      <w:lang w:val="en-US" w:eastAsia="en-US"/>
    </w:rPr>
    <w:tblPr>
      <w:tblStyleRowBandSize w:val="1"/>
      <w:tblStyleColBandSize w:val="1"/>
    </w:tblPr>
  </w:style>
  <w:style w:type="table" w:customStyle="1" w:styleId="52">
    <w:name w:val="52"/>
    <w:basedOn w:val="TableNormal"/>
    <w:rsid w:val="00620061"/>
    <w:rPr>
      <w:sz w:val="24"/>
      <w:szCs w:val="24"/>
      <w:lang w:val="en-US" w:eastAsia="en-US"/>
    </w:rPr>
    <w:tblPr>
      <w:tblStyleRowBandSize w:val="1"/>
      <w:tblStyleColBandSize w:val="1"/>
    </w:tblPr>
  </w:style>
  <w:style w:type="table" w:customStyle="1" w:styleId="51">
    <w:name w:val="51"/>
    <w:basedOn w:val="TableNormal"/>
    <w:rsid w:val="00620061"/>
    <w:rPr>
      <w:sz w:val="24"/>
      <w:szCs w:val="24"/>
      <w:lang w:val="en-US" w:eastAsia="en-US"/>
    </w:rPr>
    <w:tblPr>
      <w:tblStyleRowBandSize w:val="1"/>
      <w:tblStyleColBandSize w:val="1"/>
    </w:tblPr>
  </w:style>
  <w:style w:type="table" w:customStyle="1" w:styleId="50">
    <w:name w:val="50"/>
    <w:basedOn w:val="TableNormal"/>
    <w:rsid w:val="00620061"/>
    <w:rPr>
      <w:sz w:val="24"/>
      <w:szCs w:val="24"/>
      <w:lang w:val="en-US" w:eastAsia="en-US"/>
    </w:rPr>
    <w:tblPr>
      <w:tblStyleRowBandSize w:val="1"/>
      <w:tblStyleColBandSize w:val="1"/>
    </w:tblPr>
  </w:style>
  <w:style w:type="table" w:customStyle="1" w:styleId="49">
    <w:name w:val="49"/>
    <w:basedOn w:val="TableNormal"/>
    <w:rsid w:val="00620061"/>
    <w:rPr>
      <w:sz w:val="24"/>
      <w:szCs w:val="24"/>
      <w:lang w:val="en-US" w:eastAsia="en-US"/>
    </w:rPr>
    <w:tblPr>
      <w:tblStyleRowBandSize w:val="1"/>
      <w:tblStyleColBandSize w:val="1"/>
    </w:tblPr>
  </w:style>
  <w:style w:type="table" w:customStyle="1" w:styleId="48">
    <w:name w:val="48"/>
    <w:basedOn w:val="TableNormal"/>
    <w:rsid w:val="00620061"/>
    <w:rPr>
      <w:sz w:val="24"/>
      <w:szCs w:val="24"/>
      <w:lang w:val="en-US" w:eastAsia="en-US"/>
    </w:rPr>
    <w:tblPr>
      <w:tblStyleRowBandSize w:val="1"/>
      <w:tblStyleColBandSize w:val="1"/>
    </w:tblPr>
  </w:style>
  <w:style w:type="table" w:customStyle="1" w:styleId="47">
    <w:name w:val="47"/>
    <w:basedOn w:val="TableNormal"/>
    <w:rsid w:val="00620061"/>
    <w:rPr>
      <w:sz w:val="24"/>
      <w:szCs w:val="24"/>
      <w:lang w:val="en-US" w:eastAsia="en-US"/>
    </w:rPr>
    <w:tblPr>
      <w:tblStyleRowBandSize w:val="1"/>
      <w:tblStyleColBandSize w:val="1"/>
    </w:tblPr>
  </w:style>
  <w:style w:type="table" w:customStyle="1" w:styleId="46">
    <w:name w:val="46"/>
    <w:basedOn w:val="TableNormal"/>
    <w:rsid w:val="00620061"/>
    <w:rPr>
      <w:sz w:val="24"/>
      <w:szCs w:val="24"/>
      <w:lang w:val="en-US" w:eastAsia="en-US"/>
    </w:rPr>
    <w:tblPr>
      <w:tblStyleRowBandSize w:val="1"/>
      <w:tblStyleColBandSize w:val="1"/>
    </w:tblPr>
  </w:style>
  <w:style w:type="table" w:customStyle="1" w:styleId="45">
    <w:name w:val="45"/>
    <w:basedOn w:val="TableNormal"/>
    <w:rsid w:val="00620061"/>
    <w:rPr>
      <w:sz w:val="24"/>
      <w:szCs w:val="24"/>
      <w:lang w:val="en-US" w:eastAsia="en-US"/>
    </w:rPr>
    <w:tblPr>
      <w:tblStyleRowBandSize w:val="1"/>
      <w:tblStyleColBandSize w:val="1"/>
      <w:tblCellMar>
        <w:top w:w="100" w:type="dxa"/>
        <w:left w:w="100" w:type="dxa"/>
        <w:bottom w:w="100" w:type="dxa"/>
        <w:right w:w="100" w:type="dxa"/>
      </w:tblCellMar>
    </w:tblPr>
  </w:style>
  <w:style w:type="table" w:customStyle="1" w:styleId="44">
    <w:name w:val="44"/>
    <w:basedOn w:val="TableNormal"/>
    <w:rsid w:val="00620061"/>
    <w:rPr>
      <w:sz w:val="24"/>
      <w:szCs w:val="24"/>
      <w:lang w:val="en-US" w:eastAsia="en-US"/>
    </w:rPr>
    <w:tblPr>
      <w:tblStyleRowBandSize w:val="1"/>
      <w:tblStyleColBandSize w:val="1"/>
    </w:tblPr>
  </w:style>
  <w:style w:type="table" w:customStyle="1" w:styleId="43">
    <w:name w:val="43"/>
    <w:basedOn w:val="TableNormal"/>
    <w:rsid w:val="00620061"/>
    <w:rPr>
      <w:sz w:val="24"/>
      <w:szCs w:val="24"/>
      <w:lang w:val="en-US" w:eastAsia="en-US"/>
    </w:rPr>
    <w:tblPr>
      <w:tblStyleRowBandSize w:val="1"/>
      <w:tblStyleColBandSize w:val="1"/>
    </w:tblPr>
  </w:style>
  <w:style w:type="table" w:customStyle="1" w:styleId="42">
    <w:name w:val="42"/>
    <w:basedOn w:val="TableNormal"/>
    <w:rsid w:val="00620061"/>
    <w:rPr>
      <w:sz w:val="24"/>
      <w:szCs w:val="24"/>
      <w:lang w:val="en-US" w:eastAsia="en-US"/>
    </w:rPr>
    <w:tblPr>
      <w:tblStyleRowBandSize w:val="1"/>
      <w:tblStyleColBandSize w:val="1"/>
    </w:tblPr>
  </w:style>
  <w:style w:type="table" w:customStyle="1" w:styleId="41">
    <w:name w:val="41"/>
    <w:basedOn w:val="TableNormal"/>
    <w:rsid w:val="00620061"/>
    <w:rPr>
      <w:sz w:val="24"/>
      <w:szCs w:val="24"/>
      <w:lang w:val="en-US" w:eastAsia="en-US"/>
    </w:rPr>
    <w:tblPr>
      <w:tblStyleRowBandSize w:val="1"/>
      <w:tblStyleColBandSize w:val="1"/>
    </w:tblPr>
  </w:style>
  <w:style w:type="table" w:customStyle="1" w:styleId="40">
    <w:name w:val="40"/>
    <w:basedOn w:val="TableNormal"/>
    <w:rsid w:val="00620061"/>
    <w:rPr>
      <w:sz w:val="24"/>
      <w:szCs w:val="24"/>
      <w:lang w:val="en-US" w:eastAsia="en-US"/>
    </w:rPr>
    <w:tblPr>
      <w:tblStyleRowBandSize w:val="1"/>
      <w:tblStyleColBandSize w:val="1"/>
    </w:tblPr>
  </w:style>
  <w:style w:type="table" w:customStyle="1" w:styleId="39">
    <w:name w:val="39"/>
    <w:basedOn w:val="TableNormal"/>
    <w:rsid w:val="00620061"/>
    <w:rPr>
      <w:sz w:val="24"/>
      <w:szCs w:val="24"/>
      <w:lang w:val="en-US" w:eastAsia="en-US"/>
    </w:rPr>
    <w:tblPr>
      <w:tblStyleRowBandSize w:val="1"/>
      <w:tblStyleColBandSize w:val="1"/>
    </w:tblPr>
  </w:style>
  <w:style w:type="table" w:customStyle="1" w:styleId="38">
    <w:name w:val="38"/>
    <w:basedOn w:val="TableNormal"/>
    <w:rsid w:val="00620061"/>
    <w:rPr>
      <w:sz w:val="24"/>
      <w:szCs w:val="24"/>
      <w:lang w:val="en-US" w:eastAsia="en-US"/>
    </w:rPr>
    <w:tblPr>
      <w:tblStyleRowBandSize w:val="1"/>
      <w:tblStyleColBandSize w:val="1"/>
    </w:tblPr>
  </w:style>
  <w:style w:type="table" w:customStyle="1" w:styleId="37">
    <w:name w:val="37"/>
    <w:basedOn w:val="TableNormal"/>
    <w:rsid w:val="00620061"/>
    <w:rPr>
      <w:sz w:val="24"/>
      <w:szCs w:val="24"/>
      <w:lang w:val="en-US" w:eastAsia="en-US"/>
    </w:rPr>
    <w:tblPr>
      <w:tblStyleRowBandSize w:val="1"/>
      <w:tblStyleColBandSize w:val="1"/>
    </w:tblPr>
  </w:style>
  <w:style w:type="table" w:customStyle="1" w:styleId="36">
    <w:name w:val="36"/>
    <w:basedOn w:val="TableNormal"/>
    <w:rsid w:val="00620061"/>
    <w:rPr>
      <w:sz w:val="24"/>
      <w:szCs w:val="24"/>
      <w:lang w:val="en-US" w:eastAsia="en-US"/>
    </w:rPr>
    <w:tblPr>
      <w:tblStyleRowBandSize w:val="1"/>
      <w:tblStyleColBandSize w:val="1"/>
    </w:tblPr>
  </w:style>
  <w:style w:type="table" w:customStyle="1" w:styleId="35">
    <w:name w:val="35"/>
    <w:basedOn w:val="TableNormal"/>
    <w:rsid w:val="00620061"/>
    <w:rPr>
      <w:sz w:val="24"/>
      <w:szCs w:val="24"/>
      <w:lang w:val="en-US" w:eastAsia="en-US"/>
    </w:rPr>
    <w:tblPr>
      <w:tblStyleRowBandSize w:val="1"/>
      <w:tblStyleColBandSize w:val="1"/>
    </w:tblPr>
  </w:style>
  <w:style w:type="table" w:customStyle="1" w:styleId="34">
    <w:name w:val="34"/>
    <w:basedOn w:val="TableNormal"/>
    <w:rsid w:val="00620061"/>
    <w:rPr>
      <w:sz w:val="24"/>
      <w:szCs w:val="24"/>
      <w:lang w:val="en-US" w:eastAsia="en-US"/>
    </w:rPr>
    <w:tblPr>
      <w:tblStyleRowBandSize w:val="1"/>
      <w:tblStyleColBandSize w:val="1"/>
    </w:tblPr>
  </w:style>
  <w:style w:type="table" w:customStyle="1" w:styleId="33">
    <w:name w:val="33"/>
    <w:basedOn w:val="TableNormal"/>
    <w:rsid w:val="00620061"/>
    <w:rPr>
      <w:sz w:val="24"/>
      <w:szCs w:val="24"/>
      <w:lang w:val="en-US" w:eastAsia="en-US"/>
    </w:rPr>
    <w:tblPr>
      <w:tblStyleRowBandSize w:val="1"/>
      <w:tblStyleColBandSize w:val="1"/>
    </w:tblPr>
  </w:style>
  <w:style w:type="table" w:customStyle="1" w:styleId="32">
    <w:name w:val="32"/>
    <w:basedOn w:val="TableNormal"/>
    <w:rsid w:val="00620061"/>
    <w:rPr>
      <w:sz w:val="24"/>
      <w:szCs w:val="24"/>
      <w:lang w:val="en-US" w:eastAsia="en-US"/>
    </w:rPr>
    <w:tblPr>
      <w:tblStyleRowBandSize w:val="1"/>
      <w:tblStyleColBandSize w:val="1"/>
    </w:tblPr>
  </w:style>
  <w:style w:type="table" w:customStyle="1" w:styleId="31">
    <w:name w:val="31"/>
    <w:basedOn w:val="TableNormal"/>
    <w:rsid w:val="00620061"/>
    <w:rPr>
      <w:sz w:val="24"/>
      <w:szCs w:val="24"/>
      <w:lang w:val="en-US" w:eastAsia="en-US"/>
    </w:rPr>
    <w:tblPr>
      <w:tblStyleRowBandSize w:val="1"/>
      <w:tblStyleColBandSize w:val="1"/>
    </w:tblPr>
  </w:style>
  <w:style w:type="table" w:customStyle="1" w:styleId="30">
    <w:name w:val="30"/>
    <w:basedOn w:val="TableNormal"/>
    <w:rsid w:val="00620061"/>
    <w:rPr>
      <w:sz w:val="24"/>
      <w:szCs w:val="24"/>
      <w:lang w:val="en-US" w:eastAsia="en-US"/>
    </w:rPr>
    <w:tblPr>
      <w:tblStyleRowBandSize w:val="1"/>
      <w:tblStyleColBandSize w:val="1"/>
    </w:tblPr>
  </w:style>
  <w:style w:type="table" w:customStyle="1" w:styleId="29">
    <w:name w:val="29"/>
    <w:basedOn w:val="TableNormal"/>
    <w:rsid w:val="00620061"/>
    <w:rPr>
      <w:sz w:val="24"/>
      <w:szCs w:val="24"/>
      <w:lang w:val="en-US" w:eastAsia="en-US"/>
    </w:rPr>
    <w:tblPr>
      <w:tblStyleRowBandSize w:val="1"/>
      <w:tblStyleColBandSize w:val="1"/>
    </w:tblPr>
  </w:style>
  <w:style w:type="table" w:customStyle="1" w:styleId="28">
    <w:name w:val="28"/>
    <w:basedOn w:val="TableNormal"/>
    <w:rsid w:val="00620061"/>
    <w:rPr>
      <w:sz w:val="24"/>
      <w:szCs w:val="24"/>
      <w:lang w:val="en-US" w:eastAsia="en-US"/>
    </w:rPr>
    <w:tblPr>
      <w:tblStyleRowBandSize w:val="1"/>
      <w:tblStyleColBandSize w:val="1"/>
    </w:tblPr>
  </w:style>
  <w:style w:type="table" w:customStyle="1" w:styleId="27">
    <w:name w:val="27"/>
    <w:basedOn w:val="TableNormal"/>
    <w:rsid w:val="00620061"/>
    <w:rPr>
      <w:sz w:val="24"/>
      <w:szCs w:val="24"/>
      <w:lang w:val="en-US" w:eastAsia="en-US"/>
    </w:rPr>
    <w:tblPr>
      <w:tblStyleRowBandSize w:val="1"/>
      <w:tblStyleColBandSize w:val="1"/>
    </w:tblPr>
  </w:style>
  <w:style w:type="table" w:customStyle="1" w:styleId="26">
    <w:name w:val="26"/>
    <w:basedOn w:val="TableNormal"/>
    <w:rsid w:val="00620061"/>
    <w:rPr>
      <w:sz w:val="24"/>
      <w:szCs w:val="24"/>
      <w:lang w:val="en-US" w:eastAsia="en-US"/>
    </w:rPr>
    <w:tblPr>
      <w:tblStyleRowBandSize w:val="1"/>
      <w:tblStyleColBandSize w:val="1"/>
    </w:tblPr>
  </w:style>
  <w:style w:type="table" w:customStyle="1" w:styleId="25">
    <w:name w:val="25"/>
    <w:basedOn w:val="TableNormal"/>
    <w:rsid w:val="00620061"/>
    <w:rPr>
      <w:sz w:val="24"/>
      <w:szCs w:val="24"/>
      <w:lang w:val="en-US" w:eastAsia="en-US"/>
    </w:rPr>
    <w:tblPr>
      <w:tblStyleRowBandSize w:val="1"/>
      <w:tblStyleColBandSize w:val="1"/>
    </w:tblPr>
  </w:style>
  <w:style w:type="table" w:customStyle="1" w:styleId="24">
    <w:name w:val="24"/>
    <w:basedOn w:val="TableNormal"/>
    <w:rsid w:val="00620061"/>
    <w:rPr>
      <w:sz w:val="24"/>
      <w:szCs w:val="24"/>
      <w:lang w:val="en-US" w:eastAsia="en-US"/>
    </w:rPr>
    <w:tblPr>
      <w:tblStyleRowBandSize w:val="1"/>
      <w:tblStyleColBandSize w:val="1"/>
    </w:tblPr>
  </w:style>
  <w:style w:type="table" w:customStyle="1" w:styleId="23">
    <w:name w:val="23"/>
    <w:basedOn w:val="TableNormal"/>
    <w:rsid w:val="00620061"/>
    <w:rPr>
      <w:sz w:val="24"/>
      <w:szCs w:val="24"/>
      <w:lang w:val="en-US" w:eastAsia="en-US"/>
    </w:rPr>
    <w:tblPr>
      <w:tblStyleRowBandSize w:val="1"/>
      <w:tblStyleColBandSize w:val="1"/>
    </w:tblPr>
  </w:style>
  <w:style w:type="table" w:customStyle="1" w:styleId="22">
    <w:name w:val="22"/>
    <w:basedOn w:val="TableNormal"/>
    <w:rsid w:val="00620061"/>
    <w:rPr>
      <w:sz w:val="24"/>
      <w:szCs w:val="24"/>
      <w:lang w:val="en-US" w:eastAsia="en-US"/>
    </w:rPr>
    <w:tblPr>
      <w:tblStyleRowBandSize w:val="1"/>
      <w:tblStyleColBandSize w:val="1"/>
    </w:tblPr>
  </w:style>
  <w:style w:type="table" w:customStyle="1" w:styleId="21">
    <w:name w:val="21"/>
    <w:basedOn w:val="TableNormal"/>
    <w:rsid w:val="00620061"/>
    <w:rPr>
      <w:sz w:val="24"/>
      <w:szCs w:val="24"/>
      <w:lang w:val="en-US" w:eastAsia="en-US"/>
    </w:rPr>
    <w:tblPr>
      <w:tblStyleRowBandSize w:val="1"/>
      <w:tblStyleColBandSize w:val="1"/>
    </w:tblPr>
  </w:style>
  <w:style w:type="table" w:customStyle="1" w:styleId="20">
    <w:name w:val="20"/>
    <w:basedOn w:val="TableNormal"/>
    <w:rsid w:val="00620061"/>
    <w:rPr>
      <w:sz w:val="24"/>
      <w:szCs w:val="24"/>
      <w:lang w:val="en-US" w:eastAsia="en-US"/>
    </w:rPr>
    <w:tblPr>
      <w:tblStyleRowBandSize w:val="1"/>
      <w:tblStyleColBandSize w:val="1"/>
    </w:tblPr>
  </w:style>
  <w:style w:type="table" w:customStyle="1" w:styleId="19">
    <w:name w:val="19"/>
    <w:basedOn w:val="TableNormal"/>
    <w:rsid w:val="00620061"/>
    <w:rPr>
      <w:sz w:val="24"/>
      <w:szCs w:val="24"/>
      <w:lang w:val="en-US" w:eastAsia="en-US"/>
    </w:rPr>
    <w:tblPr>
      <w:tblStyleRowBandSize w:val="1"/>
      <w:tblStyleColBandSize w:val="1"/>
    </w:tblPr>
  </w:style>
  <w:style w:type="table" w:customStyle="1" w:styleId="18">
    <w:name w:val="18"/>
    <w:basedOn w:val="TableNormal"/>
    <w:rsid w:val="00620061"/>
    <w:rPr>
      <w:sz w:val="24"/>
      <w:szCs w:val="24"/>
      <w:lang w:val="en-US" w:eastAsia="en-US"/>
    </w:rPr>
    <w:tblPr>
      <w:tblStyleRowBandSize w:val="1"/>
      <w:tblStyleColBandSize w:val="1"/>
    </w:tblPr>
  </w:style>
  <w:style w:type="table" w:customStyle="1" w:styleId="17">
    <w:name w:val="17"/>
    <w:basedOn w:val="TableNormal"/>
    <w:rsid w:val="00620061"/>
    <w:rPr>
      <w:sz w:val="24"/>
      <w:szCs w:val="24"/>
      <w:lang w:val="en-US" w:eastAsia="en-US"/>
    </w:rPr>
    <w:tblPr>
      <w:tblStyleRowBandSize w:val="1"/>
      <w:tblStyleColBandSize w:val="1"/>
    </w:tblPr>
  </w:style>
  <w:style w:type="table" w:customStyle="1" w:styleId="16">
    <w:name w:val="16"/>
    <w:basedOn w:val="TableNormal"/>
    <w:rsid w:val="00620061"/>
    <w:rPr>
      <w:sz w:val="24"/>
      <w:szCs w:val="24"/>
      <w:lang w:val="en-US" w:eastAsia="en-US"/>
    </w:rPr>
    <w:tblPr>
      <w:tblStyleRowBandSize w:val="1"/>
      <w:tblStyleColBandSize w:val="1"/>
    </w:tblPr>
  </w:style>
  <w:style w:type="table" w:customStyle="1" w:styleId="15">
    <w:name w:val="15"/>
    <w:basedOn w:val="TableNormal"/>
    <w:rsid w:val="00620061"/>
    <w:rPr>
      <w:sz w:val="24"/>
      <w:szCs w:val="24"/>
      <w:lang w:val="en-US" w:eastAsia="en-US"/>
    </w:rPr>
    <w:tblPr>
      <w:tblStyleRowBandSize w:val="1"/>
      <w:tblStyleColBandSize w:val="1"/>
    </w:tblPr>
  </w:style>
  <w:style w:type="table" w:customStyle="1" w:styleId="14">
    <w:name w:val="14"/>
    <w:basedOn w:val="TableNormal"/>
    <w:rsid w:val="00620061"/>
    <w:rPr>
      <w:sz w:val="24"/>
      <w:szCs w:val="24"/>
      <w:lang w:val="en-US" w:eastAsia="en-US"/>
    </w:rPr>
    <w:tblPr>
      <w:tblStyleRowBandSize w:val="1"/>
      <w:tblStyleColBandSize w:val="1"/>
    </w:tblPr>
  </w:style>
  <w:style w:type="table" w:customStyle="1" w:styleId="13">
    <w:name w:val="13"/>
    <w:basedOn w:val="TableNormal"/>
    <w:rsid w:val="00620061"/>
    <w:rPr>
      <w:sz w:val="24"/>
      <w:szCs w:val="24"/>
      <w:lang w:val="en-US" w:eastAsia="en-US"/>
    </w:rPr>
    <w:tblPr>
      <w:tblStyleRowBandSize w:val="1"/>
      <w:tblStyleColBandSize w:val="1"/>
    </w:tblPr>
  </w:style>
  <w:style w:type="table" w:customStyle="1" w:styleId="12">
    <w:name w:val="12"/>
    <w:basedOn w:val="TableNormal"/>
    <w:rsid w:val="00620061"/>
    <w:rPr>
      <w:sz w:val="24"/>
      <w:szCs w:val="24"/>
      <w:lang w:val="en-US" w:eastAsia="en-US"/>
    </w:rPr>
    <w:tblPr>
      <w:tblStyleRowBandSize w:val="1"/>
      <w:tblStyleColBandSize w:val="1"/>
    </w:tblPr>
  </w:style>
  <w:style w:type="table" w:customStyle="1" w:styleId="11">
    <w:name w:val="11"/>
    <w:basedOn w:val="TableNormal"/>
    <w:rsid w:val="00620061"/>
    <w:rPr>
      <w:sz w:val="24"/>
      <w:szCs w:val="24"/>
      <w:lang w:val="en-US" w:eastAsia="en-US"/>
    </w:rPr>
    <w:tblPr>
      <w:tblStyleRowBandSize w:val="1"/>
      <w:tblStyleColBandSize w:val="1"/>
    </w:tblPr>
  </w:style>
  <w:style w:type="table" w:customStyle="1" w:styleId="10">
    <w:name w:val="10"/>
    <w:basedOn w:val="TableNormal"/>
    <w:rsid w:val="00620061"/>
    <w:rPr>
      <w:sz w:val="24"/>
      <w:szCs w:val="24"/>
      <w:lang w:val="en-US" w:eastAsia="en-US"/>
    </w:rPr>
    <w:tblPr>
      <w:tblStyleRowBandSize w:val="1"/>
      <w:tblStyleColBandSize w:val="1"/>
    </w:tblPr>
  </w:style>
  <w:style w:type="table" w:customStyle="1" w:styleId="9">
    <w:name w:val="9"/>
    <w:basedOn w:val="TableNormal"/>
    <w:rsid w:val="00620061"/>
    <w:rPr>
      <w:sz w:val="24"/>
      <w:szCs w:val="24"/>
      <w:lang w:val="en-US" w:eastAsia="en-US"/>
    </w:rPr>
    <w:tblPr>
      <w:tblStyleRowBandSize w:val="1"/>
      <w:tblStyleColBandSize w:val="1"/>
    </w:tblPr>
  </w:style>
  <w:style w:type="table" w:customStyle="1" w:styleId="8">
    <w:name w:val="8"/>
    <w:basedOn w:val="TableNormal"/>
    <w:rsid w:val="00620061"/>
    <w:rPr>
      <w:sz w:val="24"/>
      <w:szCs w:val="24"/>
      <w:lang w:val="en-US" w:eastAsia="en-US"/>
    </w:rPr>
    <w:tblPr>
      <w:tblStyleRowBandSize w:val="1"/>
      <w:tblStyleColBandSize w:val="1"/>
    </w:tblPr>
  </w:style>
  <w:style w:type="table" w:customStyle="1" w:styleId="7">
    <w:name w:val="7"/>
    <w:basedOn w:val="TableNormal"/>
    <w:rsid w:val="00620061"/>
    <w:rPr>
      <w:sz w:val="24"/>
      <w:szCs w:val="24"/>
      <w:lang w:val="en-US" w:eastAsia="en-US"/>
    </w:rPr>
    <w:tblPr>
      <w:tblStyleRowBandSize w:val="1"/>
      <w:tblStyleColBandSize w:val="1"/>
    </w:tblPr>
  </w:style>
  <w:style w:type="table" w:customStyle="1" w:styleId="6">
    <w:name w:val="6"/>
    <w:basedOn w:val="TableNormal"/>
    <w:rsid w:val="00620061"/>
    <w:rPr>
      <w:sz w:val="24"/>
      <w:szCs w:val="24"/>
      <w:lang w:val="en-US" w:eastAsia="en-US"/>
    </w:rPr>
    <w:tblPr>
      <w:tblStyleRowBandSize w:val="1"/>
      <w:tblStyleColBandSize w:val="1"/>
    </w:tblPr>
  </w:style>
  <w:style w:type="table" w:customStyle="1" w:styleId="5">
    <w:name w:val="5"/>
    <w:basedOn w:val="TableNormal"/>
    <w:rsid w:val="00620061"/>
    <w:rPr>
      <w:sz w:val="24"/>
      <w:szCs w:val="24"/>
      <w:lang w:val="en-US" w:eastAsia="en-US"/>
    </w:rPr>
    <w:tblPr>
      <w:tblStyleRowBandSize w:val="1"/>
      <w:tblStyleColBandSize w:val="1"/>
    </w:tblPr>
  </w:style>
  <w:style w:type="table" w:customStyle="1" w:styleId="4">
    <w:name w:val="4"/>
    <w:basedOn w:val="TableNormal"/>
    <w:rsid w:val="00620061"/>
    <w:rPr>
      <w:sz w:val="24"/>
      <w:szCs w:val="24"/>
      <w:lang w:val="en-US" w:eastAsia="en-US"/>
    </w:rPr>
    <w:tblPr>
      <w:tblStyleRowBandSize w:val="1"/>
      <w:tblStyleColBandSize w:val="1"/>
      <w:tblCellMar>
        <w:left w:w="115" w:type="dxa"/>
        <w:right w:w="115" w:type="dxa"/>
      </w:tblCellMar>
    </w:tblPr>
  </w:style>
  <w:style w:type="table" w:customStyle="1" w:styleId="3">
    <w:name w:val="3"/>
    <w:basedOn w:val="TableNormal"/>
    <w:rsid w:val="00620061"/>
    <w:rPr>
      <w:sz w:val="24"/>
      <w:szCs w:val="24"/>
      <w:lang w:val="en-US" w:eastAsia="en-US"/>
    </w:rPr>
    <w:tblPr>
      <w:tblStyleRowBandSize w:val="1"/>
      <w:tblStyleColBandSize w:val="1"/>
      <w:tblCellMar>
        <w:top w:w="100" w:type="dxa"/>
        <w:left w:w="100" w:type="dxa"/>
        <w:bottom w:w="100" w:type="dxa"/>
        <w:right w:w="100" w:type="dxa"/>
      </w:tblCellMar>
    </w:tblPr>
  </w:style>
  <w:style w:type="table" w:customStyle="1" w:styleId="2">
    <w:name w:val="2"/>
    <w:basedOn w:val="TableNormal"/>
    <w:rsid w:val="00620061"/>
    <w:rPr>
      <w:sz w:val="24"/>
      <w:szCs w:val="24"/>
      <w:lang w:val="en-US" w:eastAsia="en-US"/>
    </w:rPr>
    <w:tblPr>
      <w:tblStyleRowBandSize w:val="1"/>
      <w:tblStyleColBandSize w:val="1"/>
      <w:tblCellMar>
        <w:top w:w="100" w:type="dxa"/>
        <w:left w:w="100" w:type="dxa"/>
        <w:bottom w:w="100" w:type="dxa"/>
        <w:right w:w="100" w:type="dxa"/>
      </w:tblCellMar>
    </w:tblPr>
  </w:style>
  <w:style w:type="table" w:customStyle="1" w:styleId="1">
    <w:name w:val="1"/>
    <w:basedOn w:val="TableNormal"/>
    <w:rsid w:val="00620061"/>
    <w:rPr>
      <w:sz w:val="24"/>
      <w:szCs w:val="24"/>
      <w:lang w:val="en-US" w:eastAsia="en-US"/>
    </w:rPr>
    <w:tblPr>
      <w:tblStyleRowBandSize w:val="1"/>
      <w:tblStyleColBandSize w:val="1"/>
      <w:tblCellMar>
        <w:top w:w="100" w:type="dxa"/>
        <w:left w:w="100" w:type="dxa"/>
        <w:bottom w:w="100" w:type="dxa"/>
        <w:right w:w="100" w:type="dxa"/>
      </w:tblCellMar>
    </w:tblPr>
  </w:style>
  <w:style w:type="character" w:styleId="LineNumber">
    <w:name w:val="line number"/>
    <w:basedOn w:val="DefaultParagraphFont"/>
    <w:uiPriority w:val="99"/>
    <w:semiHidden/>
    <w:unhideWhenUsed/>
    <w:rsid w:val="006200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9980747">
      <w:bodyDiv w:val="1"/>
      <w:marLeft w:val="0"/>
      <w:marRight w:val="0"/>
      <w:marTop w:val="0"/>
      <w:marBottom w:val="0"/>
      <w:divBdr>
        <w:top w:val="none" w:sz="0" w:space="0" w:color="auto"/>
        <w:left w:val="none" w:sz="0" w:space="0" w:color="auto"/>
        <w:bottom w:val="none" w:sz="0" w:space="0" w:color="auto"/>
        <w:right w:val="none" w:sz="0" w:space="0" w:color="auto"/>
      </w:divBdr>
    </w:div>
    <w:div w:id="145635043">
      <w:bodyDiv w:val="1"/>
      <w:marLeft w:val="0"/>
      <w:marRight w:val="0"/>
      <w:marTop w:val="0"/>
      <w:marBottom w:val="0"/>
      <w:divBdr>
        <w:top w:val="none" w:sz="0" w:space="0" w:color="auto"/>
        <w:left w:val="none" w:sz="0" w:space="0" w:color="auto"/>
        <w:bottom w:val="none" w:sz="0" w:space="0" w:color="auto"/>
        <w:right w:val="none" w:sz="0" w:space="0" w:color="auto"/>
      </w:divBdr>
      <w:divsChild>
        <w:div w:id="186138134">
          <w:marLeft w:val="0"/>
          <w:marRight w:val="0"/>
          <w:marTop w:val="0"/>
          <w:marBottom w:val="0"/>
          <w:divBdr>
            <w:top w:val="none" w:sz="0" w:space="0" w:color="auto"/>
            <w:left w:val="none" w:sz="0" w:space="0" w:color="auto"/>
            <w:bottom w:val="none" w:sz="0" w:space="0" w:color="auto"/>
            <w:right w:val="none" w:sz="0" w:space="0" w:color="auto"/>
          </w:divBdr>
          <w:divsChild>
            <w:div w:id="627010087">
              <w:marLeft w:val="-75"/>
              <w:marRight w:val="0"/>
              <w:marTop w:val="30"/>
              <w:marBottom w:val="30"/>
              <w:divBdr>
                <w:top w:val="none" w:sz="0" w:space="0" w:color="auto"/>
                <w:left w:val="none" w:sz="0" w:space="0" w:color="auto"/>
                <w:bottom w:val="none" w:sz="0" w:space="0" w:color="auto"/>
                <w:right w:val="none" w:sz="0" w:space="0" w:color="auto"/>
              </w:divBdr>
              <w:divsChild>
                <w:div w:id="46877208">
                  <w:marLeft w:val="0"/>
                  <w:marRight w:val="0"/>
                  <w:marTop w:val="0"/>
                  <w:marBottom w:val="0"/>
                  <w:divBdr>
                    <w:top w:val="none" w:sz="0" w:space="0" w:color="auto"/>
                    <w:left w:val="none" w:sz="0" w:space="0" w:color="auto"/>
                    <w:bottom w:val="none" w:sz="0" w:space="0" w:color="auto"/>
                    <w:right w:val="none" w:sz="0" w:space="0" w:color="auto"/>
                  </w:divBdr>
                  <w:divsChild>
                    <w:div w:id="1630547317">
                      <w:marLeft w:val="0"/>
                      <w:marRight w:val="0"/>
                      <w:marTop w:val="0"/>
                      <w:marBottom w:val="0"/>
                      <w:divBdr>
                        <w:top w:val="none" w:sz="0" w:space="0" w:color="auto"/>
                        <w:left w:val="none" w:sz="0" w:space="0" w:color="auto"/>
                        <w:bottom w:val="none" w:sz="0" w:space="0" w:color="auto"/>
                        <w:right w:val="none" w:sz="0" w:space="0" w:color="auto"/>
                      </w:divBdr>
                    </w:div>
                  </w:divsChild>
                </w:div>
                <w:div w:id="90007869">
                  <w:marLeft w:val="0"/>
                  <w:marRight w:val="0"/>
                  <w:marTop w:val="0"/>
                  <w:marBottom w:val="0"/>
                  <w:divBdr>
                    <w:top w:val="none" w:sz="0" w:space="0" w:color="auto"/>
                    <w:left w:val="none" w:sz="0" w:space="0" w:color="auto"/>
                    <w:bottom w:val="none" w:sz="0" w:space="0" w:color="auto"/>
                    <w:right w:val="none" w:sz="0" w:space="0" w:color="auto"/>
                  </w:divBdr>
                  <w:divsChild>
                    <w:div w:id="1728913637">
                      <w:marLeft w:val="0"/>
                      <w:marRight w:val="0"/>
                      <w:marTop w:val="0"/>
                      <w:marBottom w:val="0"/>
                      <w:divBdr>
                        <w:top w:val="none" w:sz="0" w:space="0" w:color="auto"/>
                        <w:left w:val="none" w:sz="0" w:space="0" w:color="auto"/>
                        <w:bottom w:val="none" w:sz="0" w:space="0" w:color="auto"/>
                        <w:right w:val="none" w:sz="0" w:space="0" w:color="auto"/>
                      </w:divBdr>
                    </w:div>
                  </w:divsChild>
                </w:div>
                <w:div w:id="154075931">
                  <w:marLeft w:val="0"/>
                  <w:marRight w:val="0"/>
                  <w:marTop w:val="0"/>
                  <w:marBottom w:val="0"/>
                  <w:divBdr>
                    <w:top w:val="none" w:sz="0" w:space="0" w:color="auto"/>
                    <w:left w:val="none" w:sz="0" w:space="0" w:color="auto"/>
                    <w:bottom w:val="none" w:sz="0" w:space="0" w:color="auto"/>
                    <w:right w:val="none" w:sz="0" w:space="0" w:color="auto"/>
                  </w:divBdr>
                  <w:divsChild>
                    <w:div w:id="1758819530">
                      <w:marLeft w:val="0"/>
                      <w:marRight w:val="0"/>
                      <w:marTop w:val="0"/>
                      <w:marBottom w:val="0"/>
                      <w:divBdr>
                        <w:top w:val="none" w:sz="0" w:space="0" w:color="auto"/>
                        <w:left w:val="none" w:sz="0" w:space="0" w:color="auto"/>
                        <w:bottom w:val="none" w:sz="0" w:space="0" w:color="auto"/>
                        <w:right w:val="none" w:sz="0" w:space="0" w:color="auto"/>
                      </w:divBdr>
                    </w:div>
                  </w:divsChild>
                </w:div>
                <w:div w:id="293297667">
                  <w:marLeft w:val="0"/>
                  <w:marRight w:val="0"/>
                  <w:marTop w:val="0"/>
                  <w:marBottom w:val="0"/>
                  <w:divBdr>
                    <w:top w:val="none" w:sz="0" w:space="0" w:color="auto"/>
                    <w:left w:val="none" w:sz="0" w:space="0" w:color="auto"/>
                    <w:bottom w:val="none" w:sz="0" w:space="0" w:color="auto"/>
                    <w:right w:val="none" w:sz="0" w:space="0" w:color="auto"/>
                  </w:divBdr>
                  <w:divsChild>
                    <w:div w:id="129521497">
                      <w:marLeft w:val="0"/>
                      <w:marRight w:val="0"/>
                      <w:marTop w:val="0"/>
                      <w:marBottom w:val="0"/>
                      <w:divBdr>
                        <w:top w:val="none" w:sz="0" w:space="0" w:color="auto"/>
                        <w:left w:val="none" w:sz="0" w:space="0" w:color="auto"/>
                        <w:bottom w:val="none" w:sz="0" w:space="0" w:color="auto"/>
                        <w:right w:val="none" w:sz="0" w:space="0" w:color="auto"/>
                      </w:divBdr>
                    </w:div>
                  </w:divsChild>
                </w:div>
                <w:div w:id="337773032">
                  <w:marLeft w:val="0"/>
                  <w:marRight w:val="0"/>
                  <w:marTop w:val="0"/>
                  <w:marBottom w:val="0"/>
                  <w:divBdr>
                    <w:top w:val="none" w:sz="0" w:space="0" w:color="auto"/>
                    <w:left w:val="none" w:sz="0" w:space="0" w:color="auto"/>
                    <w:bottom w:val="none" w:sz="0" w:space="0" w:color="auto"/>
                    <w:right w:val="none" w:sz="0" w:space="0" w:color="auto"/>
                  </w:divBdr>
                  <w:divsChild>
                    <w:div w:id="1381637256">
                      <w:marLeft w:val="0"/>
                      <w:marRight w:val="0"/>
                      <w:marTop w:val="0"/>
                      <w:marBottom w:val="0"/>
                      <w:divBdr>
                        <w:top w:val="none" w:sz="0" w:space="0" w:color="auto"/>
                        <w:left w:val="none" w:sz="0" w:space="0" w:color="auto"/>
                        <w:bottom w:val="none" w:sz="0" w:space="0" w:color="auto"/>
                        <w:right w:val="none" w:sz="0" w:space="0" w:color="auto"/>
                      </w:divBdr>
                    </w:div>
                  </w:divsChild>
                </w:div>
                <w:div w:id="384259589">
                  <w:marLeft w:val="0"/>
                  <w:marRight w:val="0"/>
                  <w:marTop w:val="0"/>
                  <w:marBottom w:val="0"/>
                  <w:divBdr>
                    <w:top w:val="none" w:sz="0" w:space="0" w:color="auto"/>
                    <w:left w:val="none" w:sz="0" w:space="0" w:color="auto"/>
                    <w:bottom w:val="none" w:sz="0" w:space="0" w:color="auto"/>
                    <w:right w:val="none" w:sz="0" w:space="0" w:color="auto"/>
                  </w:divBdr>
                  <w:divsChild>
                    <w:div w:id="1258833208">
                      <w:marLeft w:val="0"/>
                      <w:marRight w:val="0"/>
                      <w:marTop w:val="0"/>
                      <w:marBottom w:val="0"/>
                      <w:divBdr>
                        <w:top w:val="none" w:sz="0" w:space="0" w:color="auto"/>
                        <w:left w:val="none" w:sz="0" w:space="0" w:color="auto"/>
                        <w:bottom w:val="none" w:sz="0" w:space="0" w:color="auto"/>
                        <w:right w:val="none" w:sz="0" w:space="0" w:color="auto"/>
                      </w:divBdr>
                    </w:div>
                  </w:divsChild>
                </w:div>
                <w:div w:id="394007941">
                  <w:marLeft w:val="0"/>
                  <w:marRight w:val="0"/>
                  <w:marTop w:val="0"/>
                  <w:marBottom w:val="0"/>
                  <w:divBdr>
                    <w:top w:val="none" w:sz="0" w:space="0" w:color="auto"/>
                    <w:left w:val="none" w:sz="0" w:space="0" w:color="auto"/>
                    <w:bottom w:val="none" w:sz="0" w:space="0" w:color="auto"/>
                    <w:right w:val="none" w:sz="0" w:space="0" w:color="auto"/>
                  </w:divBdr>
                  <w:divsChild>
                    <w:div w:id="48113897">
                      <w:marLeft w:val="0"/>
                      <w:marRight w:val="0"/>
                      <w:marTop w:val="0"/>
                      <w:marBottom w:val="0"/>
                      <w:divBdr>
                        <w:top w:val="none" w:sz="0" w:space="0" w:color="auto"/>
                        <w:left w:val="none" w:sz="0" w:space="0" w:color="auto"/>
                        <w:bottom w:val="none" w:sz="0" w:space="0" w:color="auto"/>
                        <w:right w:val="none" w:sz="0" w:space="0" w:color="auto"/>
                      </w:divBdr>
                    </w:div>
                  </w:divsChild>
                </w:div>
                <w:div w:id="449053145">
                  <w:marLeft w:val="0"/>
                  <w:marRight w:val="0"/>
                  <w:marTop w:val="0"/>
                  <w:marBottom w:val="0"/>
                  <w:divBdr>
                    <w:top w:val="none" w:sz="0" w:space="0" w:color="auto"/>
                    <w:left w:val="none" w:sz="0" w:space="0" w:color="auto"/>
                    <w:bottom w:val="none" w:sz="0" w:space="0" w:color="auto"/>
                    <w:right w:val="none" w:sz="0" w:space="0" w:color="auto"/>
                  </w:divBdr>
                  <w:divsChild>
                    <w:div w:id="1995522176">
                      <w:marLeft w:val="0"/>
                      <w:marRight w:val="0"/>
                      <w:marTop w:val="0"/>
                      <w:marBottom w:val="0"/>
                      <w:divBdr>
                        <w:top w:val="none" w:sz="0" w:space="0" w:color="auto"/>
                        <w:left w:val="none" w:sz="0" w:space="0" w:color="auto"/>
                        <w:bottom w:val="none" w:sz="0" w:space="0" w:color="auto"/>
                        <w:right w:val="none" w:sz="0" w:space="0" w:color="auto"/>
                      </w:divBdr>
                    </w:div>
                  </w:divsChild>
                </w:div>
                <w:div w:id="577324137">
                  <w:marLeft w:val="0"/>
                  <w:marRight w:val="0"/>
                  <w:marTop w:val="0"/>
                  <w:marBottom w:val="0"/>
                  <w:divBdr>
                    <w:top w:val="none" w:sz="0" w:space="0" w:color="auto"/>
                    <w:left w:val="none" w:sz="0" w:space="0" w:color="auto"/>
                    <w:bottom w:val="none" w:sz="0" w:space="0" w:color="auto"/>
                    <w:right w:val="none" w:sz="0" w:space="0" w:color="auto"/>
                  </w:divBdr>
                  <w:divsChild>
                    <w:div w:id="54161580">
                      <w:marLeft w:val="0"/>
                      <w:marRight w:val="0"/>
                      <w:marTop w:val="0"/>
                      <w:marBottom w:val="0"/>
                      <w:divBdr>
                        <w:top w:val="none" w:sz="0" w:space="0" w:color="auto"/>
                        <w:left w:val="none" w:sz="0" w:space="0" w:color="auto"/>
                        <w:bottom w:val="none" w:sz="0" w:space="0" w:color="auto"/>
                        <w:right w:val="none" w:sz="0" w:space="0" w:color="auto"/>
                      </w:divBdr>
                    </w:div>
                  </w:divsChild>
                </w:div>
                <w:div w:id="580530352">
                  <w:marLeft w:val="0"/>
                  <w:marRight w:val="0"/>
                  <w:marTop w:val="0"/>
                  <w:marBottom w:val="0"/>
                  <w:divBdr>
                    <w:top w:val="none" w:sz="0" w:space="0" w:color="auto"/>
                    <w:left w:val="none" w:sz="0" w:space="0" w:color="auto"/>
                    <w:bottom w:val="none" w:sz="0" w:space="0" w:color="auto"/>
                    <w:right w:val="none" w:sz="0" w:space="0" w:color="auto"/>
                  </w:divBdr>
                  <w:divsChild>
                    <w:div w:id="940798424">
                      <w:marLeft w:val="0"/>
                      <w:marRight w:val="0"/>
                      <w:marTop w:val="0"/>
                      <w:marBottom w:val="0"/>
                      <w:divBdr>
                        <w:top w:val="none" w:sz="0" w:space="0" w:color="auto"/>
                        <w:left w:val="none" w:sz="0" w:space="0" w:color="auto"/>
                        <w:bottom w:val="none" w:sz="0" w:space="0" w:color="auto"/>
                        <w:right w:val="none" w:sz="0" w:space="0" w:color="auto"/>
                      </w:divBdr>
                    </w:div>
                  </w:divsChild>
                </w:div>
                <w:div w:id="589049866">
                  <w:marLeft w:val="0"/>
                  <w:marRight w:val="0"/>
                  <w:marTop w:val="0"/>
                  <w:marBottom w:val="0"/>
                  <w:divBdr>
                    <w:top w:val="none" w:sz="0" w:space="0" w:color="auto"/>
                    <w:left w:val="none" w:sz="0" w:space="0" w:color="auto"/>
                    <w:bottom w:val="none" w:sz="0" w:space="0" w:color="auto"/>
                    <w:right w:val="none" w:sz="0" w:space="0" w:color="auto"/>
                  </w:divBdr>
                  <w:divsChild>
                    <w:div w:id="606080481">
                      <w:marLeft w:val="0"/>
                      <w:marRight w:val="0"/>
                      <w:marTop w:val="0"/>
                      <w:marBottom w:val="0"/>
                      <w:divBdr>
                        <w:top w:val="none" w:sz="0" w:space="0" w:color="auto"/>
                        <w:left w:val="none" w:sz="0" w:space="0" w:color="auto"/>
                        <w:bottom w:val="none" w:sz="0" w:space="0" w:color="auto"/>
                        <w:right w:val="none" w:sz="0" w:space="0" w:color="auto"/>
                      </w:divBdr>
                    </w:div>
                    <w:div w:id="1937787930">
                      <w:marLeft w:val="0"/>
                      <w:marRight w:val="0"/>
                      <w:marTop w:val="0"/>
                      <w:marBottom w:val="0"/>
                      <w:divBdr>
                        <w:top w:val="none" w:sz="0" w:space="0" w:color="auto"/>
                        <w:left w:val="none" w:sz="0" w:space="0" w:color="auto"/>
                        <w:bottom w:val="none" w:sz="0" w:space="0" w:color="auto"/>
                        <w:right w:val="none" w:sz="0" w:space="0" w:color="auto"/>
                      </w:divBdr>
                    </w:div>
                  </w:divsChild>
                </w:div>
                <w:div w:id="589315803">
                  <w:marLeft w:val="0"/>
                  <w:marRight w:val="0"/>
                  <w:marTop w:val="0"/>
                  <w:marBottom w:val="0"/>
                  <w:divBdr>
                    <w:top w:val="none" w:sz="0" w:space="0" w:color="auto"/>
                    <w:left w:val="none" w:sz="0" w:space="0" w:color="auto"/>
                    <w:bottom w:val="none" w:sz="0" w:space="0" w:color="auto"/>
                    <w:right w:val="none" w:sz="0" w:space="0" w:color="auto"/>
                  </w:divBdr>
                  <w:divsChild>
                    <w:div w:id="346954271">
                      <w:marLeft w:val="0"/>
                      <w:marRight w:val="0"/>
                      <w:marTop w:val="0"/>
                      <w:marBottom w:val="0"/>
                      <w:divBdr>
                        <w:top w:val="none" w:sz="0" w:space="0" w:color="auto"/>
                        <w:left w:val="none" w:sz="0" w:space="0" w:color="auto"/>
                        <w:bottom w:val="none" w:sz="0" w:space="0" w:color="auto"/>
                        <w:right w:val="none" w:sz="0" w:space="0" w:color="auto"/>
                      </w:divBdr>
                    </w:div>
                  </w:divsChild>
                </w:div>
                <w:div w:id="604462715">
                  <w:marLeft w:val="0"/>
                  <w:marRight w:val="0"/>
                  <w:marTop w:val="0"/>
                  <w:marBottom w:val="0"/>
                  <w:divBdr>
                    <w:top w:val="none" w:sz="0" w:space="0" w:color="auto"/>
                    <w:left w:val="none" w:sz="0" w:space="0" w:color="auto"/>
                    <w:bottom w:val="none" w:sz="0" w:space="0" w:color="auto"/>
                    <w:right w:val="none" w:sz="0" w:space="0" w:color="auto"/>
                  </w:divBdr>
                  <w:divsChild>
                    <w:div w:id="2000227863">
                      <w:marLeft w:val="0"/>
                      <w:marRight w:val="0"/>
                      <w:marTop w:val="0"/>
                      <w:marBottom w:val="0"/>
                      <w:divBdr>
                        <w:top w:val="none" w:sz="0" w:space="0" w:color="auto"/>
                        <w:left w:val="none" w:sz="0" w:space="0" w:color="auto"/>
                        <w:bottom w:val="none" w:sz="0" w:space="0" w:color="auto"/>
                        <w:right w:val="none" w:sz="0" w:space="0" w:color="auto"/>
                      </w:divBdr>
                    </w:div>
                  </w:divsChild>
                </w:div>
                <w:div w:id="759176663">
                  <w:marLeft w:val="0"/>
                  <w:marRight w:val="0"/>
                  <w:marTop w:val="0"/>
                  <w:marBottom w:val="0"/>
                  <w:divBdr>
                    <w:top w:val="none" w:sz="0" w:space="0" w:color="auto"/>
                    <w:left w:val="none" w:sz="0" w:space="0" w:color="auto"/>
                    <w:bottom w:val="none" w:sz="0" w:space="0" w:color="auto"/>
                    <w:right w:val="none" w:sz="0" w:space="0" w:color="auto"/>
                  </w:divBdr>
                  <w:divsChild>
                    <w:div w:id="1193347768">
                      <w:marLeft w:val="0"/>
                      <w:marRight w:val="0"/>
                      <w:marTop w:val="0"/>
                      <w:marBottom w:val="0"/>
                      <w:divBdr>
                        <w:top w:val="none" w:sz="0" w:space="0" w:color="auto"/>
                        <w:left w:val="none" w:sz="0" w:space="0" w:color="auto"/>
                        <w:bottom w:val="none" w:sz="0" w:space="0" w:color="auto"/>
                        <w:right w:val="none" w:sz="0" w:space="0" w:color="auto"/>
                      </w:divBdr>
                    </w:div>
                  </w:divsChild>
                </w:div>
                <w:div w:id="783420724">
                  <w:marLeft w:val="0"/>
                  <w:marRight w:val="0"/>
                  <w:marTop w:val="0"/>
                  <w:marBottom w:val="0"/>
                  <w:divBdr>
                    <w:top w:val="none" w:sz="0" w:space="0" w:color="auto"/>
                    <w:left w:val="none" w:sz="0" w:space="0" w:color="auto"/>
                    <w:bottom w:val="none" w:sz="0" w:space="0" w:color="auto"/>
                    <w:right w:val="none" w:sz="0" w:space="0" w:color="auto"/>
                  </w:divBdr>
                  <w:divsChild>
                    <w:div w:id="199511123">
                      <w:marLeft w:val="0"/>
                      <w:marRight w:val="0"/>
                      <w:marTop w:val="0"/>
                      <w:marBottom w:val="0"/>
                      <w:divBdr>
                        <w:top w:val="none" w:sz="0" w:space="0" w:color="auto"/>
                        <w:left w:val="none" w:sz="0" w:space="0" w:color="auto"/>
                        <w:bottom w:val="none" w:sz="0" w:space="0" w:color="auto"/>
                        <w:right w:val="none" w:sz="0" w:space="0" w:color="auto"/>
                      </w:divBdr>
                    </w:div>
                  </w:divsChild>
                </w:div>
                <w:div w:id="831602783">
                  <w:marLeft w:val="0"/>
                  <w:marRight w:val="0"/>
                  <w:marTop w:val="0"/>
                  <w:marBottom w:val="0"/>
                  <w:divBdr>
                    <w:top w:val="none" w:sz="0" w:space="0" w:color="auto"/>
                    <w:left w:val="none" w:sz="0" w:space="0" w:color="auto"/>
                    <w:bottom w:val="none" w:sz="0" w:space="0" w:color="auto"/>
                    <w:right w:val="none" w:sz="0" w:space="0" w:color="auto"/>
                  </w:divBdr>
                  <w:divsChild>
                    <w:div w:id="43064123">
                      <w:marLeft w:val="0"/>
                      <w:marRight w:val="0"/>
                      <w:marTop w:val="0"/>
                      <w:marBottom w:val="0"/>
                      <w:divBdr>
                        <w:top w:val="none" w:sz="0" w:space="0" w:color="auto"/>
                        <w:left w:val="none" w:sz="0" w:space="0" w:color="auto"/>
                        <w:bottom w:val="none" w:sz="0" w:space="0" w:color="auto"/>
                        <w:right w:val="none" w:sz="0" w:space="0" w:color="auto"/>
                      </w:divBdr>
                    </w:div>
                  </w:divsChild>
                </w:div>
                <w:div w:id="843058182">
                  <w:marLeft w:val="0"/>
                  <w:marRight w:val="0"/>
                  <w:marTop w:val="0"/>
                  <w:marBottom w:val="0"/>
                  <w:divBdr>
                    <w:top w:val="none" w:sz="0" w:space="0" w:color="auto"/>
                    <w:left w:val="none" w:sz="0" w:space="0" w:color="auto"/>
                    <w:bottom w:val="none" w:sz="0" w:space="0" w:color="auto"/>
                    <w:right w:val="none" w:sz="0" w:space="0" w:color="auto"/>
                  </w:divBdr>
                  <w:divsChild>
                    <w:div w:id="987321878">
                      <w:marLeft w:val="0"/>
                      <w:marRight w:val="0"/>
                      <w:marTop w:val="0"/>
                      <w:marBottom w:val="0"/>
                      <w:divBdr>
                        <w:top w:val="none" w:sz="0" w:space="0" w:color="auto"/>
                        <w:left w:val="none" w:sz="0" w:space="0" w:color="auto"/>
                        <w:bottom w:val="none" w:sz="0" w:space="0" w:color="auto"/>
                        <w:right w:val="none" w:sz="0" w:space="0" w:color="auto"/>
                      </w:divBdr>
                    </w:div>
                  </w:divsChild>
                </w:div>
                <w:div w:id="928544738">
                  <w:marLeft w:val="0"/>
                  <w:marRight w:val="0"/>
                  <w:marTop w:val="0"/>
                  <w:marBottom w:val="0"/>
                  <w:divBdr>
                    <w:top w:val="none" w:sz="0" w:space="0" w:color="auto"/>
                    <w:left w:val="none" w:sz="0" w:space="0" w:color="auto"/>
                    <w:bottom w:val="none" w:sz="0" w:space="0" w:color="auto"/>
                    <w:right w:val="none" w:sz="0" w:space="0" w:color="auto"/>
                  </w:divBdr>
                  <w:divsChild>
                    <w:div w:id="679740741">
                      <w:marLeft w:val="0"/>
                      <w:marRight w:val="0"/>
                      <w:marTop w:val="0"/>
                      <w:marBottom w:val="0"/>
                      <w:divBdr>
                        <w:top w:val="none" w:sz="0" w:space="0" w:color="auto"/>
                        <w:left w:val="none" w:sz="0" w:space="0" w:color="auto"/>
                        <w:bottom w:val="none" w:sz="0" w:space="0" w:color="auto"/>
                        <w:right w:val="none" w:sz="0" w:space="0" w:color="auto"/>
                      </w:divBdr>
                    </w:div>
                  </w:divsChild>
                </w:div>
                <w:div w:id="971523490">
                  <w:marLeft w:val="0"/>
                  <w:marRight w:val="0"/>
                  <w:marTop w:val="0"/>
                  <w:marBottom w:val="0"/>
                  <w:divBdr>
                    <w:top w:val="none" w:sz="0" w:space="0" w:color="auto"/>
                    <w:left w:val="none" w:sz="0" w:space="0" w:color="auto"/>
                    <w:bottom w:val="none" w:sz="0" w:space="0" w:color="auto"/>
                    <w:right w:val="none" w:sz="0" w:space="0" w:color="auto"/>
                  </w:divBdr>
                  <w:divsChild>
                    <w:div w:id="223686053">
                      <w:marLeft w:val="0"/>
                      <w:marRight w:val="0"/>
                      <w:marTop w:val="0"/>
                      <w:marBottom w:val="0"/>
                      <w:divBdr>
                        <w:top w:val="none" w:sz="0" w:space="0" w:color="auto"/>
                        <w:left w:val="none" w:sz="0" w:space="0" w:color="auto"/>
                        <w:bottom w:val="none" w:sz="0" w:space="0" w:color="auto"/>
                        <w:right w:val="none" w:sz="0" w:space="0" w:color="auto"/>
                      </w:divBdr>
                    </w:div>
                  </w:divsChild>
                </w:div>
                <w:div w:id="995380443">
                  <w:marLeft w:val="0"/>
                  <w:marRight w:val="0"/>
                  <w:marTop w:val="0"/>
                  <w:marBottom w:val="0"/>
                  <w:divBdr>
                    <w:top w:val="none" w:sz="0" w:space="0" w:color="auto"/>
                    <w:left w:val="none" w:sz="0" w:space="0" w:color="auto"/>
                    <w:bottom w:val="none" w:sz="0" w:space="0" w:color="auto"/>
                    <w:right w:val="none" w:sz="0" w:space="0" w:color="auto"/>
                  </w:divBdr>
                  <w:divsChild>
                    <w:div w:id="1450470075">
                      <w:marLeft w:val="0"/>
                      <w:marRight w:val="0"/>
                      <w:marTop w:val="0"/>
                      <w:marBottom w:val="0"/>
                      <w:divBdr>
                        <w:top w:val="none" w:sz="0" w:space="0" w:color="auto"/>
                        <w:left w:val="none" w:sz="0" w:space="0" w:color="auto"/>
                        <w:bottom w:val="none" w:sz="0" w:space="0" w:color="auto"/>
                        <w:right w:val="none" w:sz="0" w:space="0" w:color="auto"/>
                      </w:divBdr>
                    </w:div>
                  </w:divsChild>
                </w:div>
                <w:div w:id="1026173886">
                  <w:marLeft w:val="0"/>
                  <w:marRight w:val="0"/>
                  <w:marTop w:val="0"/>
                  <w:marBottom w:val="0"/>
                  <w:divBdr>
                    <w:top w:val="none" w:sz="0" w:space="0" w:color="auto"/>
                    <w:left w:val="none" w:sz="0" w:space="0" w:color="auto"/>
                    <w:bottom w:val="none" w:sz="0" w:space="0" w:color="auto"/>
                    <w:right w:val="none" w:sz="0" w:space="0" w:color="auto"/>
                  </w:divBdr>
                  <w:divsChild>
                    <w:div w:id="1940676369">
                      <w:marLeft w:val="0"/>
                      <w:marRight w:val="0"/>
                      <w:marTop w:val="0"/>
                      <w:marBottom w:val="0"/>
                      <w:divBdr>
                        <w:top w:val="none" w:sz="0" w:space="0" w:color="auto"/>
                        <w:left w:val="none" w:sz="0" w:space="0" w:color="auto"/>
                        <w:bottom w:val="none" w:sz="0" w:space="0" w:color="auto"/>
                        <w:right w:val="none" w:sz="0" w:space="0" w:color="auto"/>
                      </w:divBdr>
                    </w:div>
                  </w:divsChild>
                </w:div>
                <w:div w:id="1042680455">
                  <w:marLeft w:val="0"/>
                  <w:marRight w:val="0"/>
                  <w:marTop w:val="0"/>
                  <w:marBottom w:val="0"/>
                  <w:divBdr>
                    <w:top w:val="none" w:sz="0" w:space="0" w:color="auto"/>
                    <w:left w:val="none" w:sz="0" w:space="0" w:color="auto"/>
                    <w:bottom w:val="none" w:sz="0" w:space="0" w:color="auto"/>
                    <w:right w:val="none" w:sz="0" w:space="0" w:color="auto"/>
                  </w:divBdr>
                  <w:divsChild>
                    <w:div w:id="1226645591">
                      <w:marLeft w:val="0"/>
                      <w:marRight w:val="0"/>
                      <w:marTop w:val="0"/>
                      <w:marBottom w:val="0"/>
                      <w:divBdr>
                        <w:top w:val="none" w:sz="0" w:space="0" w:color="auto"/>
                        <w:left w:val="none" w:sz="0" w:space="0" w:color="auto"/>
                        <w:bottom w:val="none" w:sz="0" w:space="0" w:color="auto"/>
                        <w:right w:val="none" w:sz="0" w:space="0" w:color="auto"/>
                      </w:divBdr>
                    </w:div>
                  </w:divsChild>
                </w:div>
                <w:div w:id="1071848452">
                  <w:marLeft w:val="0"/>
                  <w:marRight w:val="0"/>
                  <w:marTop w:val="0"/>
                  <w:marBottom w:val="0"/>
                  <w:divBdr>
                    <w:top w:val="none" w:sz="0" w:space="0" w:color="auto"/>
                    <w:left w:val="none" w:sz="0" w:space="0" w:color="auto"/>
                    <w:bottom w:val="none" w:sz="0" w:space="0" w:color="auto"/>
                    <w:right w:val="none" w:sz="0" w:space="0" w:color="auto"/>
                  </w:divBdr>
                  <w:divsChild>
                    <w:div w:id="749427083">
                      <w:marLeft w:val="0"/>
                      <w:marRight w:val="0"/>
                      <w:marTop w:val="0"/>
                      <w:marBottom w:val="0"/>
                      <w:divBdr>
                        <w:top w:val="none" w:sz="0" w:space="0" w:color="auto"/>
                        <w:left w:val="none" w:sz="0" w:space="0" w:color="auto"/>
                        <w:bottom w:val="none" w:sz="0" w:space="0" w:color="auto"/>
                        <w:right w:val="none" w:sz="0" w:space="0" w:color="auto"/>
                      </w:divBdr>
                    </w:div>
                  </w:divsChild>
                </w:div>
                <w:div w:id="1112551249">
                  <w:marLeft w:val="0"/>
                  <w:marRight w:val="0"/>
                  <w:marTop w:val="0"/>
                  <w:marBottom w:val="0"/>
                  <w:divBdr>
                    <w:top w:val="none" w:sz="0" w:space="0" w:color="auto"/>
                    <w:left w:val="none" w:sz="0" w:space="0" w:color="auto"/>
                    <w:bottom w:val="none" w:sz="0" w:space="0" w:color="auto"/>
                    <w:right w:val="none" w:sz="0" w:space="0" w:color="auto"/>
                  </w:divBdr>
                  <w:divsChild>
                    <w:div w:id="1728334942">
                      <w:marLeft w:val="0"/>
                      <w:marRight w:val="0"/>
                      <w:marTop w:val="0"/>
                      <w:marBottom w:val="0"/>
                      <w:divBdr>
                        <w:top w:val="none" w:sz="0" w:space="0" w:color="auto"/>
                        <w:left w:val="none" w:sz="0" w:space="0" w:color="auto"/>
                        <w:bottom w:val="none" w:sz="0" w:space="0" w:color="auto"/>
                        <w:right w:val="none" w:sz="0" w:space="0" w:color="auto"/>
                      </w:divBdr>
                    </w:div>
                  </w:divsChild>
                </w:div>
                <w:div w:id="1182888828">
                  <w:marLeft w:val="0"/>
                  <w:marRight w:val="0"/>
                  <w:marTop w:val="0"/>
                  <w:marBottom w:val="0"/>
                  <w:divBdr>
                    <w:top w:val="none" w:sz="0" w:space="0" w:color="auto"/>
                    <w:left w:val="none" w:sz="0" w:space="0" w:color="auto"/>
                    <w:bottom w:val="none" w:sz="0" w:space="0" w:color="auto"/>
                    <w:right w:val="none" w:sz="0" w:space="0" w:color="auto"/>
                  </w:divBdr>
                  <w:divsChild>
                    <w:div w:id="327633006">
                      <w:marLeft w:val="0"/>
                      <w:marRight w:val="0"/>
                      <w:marTop w:val="0"/>
                      <w:marBottom w:val="0"/>
                      <w:divBdr>
                        <w:top w:val="none" w:sz="0" w:space="0" w:color="auto"/>
                        <w:left w:val="none" w:sz="0" w:space="0" w:color="auto"/>
                        <w:bottom w:val="none" w:sz="0" w:space="0" w:color="auto"/>
                        <w:right w:val="none" w:sz="0" w:space="0" w:color="auto"/>
                      </w:divBdr>
                    </w:div>
                  </w:divsChild>
                </w:div>
                <w:div w:id="1234465415">
                  <w:marLeft w:val="0"/>
                  <w:marRight w:val="0"/>
                  <w:marTop w:val="0"/>
                  <w:marBottom w:val="0"/>
                  <w:divBdr>
                    <w:top w:val="none" w:sz="0" w:space="0" w:color="auto"/>
                    <w:left w:val="none" w:sz="0" w:space="0" w:color="auto"/>
                    <w:bottom w:val="none" w:sz="0" w:space="0" w:color="auto"/>
                    <w:right w:val="none" w:sz="0" w:space="0" w:color="auto"/>
                  </w:divBdr>
                  <w:divsChild>
                    <w:div w:id="1756585415">
                      <w:marLeft w:val="0"/>
                      <w:marRight w:val="0"/>
                      <w:marTop w:val="0"/>
                      <w:marBottom w:val="0"/>
                      <w:divBdr>
                        <w:top w:val="none" w:sz="0" w:space="0" w:color="auto"/>
                        <w:left w:val="none" w:sz="0" w:space="0" w:color="auto"/>
                        <w:bottom w:val="none" w:sz="0" w:space="0" w:color="auto"/>
                        <w:right w:val="none" w:sz="0" w:space="0" w:color="auto"/>
                      </w:divBdr>
                    </w:div>
                  </w:divsChild>
                </w:div>
                <w:div w:id="1239948121">
                  <w:marLeft w:val="0"/>
                  <w:marRight w:val="0"/>
                  <w:marTop w:val="0"/>
                  <w:marBottom w:val="0"/>
                  <w:divBdr>
                    <w:top w:val="none" w:sz="0" w:space="0" w:color="auto"/>
                    <w:left w:val="none" w:sz="0" w:space="0" w:color="auto"/>
                    <w:bottom w:val="none" w:sz="0" w:space="0" w:color="auto"/>
                    <w:right w:val="none" w:sz="0" w:space="0" w:color="auto"/>
                  </w:divBdr>
                  <w:divsChild>
                    <w:div w:id="8485985">
                      <w:marLeft w:val="0"/>
                      <w:marRight w:val="0"/>
                      <w:marTop w:val="0"/>
                      <w:marBottom w:val="0"/>
                      <w:divBdr>
                        <w:top w:val="none" w:sz="0" w:space="0" w:color="auto"/>
                        <w:left w:val="none" w:sz="0" w:space="0" w:color="auto"/>
                        <w:bottom w:val="none" w:sz="0" w:space="0" w:color="auto"/>
                        <w:right w:val="none" w:sz="0" w:space="0" w:color="auto"/>
                      </w:divBdr>
                    </w:div>
                  </w:divsChild>
                </w:div>
                <w:div w:id="1255088730">
                  <w:marLeft w:val="0"/>
                  <w:marRight w:val="0"/>
                  <w:marTop w:val="0"/>
                  <w:marBottom w:val="0"/>
                  <w:divBdr>
                    <w:top w:val="none" w:sz="0" w:space="0" w:color="auto"/>
                    <w:left w:val="none" w:sz="0" w:space="0" w:color="auto"/>
                    <w:bottom w:val="none" w:sz="0" w:space="0" w:color="auto"/>
                    <w:right w:val="none" w:sz="0" w:space="0" w:color="auto"/>
                  </w:divBdr>
                  <w:divsChild>
                    <w:div w:id="1347512352">
                      <w:marLeft w:val="0"/>
                      <w:marRight w:val="0"/>
                      <w:marTop w:val="0"/>
                      <w:marBottom w:val="0"/>
                      <w:divBdr>
                        <w:top w:val="none" w:sz="0" w:space="0" w:color="auto"/>
                        <w:left w:val="none" w:sz="0" w:space="0" w:color="auto"/>
                        <w:bottom w:val="none" w:sz="0" w:space="0" w:color="auto"/>
                        <w:right w:val="none" w:sz="0" w:space="0" w:color="auto"/>
                      </w:divBdr>
                    </w:div>
                  </w:divsChild>
                </w:div>
                <w:div w:id="1255359787">
                  <w:marLeft w:val="0"/>
                  <w:marRight w:val="0"/>
                  <w:marTop w:val="0"/>
                  <w:marBottom w:val="0"/>
                  <w:divBdr>
                    <w:top w:val="none" w:sz="0" w:space="0" w:color="auto"/>
                    <w:left w:val="none" w:sz="0" w:space="0" w:color="auto"/>
                    <w:bottom w:val="none" w:sz="0" w:space="0" w:color="auto"/>
                    <w:right w:val="none" w:sz="0" w:space="0" w:color="auto"/>
                  </w:divBdr>
                  <w:divsChild>
                    <w:div w:id="954674958">
                      <w:marLeft w:val="0"/>
                      <w:marRight w:val="0"/>
                      <w:marTop w:val="0"/>
                      <w:marBottom w:val="0"/>
                      <w:divBdr>
                        <w:top w:val="none" w:sz="0" w:space="0" w:color="auto"/>
                        <w:left w:val="none" w:sz="0" w:space="0" w:color="auto"/>
                        <w:bottom w:val="none" w:sz="0" w:space="0" w:color="auto"/>
                        <w:right w:val="none" w:sz="0" w:space="0" w:color="auto"/>
                      </w:divBdr>
                    </w:div>
                  </w:divsChild>
                </w:div>
                <w:div w:id="1323655058">
                  <w:marLeft w:val="0"/>
                  <w:marRight w:val="0"/>
                  <w:marTop w:val="0"/>
                  <w:marBottom w:val="0"/>
                  <w:divBdr>
                    <w:top w:val="none" w:sz="0" w:space="0" w:color="auto"/>
                    <w:left w:val="none" w:sz="0" w:space="0" w:color="auto"/>
                    <w:bottom w:val="none" w:sz="0" w:space="0" w:color="auto"/>
                    <w:right w:val="none" w:sz="0" w:space="0" w:color="auto"/>
                  </w:divBdr>
                  <w:divsChild>
                    <w:div w:id="847401048">
                      <w:marLeft w:val="0"/>
                      <w:marRight w:val="0"/>
                      <w:marTop w:val="0"/>
                      <w:marBottom w:val="0"/>
                      <w:divBdr>
                        <w:top w:val="none" w:sz="0" w:space="0" w:color="auto"/>
                        <w:left w:val="none" w:sz="0" w:space="0" w:color="auto"/>
                        <w:bottom w:val="none" w:sz="0" w:space="0" w:color="auto"/>
                        <w:right w:val="none" w:sz="0" w:space="0" w:color="auto"/>
                      </w:divBdr>
                    </w:div>
                  </w:divsChild>
                </w:div>
                <w:div w:id="1341200537">
                  <w:marLeft w:val="0"/>
                  <w:marRight w:val="0"/>
                  <w:marTop w:val="0"/>
                  <w:marBottom w:val="0"/>
                  <w:divBdr>
                    <w:top w:val="none" w:sz="0" w:space="0" w:color="auto"/>
                    <w:left w:val="none" w:sz="0" w:space="0" w:color="auto"/>
                    <w:bottom w:val="none" w:sz="0" w:space="0" w:color="auto"/>
                    <w:right w:val="none" w:sz="0" w:space="0" w:color="auto"/>
                  </w:divBdr>
                  <w:divsChild>
                    <w:div w:id="169684156">
                      <w:marLeft w:val="0"/>
                      <w:marRight w:val="0"/>
                      <w:marTop w:val="0"/>
                      <w:marBottom w:val="0"/>
                      <w:divBdr>
                        <w:top w:val="none" w:sz="0" w:space="0" w:color="auto"/>
                        <w:left w:val="none" w:sz="0" w:space="0" w:color="auto"/>
                        <w:bottom w:val="none" w:sz="0" w:space="0" w:color="auto"/>
                        <w:right w:val="none" w:sz="0" w:space="0" w:color="auto"/>
                      </w:divBdr>
                    </w:div>
                  </w:divsChild>
                </w:div>
                <w:div w:id="1352100877">
                  <w:marLeft w:val="0"/>
                  <w:marRight w:val="0"/>
                  <w:marTop w:val="0"/>
                  <w:marBottom w:val="0"/>
                  <w:divBdr>
                    <w:top w:val="none" w:sz="0" w:space="0" w:color="auto"/>
                    <w:left w:val="none" w:sz="0" w:space="0" w:color="auto"/>
                    <w:bottom w:val="none" w:sz="0" w:space="0" w:color="auto"/>
                    <w:right w:val="none" w:sz="0" w:space="0" w:color="auto"/>
                  </w:divBdr>
                  <w:divsChild>
                    <w:div w:id="1526627202">
                      <w:marLeft w:val="0"/>
                      <w:marRight w:val="0"/>
                      <w:marTop w:val="0"/>
                      <w:marBottom w:val="0"/>
                      <w:divBdr>
                        <w:top w:val="none" w:sz="0" w:space="0" w:color="auto"/>
                        <w:left w:val="none" w:sz="0" w:space="0" w:color="auto"/>
                        <w:bottom w:val="none" w:sz="0" w:space="0" w:color="auto"/>
                        <w:right w:val="none" w:sz="0" w:space="0" w:color="auto"/>
                      </w:divBdr>
                    </w:div>
                  </w:divsChild>
                </w:div>
                <w:div w:id="1391688507">
                  <w:marLeft w:val="0"/>
                  <w:marRight w:val="0"/>
                  <w:marTop w:val="0"/>
                  <w:marBottom w:val="0"/>
                  <w:divBdr>
                    <w:top w:val="none" w:sz="0" w:space="0" w:color="auto"/>
                    <w:left w:val="none" w:sz="0" w:space="0" w:color="auto"/>
                    <w:bottom w:val="none" w:sz="0" w:space="0" w:color="auto"/>
                    <w:right w:val="none" w:sz="0" w:space="0" w:color="auto"/>
                  </w:divBdr>
                  <w:divsChild>
                    <w:div w:id="489440913">
                      <w:marLeft w:val="0"/>
                      <w:marRight w:val="0"/>
                      <w:marTop w:val="0"/>
                      <w:marBottom w:val="0"/>
                      <w:divBdr>
                        <w:top w:val="none" w:sz="0" w:space="0" w:color="auto"/>
                        <w:left w:val="none" w:sz="0" w:space="0" w:color="auto"/>
                        <w:bottom w:val="none" w:sz="0" w:space="0" w:color="auto"/>
                        <w:right w:val="none" w:sz="0" w:space="0" w:color="auto"/>
                      </w:divBdr>
                    </w:div>
                  </w:divsChild>
                </w:div>
                <w:div w:id="1392315022">
                  <w:marLeft w:val="0"/>
                  <w:marRight w:val="0"/>
                  <w:marTop w:val="0"/>
                  <w:marBottom w:val="0"/>
                  <w:divBdr>
                    <w:top w:val="none" w:sz="0" w:space="0" w:color="auto"/>
                    <w:left w:val="none" w:sz="0" w:space="0" w:color="auto"/>
                    <w:bottom w:val="none" w:sz="0" w:space="0" w:color="auto"/>
                    <w:right w:val="none" w:sz="0" w:space="0" w:color="auto"/>
                  </w:divBdr>
                  <w:divsChild>
                    <w:div w:id="921446285">
                      <w:marLeft w:val="0"/>
                      <w:marRight w:val="0"/>
                      <w:marTop w:val="0"/>
                      <w:marBottom w:val="0"/>
                      <w:divBdr>
                        <w:top w:val="none" w:sz="0" w:space="0" w:color="auto"/>
                        <w:left w:val="none" w:sz="0" w:space="0" w:color="auto"/>
                        <w:bottom w:val="none" w:sz="0" w:space="0" w:color="auto"/>
                        <w:right w:val="none" w:sz="0" w:space="0" w:color="auto"/>
                      </w:divBdr>
                    </w:div>
                  </w:divsChild>
                </w:div>
                <w:div w:id="1430736002">
                  <w:marLeft w:val="0"/>
                  <w:marRight w:val="0"/>
                  <w:marTop w:val="0"/>
                  <w:marBottom w:val="0"/>
                  <w:divBdr>
                    <w:top w:val="none" w:sz="0" w:space="0" w:color="auto"/>
                    <w:left w:val="none" w:sz="0" w:space="0" w:color="auto"/>
                    <w:bottom w:val="none" w:sz="0" w:space="0" w:color="auto"/>
                    <w:right w:val="none" w:sz="0" w:space="0" w:color="auto"/>
                  </w:divBdr>
                  <w:divsChild>
                    <w:div w:id="50275049">
                      <w:marLeft w:val="0"/>
                      <w:marRight w:val="0"/>
                      <w:marTop w:val="0"/>
                      <w:marBottom w:val="0"/>
                      <w:divBdr>
                        <w:top w:val="none" w:sz="0" w:space="0" w:color="auto"/>
                        <w:left w:val="none" w:sz="0" w:space="0" w:color="auto"/>
                        <w:bottom w:val="none" w:sz="0" w:space="0" w:color="auto"/>
                        <w:right w:val="none" w:sz="0" w:space="0" w:color="auto"/>
                      </w:divBdr>
                    </w:div>
                  </w:divsChild>
                </w:div>
                <w:div w:id="1487669502">
                  <w:marLeft w:val="0"/>
                  <w:marRight w:val="0"/>
                  <w:marTop w:val="0"/>
                  <w:marBottom w:val="0"/>
                  <w:divBdr>
                    <w:top w:val="none" w:sz="0" w:space="0" w:color="auto"/>
                    <w:left w:val="none" w:sz="0" w:space="0" w:color="auto"/>
                    <w:bottom w:val="none" w:sz="0" w:space="0" w:color="auto"/>
                    <w:right w:val="none" w:sz="0" w:space="0" w:color="auto"/>
                  </w:divBdr>
                  <w:divsChild>
                    <w:div w:id="243685524">
                      <w:marLeft w:val="0"/>
                      <w:marRight w:val="0"/>
                      <w:marTop w:val="0"/>
                      <w:marBottom w:val="0"/>
                      <w:divBdr>
                        <w:top w:val="none" w:sz="0" w:space="0" w:color="auto"/>
                        <w:left w:val="none" w:sz="0" w:space="0" w:color="auto"/>
                        <w:bottom w:val="none" w:sz="0" w:space="0" w:color="auto"/>
                        <w:right w:val="none" w:sz="0" w:space="0" w:color="auto"/>
                      </w:divBdr>
                    </w:div>
                  </w:divsChild>
                </w:div>
                <w:div w:id="1513447091">
                  <w:marLeft w:val="0"/>
                  <w:marRight w:val="0"/>
                  <w:marTop w:val="0"/>
                  <w:marBottom w:val="0"/>
                  <w:divBdr>
                    <w:top w:val="none" w:sz="0" w:space="0" w:color="auto"/>
                    <w:left w:val="none" w:sz="0" w:space="0" w:color="auto"/>
                    <w:bottom w:val="none" w:sz="0" w:space="0" w:color="auto"/>
                    <w:right w:val="none" w:sz="0" w:space="0" w:color="auto"/>
                  </w:divBdr>
                  <w:divsChild>
                    <w:div w:id="528372110">
                      <w:marLeft w:val="0"/>
                      <w:marRight w:val="0"/>
                      <w:marTop w:val="0"/>
                      <w:marBottom w:val="0"/>
                      <w:divBdr>
                        <w:top w:val="none" w:sz="0" w:space="0" w:color="auto"/>
                        <w:left w:val="none" w:sz="0" w:space="0" w:color="auto"/>
                        <w:bottom w:val="none" w:sz="0" w:space="0" w:color="auto"/>
                        <w:right w:val="none" w:sz="0" w:space="0" w:color="auto"/>
                      </w:divBdr>
                    </w:div>
                  </w:divsChild>
                </w:div>
                <w:div w:id="1586496775">
                  <w:marLeft w:val="0"/>
                  <w:marRight w:val="0"/>
                  <w:marTop w:val="0"/>
                  <w:marBottom w:val="0"/>
                  <w:divBdr>
                    <w:top w:val="none" w:sz="0" w:space="0" w:color="auto"/>
                    <w:left w:val="none" w:sz="0" w:space="0" w:color="auto"/>
                    <w:bottom w:val="none" w:sz="0" w:space="0" w:color="auto"/>
                    <w:right w:val="none" w:sz="0" w:space="0" w:color="auto"/>
                  </w:divBdr>
                  <w:divsChild>
                    <w:div w:id="1567834552">
                      <w:marLeft w:val="0"/>
                      <w:marRight w:val="0"/>
                      <w:marTop w:val="0"/>
                      <w:marBottom w:val="0"/>
                      <w:divBdr>
                        <w:top w:val="none" w:sz="0" w:space="0" w:color="auto"/>
                        <w:left w:val="none" w:sz="0" w:space="0" w:color="auto"/>
                        <w:bottom w:val="none" w:sz="0" w:space="0" w:color="auto"/>
                        <w:right w:val="none" w:sz="0" w:space="0" w:color="auto"/>
                      </w:divBdr>
                    </w:div>
                  </w:divsChild>
                </w:div>
                <w:div w:id="1696226422">
                  <w:marLeft w:val="0"/>
                  <w:marRight w:val="0"/>
                  <w:marTop w:val="0"/>
                  <w:marBottom w:val="0"/>
                  <w:divBdr>
                    <w:top w:val="none" w:sz="0" w:space="0" w:color="auto"/>
                    <w:left w:val="none" w:sz="0" w:space="0" w:color="auto"/>
                    <w:bottom w:val="none" w:sz="0" w:space="0" w:color="auto"/>
                    <w:right w:val="none" w:sz="0" w:space="0" w:color="auto"/>
                  </w:divBdr>
                  <w:divsChild>
                    <w:div w:id="937255735">
                      <w:marLeft w:val="0"/>
                      <w:marRight w:val="0"/>
                      <w:marTop w:val="0"/>
                      <w:marBottom w:val="0"/>
                      <w:divBdr>
                        <w:top w:val="none" w:sz="0" w:space="0" w:color="auto"/>
                        <w:left w:val="none" w:sz="0" w:space="0" w:color="auto"/>
                        <w:bottom w:val="none" w:sz="0" w:space="0" w:color="auto"/>
                        <w:right w:val="none" w:sz="0" w:space="0" w:color="auto"/>
                      </w:divBdr>
                    </w:div>
                  </w:divsChild>
                </w:div>
                <w:div w:id="1734815427">
                  <w:marLeft w:val="0"/>
                  <w:marRight w:val="0"/>
                  <w:marTop w:val="0"/>
                  <w:marBottom w:val="0"/>
                  <w:divBdr>
                    <w:top w:val="none" w:sz="0" w:space="0" w:color="auto"/>
                    <w:left w:val="none" w:sz="0" w:space="0" w:color="auto"/>
                    <w:bottom w:val="none" w:sz="0" w:space="0" w:color="auto"/>
                    <w:right w:val="none" w:sz="0" w:space="0" w:color="auto"/>
                  </w:divBdr>
                  <w:divsChild>
                    <w:div w:id="1081873265">
                      <w:marLeft w:val="0"/>
                      <w:marRight w:val="0"/>
                      <w:marTop w:val="0"/>
                      <w:marBottom w:val="0"/>
                      <w:divBdr>
                        <w:top w:val="none" w:sz="0" w:space="0" w:color="auto"/>
                        <w:left w:val="none" w:sz="0" w:space="0" w:color="auto"/>
                        <w:bottom w:val="none" w:sz="0" w:space="0" w:color="auto"/>
                        <w:right w:val="none" w:sz="0" w:space="0" w:color="auto"/>
                      </w:divBdr>
                    </w:div>
                  </w:divsChild>
                </w:div>
                <w:div w:id="1806701276">
                  <w:marLeft w:val="0"/>
                  <w:marRight w:val="0"/>
                  <w:marTop w:val="0"/>
                  <w:marBottom w:val="0"/>
                  <w:divBdr>
                    <w:top w:val="none" w:sz="0" w:space="0" w:color="auto"/>
                    <w:left w:val="none" w:sz="0" w:space="0" w:color="auto"/>
                    <w:bottom w:val="none" w:sz="0" w:space="0" w:color="auto"/>
                    <w:right w:val="none" w:sz="0" w:space="0" w:color="auto"/>
                  </w:divBdr>
                  <w:divsChild>
                    <w:div w:id="5711887">
                      <w:marLeft w:val="0"/>
                      <w:marRight w:val="0"/>
                      <w:marTop w:val="0"/>
                      <w:marBottom w:val="0"/>
                      <w:divBdr>
                        <w:top w:val="none" w:sz="0" w:space="0" w:color="auto"/>
                        <w:left w:val="none" w:sz="0" w:space="0" w:color="auto"/>
                        <w:bottom w:val="none" w:sz="0" w:space="0" w:color="auto"/>
                        <w:right w:val="none" w:sz="0" w:space="0" w:color="auto"/>
                      </w:divBdr>
                    </w:div>
                  </w:divsChild>
                </w:div>
                <w:div w:id="1860848838">
                  <w:marLeft w:val="0"/>
                  <w:marRight w:val="0"/>
                  <w:marTop w:val="0"/>
                  <w:marBottom w:val="0"/>
                  <w:divBdr>
                    <w:top w:val="none" w:sz="0" w:space="0" w:color="auto"/>
                    <w:left w:val="none" w:sz="0" w:space="0" w:color="auto"/>
                    <w:bottom w:val="none" w:sz="0" w:space="0" w:color="auto"/>
                    <w:right w:val="none" w:sz="0" w:space="0" w:color="auto"/>
                  </w:divBdr>
                  <w:divsChild>
                    <w:div w:id="1434202221">
                      <w:marLeft w:val="0"/>
                      <w:marRight w:val="0"/>
                      <w:marTop w:val="0"/>
                      <w:marBottom w:val="0"/>
                      <w:divBdr>
                        <w:top w:val="none" w:sz="0" w:space="0" w:color="auto"/>
                        <w:left w:val="none" w:sz="0" w:space="0" w:color="auto"/>
                        <w:bottom w:val="none" w:sz="0" w:space="0" w:color="auto"/>
                        <w:right w:val="none" w:sz="0" w:space="0" w:color="auto"/>
                      </w:divBdr>
                    </w:div>
                  </w:divsChild>
                </w:div>
                <w:div w:id="1895039413">
                  <w:marLeft w:val="0"/>
                  <w:marRight w:val="0"/>
                  <w:marTop w:val="0"/>
                  <w:marBottom w:val="0"/>
                  <w:divBdr>
                    <w:top w:val="none" w:sz="0" w:space="0" w:color="auto"/>
                    <w:left w:val="none" w:sz="0" w:space="0" w:color="auto"/>
                    <w:bottom w:val="none" w:sz="0" w:space="0" w:color="auto"/>
                    <w:right w:val="none" w:sz="0" w:space="0" w:color="auto"/>
                  </w:divBdr>
                  <w:divsChild>
                    <w:div w:id="631252701">
                      <w:marLeft w:val="0"/>
                      <w:marRight w:val="0"/>
                      <w:marTop w:val="0"/>
                      <w:marBottom w:val="0"/>
                      <w:divBdr>
                        <w:top w:val="none" w:sz="0" w:space="0" w:color="auto"/>
                        <w:left w:val="none" w:sz="0" w:space="0" w:color="auto"/>
                        <w:bottom w:val="none" w:sz="0" w:space="0" w:color="auto"/>
                        <w:right w:val="none" w:sz="0" w:space="0" w:color="auto"/>
                      </w:divBdr>
                    </w:div>
                  </w:divsChild>
                </w:div>
                <w:div w:id="1900743598">
                  <w:marLeft w:val="0"/>
                  <w:marRight w:val="0"/>
                  <w:marTop w:val="0"/>
                  <w:marBottom w:val="0"/>
                  <w:divBdr>
                    <w:top w:val="none" w:sz="0" w:space="0" w:color="auto"/>
                    <w:left w:val="none" w:sz="0" w:space="0" w:color="auto"/>
                    <w:bottom w:val="none" w:sz="0" w:space="0" w:color="auto"/>
                    <w:right w:val="none" w:sz="0" w:space="0" w:color="auto"/>
                  </w:divBdr>
                  <w:divsChild>
                    <w:div w:id="669143809">
                      <w:marLeft w:val="0"/>
                      <w:marRight w:val="0"/>
                      <w:marTop w:val="0"/>
                      <w:marBottom w:val="0"/>
                      <w:divBdr>
                        <w:top w:val="none" w:sz="0" w:space="0" w:color="auto"/>
                        <w:left w:val="none" w:sz="0" w:space="0" w:color="auto"/>
                        <w:bottom w:val="none" w:sz="0" w:space="0" w:color="auto"/>
                        <w:right w:val="none" w:sz="0" w:space="0" w:color="auto"/>
                      </w:divBdr>
                    </w:div>
                  </w:divsChild>
                </w:div>
                <w:div w:id="1985504281">
                  <w:marLeft w:val="0"/>
                  <w:marRight w:val="0"/>
                  <w:marTop w:val="0"/>
                  <w:marBottom w:val="0"/>
                  <w:divBdr>
                    <w:top w:val="none" w:sz="0" w:space="0" w:color="auto"/>
                    <w:left w:val="none" w:sz="0" w:space="0" w:color="auto"/>
                    <w:bottom w:val="none" w:sz="0" w:space="0" w:color="auto"/>
                    <w:right w:val="none" w:sz="0" w:space="0" w:color="auto"/>
                  </w:divBdr>
                  <w:divsChild>
                    <w:div w:id="1924298266">
                      <w:marLeft w:val="0"/>
                      <w:marRight w:val="0"/>
                      <w:marTop w:val="0"/>
                      <w:marBottom w:val="0"/>
                      <w:divBdr>
                        <w:top w:val="none" w:sz="0" w:space="0" w:color="auto"/>
                        <w:left w:val="none" w:sz="0" w:space="0" w:color="auto"/>
                        <w:bottom w:val="none" w:sz="0" w:space="0" w:color="auto"/>
                        <w:right w:val="none" w:sz="0" w:space="0" w:color="auto"/>
                      </w:divBdr>
                    </w:div>
                  </w:divsChild>
                </w:div>
                <w:div w:id="1989505623">
                  <w:marLeft w:val="0"/>
                  <w:marRight w:val="0"/>
                  <w:marTop w:val="0"/>
                  <w:marBottom w:val="0"/>
                  <w:divBdr>
                    <w:top w:val="none" w:sz="0" w:space="0" w:color="auto"/>
                    <w:left w:val="none" w:sz="0" w:space="0" w:color="auto"/>
                    <w:bottom w:val="none" w:sz="0" w:space="0" w:color="auto"/>
                    <w:right w:val="none" w:sz="0" w:space="0" w:color="auto"/>
                  </w:divBdr>
                  <w:divsChild>
                    <w:div w:id="800613389">
                      <w:marLeft w:val="0"/>
                      <w:marRight w:val="0"/>
                      <w:marTop w:val="0"/>
                      <w:marBottom w:val="0"/>
                      <w:divBdr>
                        <w:top w:val="none" w:sz="0" w:space="0" w:color="auto"/>
                        <w:left w:val="none" w:sz="0" w:space="0" w:color="auto"/>
                        <w:bottom w:val="none" w:sz="0" w:space="0" w:color="auto"/>
                        <w:right w:val="none" w:sz="0" w:space="0" w:color="auto"/>
                      </w:divBdr>
                    </w:div>
                  </w:divsChild>
                </w:div>
                <w:div w:id="2008439320">
                  <w:marLeft w:val="0"/>
                  <w:marRight w:val="0"/>
                  <w:marTop w:val="0"/>
                  <w:marBottom w:val="0"/>
                  <w:divBdr>
                    <w:top w:val="none" w:sz="0" w:space="0" w:color="auto"/>
                    <w:left w:val="none" w:sz="0" w:space="0" w:color="auto"/>
                    <w:bottom w:val="none" w:sz="0" w:space="0" w:color="auto"/>
                    <w:right w:val="none" w:sz="0" w:space="0" w:color="auto"/>
                  </w:divBdr>
                  <w:divsChild>
                    <w:div w:id="2028017922">
                      <w:marLeft w:val="0"/>
                      <w:marRight w:val="0"/>
                      <w:marTop w:val="0"/>
                      <w:marBottom w:val="0"/>
                      <w:divBdr>
                        <w:top w:val="none" w:sz="0" w:space="0" w:color="auto"/>
                        <w:left w:val="none" w:sz="0" w:space="0" w:color="auto"/>
                        <w:bottom w:val="none" w:sz="0" w:space="0" w:color="auto"/>
                        <w:right w:val="none" w:sz="0" w:space="0" w:color="auto"/>
                      </w:divBdr>
                    </w:div>
                  </w:divsChild>
                </w:div>
                <w:div w:id="2013949375">
                  <w:marLeft w:val="0"/>
                  <w:marRight w:val="0"/>
                  <w:marTop w:val="0"/>
                  <w:marBottom w:val="0"/>
                  <w:divBdr>
                    <w:top w:val="none" w:sz="0" w:space="0" w:color="auto"/>
                    <w:left w:val="none" w:sz="0" w:space="0" w:color="auto"/>
                    <w:bottom w:val="none" w:sz="0" w:space="0" w:color="auto"/>
                    <w:right w:val="none" w:sz="0" w:space="0" w:color="auto"/>
                  </w:divBdr>
                  <w:divsChild>
                    <w:div w:id="51733364">
                      <w:marLeft w:val="0"/>
                      <w:marRight w:val="0"/>
                      <w:marTop w:val="0"/>
                      <w:marBottom w:val="0"/>
                      <w:divBdr>
                        <w:top w:val="none" w:sz="0" w:space="0" w:color="auto"/>
                        <w:left w:val="none" w:sz="0" w:space="0" w:color="auto"/>
                        <w:bottom w:val="none" w:sz="0" w:space="0" w:color="auto"/>
                        <w:right w:val="none" w:sz="0" w:space="0" w:color="auto"/>
                      </w:divBdr>
                    </w:div>
                  </w:divsChild>
                </w:div>
                <w:div w:id="2049841237">
                  <w:marLeft w:val="0"/>
                  <w:marRight w:val="0"/>
                  <w:marTop w:val="0"/>
                  <w:marBottom w:val="0"/>
                  <w:divBdr>
                    <w:top w:val="none" w:sz="0" w:space="0" w:color="auto"/>
                    <w:left w:val="none" w:sz="0" w:space="0" w:color="auto"/>
                    <w:bottom w:val="none" w:sz="0" w:space="0" w:color="auto"/>
                    <w:right w:val="none" w:sz="0" w:space="0" w:color="auto"/>
                  </w:divBdr>
                  <w:divsChild>
                    <w:div w:id="38695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753759">
          <w:marLeft w:val="0"/>
          <w:marRight w:val="0"/>
          <w:marTop w:val="0"/>
          <w:marBottom w:val="0"/>
          <w:divBdr>
            <w:top w:val="none" w:sz="0" w:space="0" w:color="auto"/>
            <w:left w:val="none" w:sz="0" w:space="0" w:color="auto"/>
            <w:bottom w:val="none" w:sz="0" w:space="0" w:color="auto"/>
            <w:right w:val="none" w:sz="0" w:space="0" w:color="auto"/>
          </w:divBdr>
        </w:div>
        <w:div w:id="509831617">
          <w:marLeft w:val="0"/>
          <w:marRight w:val="0"/>
          <w:marTop w:val="0"/>
          <w:marBottom w:val="0"/>
          <w:divBdr>
            <w:top w:val="none" w:sz="0" w:space="0" w:color="auto"/>
            <w:left w:val="none" w:sz="0" w:space="0" w:color="auto"/>
            <w:bottom w:val="none" w:sz="0" w:space="0" w:color="auto"/>
            <w:right w:val="none" w:sz="0" w:space="0" w:color="auto"/>
          </w:divBdr>
        </w:div>
        <w:div w:id="699668345">
          <w:marLeft w:val="0"/>
          <w:marRight w:val="0"/>
          <w:marTop w:val="0"/>
          <w:marBottom w:val="0"/>
          <w:divBdr>
            <w:top w:val="none" w:sz="0" w:space="0" w:color="auto"/>
            <w:left w:val="none" w:sz="0" w:space="0" w:color="auto"/>
            <w:bottom w:val="none" w:sz="0" w:space="0" w:color="auto"/>
            <w:right w:val="none" w:sz="0" w:space="0" w:color="auto"/>
          </w:divBdr>
          <w:divsChild>
            <w:div w:id="12076322">
              <w:marLeft w:val="0"/>
              <w:marRight w:val="0"/>
              <w:marTop w:val="0"/>
              <w:marBottom w:val="0"/>
              <w:divBdr>
                <w:top w:val="none" w:sz="0" w:space="0" w:color="auto"/>
                <w:left w:val="none" w:sz="0" w:space="0" w:color="auto"/>
                <w:bottom w:val="none" w:sz="0" w:space="0" w:color="auto"/>
                <w:right w:val="none" w:sz="0" w:space="0" w:color="auto"/>
              </w:divBdr>
            </w:div>
            <w:div w:id="202793425">
              <w:marLeft w:val="0"/>
              <w:marRight w:val="0"/>
              <w:marTop w:val="0"/>
              <w:marBottom w:val="0"/>
              <w:divBdr>
                <w:top w:val="none" w:sz="0" w:space="0" w:color="auto"/>
                <w:left w:val="none" w:sz="0" w:space="0" w:color="auto"/>
                <w:bottom w:val="none" w:sz="0" w:space="0" w:color="auto"/>
                <w:right w:val="none" w:sz="0" w:space="0" w:color="auto"/>
              </w:divBdr>
            </w:div>
            <w:div w:id="462501631">
              <w:marLeft w:val="0"/>
              <w:marRight w:val="0"/>
              <w:marTop w:val="0"/>
              <w:marBottom w:val="0"/>
              <w:divBdr>
                <w:top w:val="none" w:sz="0" w:space="0" w:color="auto"/>
                <w:left w:val="none" w:sz="0" w:space="0" w:color="auto"/>
                <w:bottom w:val="none" w:sz="0" w:space="0" w:color="auto"/>
                <w:right w:val="none" w:sz="0" w:space="0" w:color="auto"/>
              </w:divBdr>
            </w:div>
            <w:div w:id="483618392">
              <w:marLeft w:val="0"/>
              <w:marRight w:val="0"/>
              <w:marTop w:val="0"/>
              <w:marBottom w:val="0"/>
              <w:divBdr>
                <w:top w:val="none" w:sz="0" w:space="0" w:color="auto"/>
                <w:left w:val="none" w:sz="0" w:space="0" w:color="auto"/>
                <w:bottom w:val="none" w:sz="0" w:space="0" w:color="auto"/>
                <w:right w:val="none" w:sz="0" w:space="0" w:color="auto"/>
              </w:divBdr>
            </w:div>
            <w:div w:id="700087093">
              <w:marLeft w:val="0"/>
              <w:marRight w:val="0"/>
              <w:marTop w:val="0"/>
              <w:marBottom w:val="0"/>
              <w:divBdr>
                <w:top w:val="none" w:sz="0" w:space="0" w:color="auto"/>
                <w:left w:val="none" w:sz="0" w:space="0" w:color="auto"/>
                <w:bottom w:val="none" w:sz="0" w:space="0" w:color="auto"/>
                <w:right w:val="none" w:sz="0" w:space="0" w:color="auto"/>
              </w:divBdr>
            </w:div>
            <w:div w:id="748116203">
              <w:marLeft w:val="0"/>
              <w:marRight w:val="0"/>
              <w:marTop w:val="0"/>
              <w:marBottom w:val="0"/>
              <w:divBdr>
                <w:top w:val="none" w:sz="0" w:space="0" w:color="auto"/>
                <w:left w:val="none" w:sz="0" w:space="0" w:color="auto"/>
                <w:bottom w:val="none" w:sz="0" w:space="0" w:color="auto"/>
                <w:right w:val="none" w:sz="0" w:space="0" w:color="auto"/>
              </w:divBdr>
            </w:div>
            <w:div w:id="975376666">
              <w:marLeft w:val="0"/>
              <w:marRight w:val="0"/>
              <w:marTop w:val="0"/>
              <w:marBottom w:val="0"/>
              <w:divBdr>
                <w:top w:val="none" w:sz="0" w:space="0" w:color="auto"/>
                <w:left w:val="none" w:sz="0" w:space="0" w:color="auto"/>
                <w:bottom w:val="none" w:sz="0" w:space="0" w:color="auto"/>
                <w:right w:val="none" w:sz="0" w:space="0" w:color="auto"/>
              </w:divBdr>
            </w:div>
            <w:div w:id="1006249237">
              <w:marLeft w:val="0"/>
              <w:marRight w:val="0"/>
              <w:marTop w:val="0"/>
              <w:marBottom w:val="0"/>
              <w:divBdr>
                <w:top w:val="none" w:sz="0" w:space="0" w:color="auto"/>
                <w:left w:val="none" w:sz="0" w:space="0" w:color="auto"/>
                <w:bottom w:val="none" w:sz="0" w:space="0" w:color="auto"/>
                <w:right w:val="none" w:sz="0" w:space="0" w:color="auto"/>
              </w:divBdr>
            </w:div>
            <w:div w:id="1063481933">
              <w:marLeft w:val="0"/>
              <w:marRight w:val="0"/>
              <w:marTop w:val="0"/>
              <w:marBottom w:val="0"/>
              <w:divBdr>
                <w:top w:val="none" w:sz="0" w:space="0" w:color="auto"/>
                <w:left w:val="none" w:sz="0" w:space="0" w:color="auto"/>
                <w:bottom w:val="none" w:sz="0" w:space="0" w:color="auto"/>
                <w:right w:val="none" w:sz="0" w:space="0" w:color="auto"/>
              </w:divBdr>
            </w:div>
            <w:div w:id="1077363143">
              <w:marLeft w:val="0"/>
              <w:marRight w:val="0"/>
              <w:marTop w:val="0"/>
              <w:marBottom w:val="0"/>
              <w:divBdr>
                <w:top w:val="none" w:sz="0" w:space="0" w:color="auto"/>
                <w:left w:val="none" w:sz="0" w:space="0" w:color="auto"/>
                <w:bottom w:val="none" w:sz="0" w:space="0" w:color="auto"/>
                <w:right w:val="none" w:sz="0" w:space="0" w:color="auto"/>
              </w:divBdr>
            </w:div>
            <w:div w:id="1144660800">
              <w:marLeft w:val="0"/>
              <w:marRight w:val="0"/>
              <w:marTop w:val="0"/>
              <w:marBottom w:val="0"/>
              <w:divBdr>
                <w:top w:val="none" w:sz="0" w:space="0" w:color="auto"/>
                <w:left w:val="none" w:sz="0" w:space="0" w:color="auto"/>
                <w:bottom w:val="none" w:sz="0" w:space="0" w:color="auto"/>
                <w:right w:val="none" w:sz="0" w:space="0" w:color="auto"/>
              </w:divBdr>
            </w:div>
            <w:div w:id="1215241266">
              <w:marLeft w:val="0"/>
              <w:marRight w:val="0"/>
              <w:marTop w:val="0"/>
              <w:marBottom w:val="0"/>
              <w:divBdr>
                <w:top w:val="none" w:sz="0" w:space="0" w:color="auto"/>
                <w:left w:val="none" w:sz="0" w:space="0" w:color="auto"/>
                <w:bottom w:val="none" w:sz="0" w:space="0" w:color="auto"/>
                <w:right w:val="none" w:sz="0" w:space="0" w:color="auto"/>
              </w:divBdr>
            </w:div>
            <w:div w:id="1272930507">
              <w:marLeft w:val="0"/>
              <w:marRight w:val="0"/>
              <w:marTop w:val="0"/>
              <w:marBottom w:val="0"/>
              <w:divBdr>
                <w:top w:val="none" w:sz="0" w:space="0" w:color="auto"/>
                <w:left w:val="none" w:sz="0" w:space="0" w:color="auto"/>
                <w:bottom w:val="none" w:sz="0" w:space="0" w:color="auto"/>
                <w:right w:val="none" w:sz="0" w:space="0" w:color="auto"/>
              </w:divBdr>
            </w:div>
            <w:div w:id="1284769017">
              <w:marLeft w:val="0"/>
              <w:marRight w:val="0"/>
              <w:marTop w:val="0"/>
              <w:marBottom w:val="0"/>
              <w:divBdr>
                <w:top w:val="none" w:sz="0" w:space="0" w:color="auto"/>
                <w:left w:val="none" w:sz="0" w:space="0" w:color="auto"/>
                <w:bottom w:val="none" w:sz="0" w:space="0" w:color="auto"/>
                <w:right w:val="none" w:sz="0" w:space="0" w:color="auto"/>
              </w:divBdr>
            </w:div>
            <w:div w:id="1344362077">
              <w:marLeft w:val="0"/>
              <w:marRight w:val="0"/>
              <w:marTop w:val="0"/>
              <w:marBottom w:val="0"/>
              <w:divBdr>
                <w:top w:val="none" w:sz="0" w:space="0" w:color="auto"/>
                <w:left w:val="none" w:sz="0" w:space="0" w:color="auto"/>
                <w:bottom w:val="none" w:sz="0" w:space="0" w:color="auto"/>
                <w:right w:val="none" w:sz="0" w:space="0" w:color="auto"/>
              </w:divBdr>
            </w:div>
            <w:div w:id="1369572304">
              <w:marLeft w:val="0"/>
              <w:marRight w:val="0"/>
              <w:marTop w:val="0"/>
              <w:marBottom w:val="0"/>
              <w:divBdr>
                <w:top w:val="none" w:sz="0" w:space="0" w:color="auto"/>
                <w:left w:val="none" w:sz="0" w:space="0" w:color="auto"/>
                <w:bottom w:val="none" w:sz="0" w:space="0" w:color="auto"/>
                <w:right w:val="none" w:sz="0" w:space="0" w:color="auto"/>
              </w:divBdr>
            </w:div>
            <w:div w:id="1453548986">
              <w:marLeft w:val="0"/>
              <w:marRight w:val="0"/>
              <w:marTop w:val="0"/>
              <w:marBottom w:val="0"/>
              <w:divBdr>
                <w:top w:val="none" w:sz="0" w:space="0" w:color="auto"/>
                <w:left w:val="none" w:sz="0" w:space="0" w:color="auto"/>
                <w:bottom w:val="none" w:sz="0" w:space="0" w:color="auto"/>
                <w:right w:val="none" w:sz="0" w:space="0" w:color="auto"/>
              </w:divBdr>
            </w:div>
            <w:div w:id="1461193527">
              <w:marLeft w:val="0"/>
              <w:marRight w:val="0"/>
              <w:marTop w:val="0"/>
              <w:marBottom w:val="0"/>
              <w:divBdr>
                <w:top w:val="none" w:sz="0" w:space="0" w:color="auto"/>
                <w:left w:val="none" w:sz="0" w:space="0" w:color="auto"/>
                <w:bottom w:val="none" w:sz="0" w:space="0" w:color="auto"/>
                <w:right w:val="none" w:sz="0" w:space="0" w:color="auto"/>
              </w:divBdr>
            </w:div>
            <w:div w:id="1552308702">
              <w:marLeft w:val="0"/>
              <w:marRight w:val="0"/>
              <w:marTop w:val="0"/>
              <w:marBottom w:val="0"/>
              <w:divBdr>
                <w:top w:val="none" w:sz="0" w:space="0" w:color="auto"/>
                <w:left w:val="none" w:sz="0" w:space="0" w:color="auto"/>
                <w:bottom w:val="none" w:sz="0" w:space="0" w:color="auto"/>
                <w:right w:val="none" w:sz="0" w:space="0" w:color="auto"/>
              </w:divBdr>
            </w:div>
          </w:divsChild>
        </w:div>
        <w:div w:id="1563951742">
          <w:marLeft w:val="0"/>
          <w:marRight w:val="0"/>
          <w:marTop w:val="0"/>
          <w:marBottom w:val="0"/>
          <w:divBdr>
            <w:top w:val="none" w:sz="0" w:space="0" w:color="auto"/>
            <w:left w:val="none" w:sz="0" w:space="0" w:color="auto"/>
            <w:bottom w:val="none" w:sz="0" w:space="0" w:color="auto"/>
            <w:right w:val="none" w:sz="0" w:space="0" w:color="auto"/>
          </w:divBdr>
        </w:div>
        <w:div w:id="1607347414">
          <w:marLeft w:val="0"/>
          <w:marRight w:val="0"/>
          <w:marTop w:val="0"/>
          <w:marBottom w:val="0"/>
          <w:divBdr>
            <w:top w:val="none" w:sz="0" w:space="0" w:color="auto"/>
            <w:left w:val="none" w:sz="0" w:space="0" w:color="auto"/>
            <w:bottom w:val="none" w:sz="0" w:space="0" w:color="auto"/>
            <w:right w:val="none" w:sz="0" w:space="0" w:color="auto"/>
          </w:divBdr>
        </w:div>
        <w:div w:id="1918396277">
          <w:marLeft w:val="0"/>
          <w:marRight w:val="0"/>
          <w:marTop w:val="0"/>
          <w:marBottom w:val="0"/>
          <w:divBdr>
            <w:top w:val="none" w:sz="0" w:space="0" w:color="auto"/>
            <w:left w:val="none" w:sz="0" w:space="0" w:color="auto"/>
            <w:bottom w:val="none" w:sz="0" w:space="0" w:color="auto"/>
            <w:right w:val="none" w:sz="0" w:space="0" w:color="auto"/>
          </w:divBdr>
          <w:divsChild>
            <w:div w:id="1475221742">
              <w:marLeft w:val="-75"/>
              <w:marRight w:val="0"/>
              <w:marTop w:val="30"/>
              <w:marBottom w:val="30"/>
              <w:divBdr>
                <w:top w:val="none" w:sz="0" w:space="0" w:color="auto"/>
                <w:left w:val="none" w:sz="0" w:space="0" w:color="auto"/>
                <w:bottom w:val="none" w:sz="0" w:space="0" w:color="auto"/>
                <w:right w:val="none" w:sz="0" w:space="0" w:color="auto"/>
              </w:divBdr>
              <w:divsChild>
                <w:div w:id="3478640">
                  <w:marLeft w:val="0"/>
                  <w:marRight w:val="0"/>
                  <w:marTop w:val="0"/>
                  <w:marBottom w:val="0"/>
                  <w:divBdr>
                    <w:top w:val="none" w:sz="0" w:space="0" w:color="auto"/>
                    <w:left w:val="none" w:sz="0" w:space="0" w:color="auto"/>
                    <w:bottom w:val="none" w:sz="0" w:space="0" w:color="auto"/>
                    <w:right w:val="none" w:sz="0" w:space="0" w:color="auto"/>
                  </w:divBdr>
                  <w:divsChild>
                    <w:div w:id="2052072394">
                      <w:marLeft w:val="0"/>
                      <w:marRight w:val="0"/>
                      <w:marTop w:val="0"/>
                      <w:marBottom w:val="0"/>
                      <w:divBdr>
                        <w:top w:val="none" w:sz="0" w:space="0" w:color="auto"/>
                        <w:left w:val="none" w:sz="0" w:space="0" w:color="auto"/>
                        <w:bottom w:val="none" w:sz="0" w:space="0" w:color="auto"/>
                        <w:right w:val="none" w:sz="0" w:space="0" w:color="auto"/>
                      </w:divBdr>
                    </w:div>
                  </w:divsChild>
                </w:div>
                <w:div w:id="118840819">
                  <w:marLeft w:val="0"/>
                  <w:marRight w:val="0"/>
                  <w:marTop w:val="0"/>
                  <w:marBottom w:val="0"/>
                  <w:divBdr>
                    <w:top w:val="none" w:sz="0" w:space="0" w:color="auto"/>
                    <w:left w:val="none" w:sz="0" w:space="0" w:color="auto"/>
                    <w:bottom w:val="none" w:sz="0" w:space="0" w:color="auto"/>
                    <w:right w:val="none" w:sz="0" w:space="0" w:color="auto"/>
                  </w:divBdr>
                  <w:divsChild>
                    <w:div w:id="1382944108">
                      <w:marLeft w:val="0"/>
                      <w:marRight w:val="0"/>
                      <w:marTop w:val="0"/>
                      <w:marBottom w:val="0"/>
                      <w:divBdr>
                        <w:top w:val="none" w:sz="0" w:space="0" w:color="auto"/>
                        <w:left w:val="none" w:sz="0" w:space="0" w:color="auto"/>
                        <w:bottom w:val="none" w:sz="0" w:space="0" w:color="auto"/>
                        <w:right w:val="none" w:sz="0" w:space="0" w:color="auto"/>
                      </w:divBdr>
                    </w:div>
                  </w:divsChild>
                </w:div>
                <w:div w:id="123744250">
                  <w:marLeft w:val="0"/>
                  <w:marRight w:val="0"/>
                  <w:marTop w:val="0"/>
                  <w:marBottom w:val="0"/>
                  <w:divBdr>
                    <w:top w:val="none" w:sz="0" w:space="0" w:color="auto"/>
                    <w:left w:val="none" w:sz="0" w:space="0" w:color="auto"/>
                    <w:bottom w:val="none" w:sz="0" w:space="0" w:color="auto"/>
                    <w:right w:val="none" w:sz="0" w:space="0" w:color="auto"/>
                  </w:divBdr>
                  <w:divsChild>
                    <w:div w:id="1393230742">
                      <w:marLeft w:val="0"/>
                      <w:marRight w:val="0"/>
                      <w:marTop w:val="0"/>
                      <w:marBottom w:val="0"/>
                      <w:divBdr>
                        <w:top w:val="none" w:sz="0" w:space="0" w:color="auto"/>
                        <w:left w:val="none" w:sz="0" w:space="0" w:color="auto"/>
                        <w:bottom w:val="none" w:sz="0" w:space="0" w:color="auto"/>
                        <w:right w:val="none" w:sz="0" w:space="0" w:color="auto"/>
                      </w:divBdr>
                    </w:div>
                  </w:divsChild>
                </w:div>
                <w:div w:id="223761401">
                  <w:marLeft w:val="0"/>
                  <w:marRight w:val="0"/>
                  <w:marTop w:val="0"/>
                  <w:marBottom w:val="0"/>
                  <w:divBdr>
                    <w:top w:val="none" w:sz="0" w:space="0" w:color="auto"/>
                    <w:left w:val="none" w:sz="0" w:space="0" w:color="auto"/>
                    <w:bottom w:val="none" w:sz="0" w:space="0" w:color="auto"/>
                    <w:right w:val="none" w:sz="0" w:space="0" w:color="auto"/>
                  </w:divBdr>
                  <w:divsChild>
                    <w:div w:id="1393507523">
                      <w:marLeft w:val="0"/>
                      <w:marRight w:val="0"/>
                      <w:marTop w:val="0"/>
                      <w:marBottom w:val="0"/>
                      <w:divBdr>
                        <w:top w:val="none" w:sz="0" w:space="0" w:color="auto"/>
                        <w:left w:val="none" w:sz="0" w:space="0" w:color="auto"/>
                        <w:bottom w:val="none" w:sz="0" w:space="0" w:color="auto"/>
                        <w:right w:val="none" w:sz="0" w:space="0" w:color="auto"/>
                      </w:divBdr>
                    </w:div>
                  </w:divsChild>
                </w:div>
                <w:div w:id="406152322">
                  <w:marLeft w:val="0"/>
                  <w:marRight w:val="0"/>
                  <w:marTop w:val="0"/>
                  <w:marBottom w:val="0"/>
                  <w:divBdr>
                    <w:top w:val="none" w:sz="0" w:space="0" w:color="auto"/>
                    <w:left w:val="none" w:sz="0" w:space="0" w:color="auto"/>
                    <w:bottom w:val="none" w:sz="0" w:space="0" w:color="auto"/>
                    <w:right w:val="none" w:sz="0" w:space="0" w:color="auto"/>
                  </w:divBdr>
                  <w:divsChild>
                    <w:div w:id="1902061872">
                      <w:marLeft w:val="0"/>
                      <w:marRight w:val="0"/>
                      <w:marTop w:val="0"/>
                      <w:marBottom w:val="0"/>
                      <w:divBdr>
                        <w:top w:val="none" w:sz="0" w:space="0" w:color="auto"/>
                        <w:left w:val="none" w:sz="0" w:space="0" w:color="auto"/>
                        <w:bottom w:val="none" w:sz="0" w:space="0" w:color="auto"/>
                        <w:right w:val="none" w:sz="0" w:space="0" w:color="auto"/>
                      </w:divBdr>
                    </w:div>
                  </w:divsChild>
                </w:div>
                <w:div w:id="408036739">
                  <w:marLeft w:val="0"/>
                  <w:marRight w:val="0"/>
                  <w:marTop w:val="0"/>
                  <w:marBottom w:val="0"/>
                  <w:divBdr>
                    <w:top w:val="none" w:sz="0" w:space="0" w:color="auto"/>
                    <w:left w:val="none" w:sz="0" w:space="0" w:color="auto"/>
                    <w:bottom w:val="none" w:sz="0" w:space="0" w:color="auto"/>
                    <w:right w:val="none" w:sz="0" w:space="0" w:color="auto"/>
                  </w:divBdr>
                  <w:divsChild>
                    <w:div w:id="164975656">
                      <w:marLeft w:val="0"/>
                      <w:marRight w:val="0"/>
                      <w:marTop w:val="0"/>
                      <w:marBottom w:val="0"/>
                      <w:divBdr>
                        <w:top w:val="none" w:sz="0" w:space="0" w:color="auto"/>
                        <w:left w:val="none" w:sz="0" w:space="0" w:color="auto"/>
                        <w:bottom w:val="none" w:sz="0" w:space="0" w:color="auto"/>
                        <w:right w:val="none" w:sz="0" w:space="0" w:color="auto"/>
                      </w:divBdr>
                    </w:div>
                  </w:divsChild>
                </w:div>
                <w:div w:id="456871526">
                  <w:marLeft w:val="0"/>
                  <w:marRight w:val="0"/>
                  <w:marTop w:val="0"/>
                  <w:marBottom w:val="0"/>
                  <w:divBdr>
                    <w:top w:val="none" w:sz="0" w:space="0" w:color="auto"/>
                    <w:left w:val="none" w:sz="0" w:space="0" w:color="auto"/>
                    <w:bottom w:val="none" w:sz="0" w:space="0" w:color="auto"/>
                    <w:right w:val="none" w:sz="0" w:space="0" w:color="auto"/>
                  </w:divBdr>
                  <w:divsChild>
                    <w:div w:id="1339884932">
                      <w:marLeft w:val="0"/>
                      <w:marRight w:val="0"/>
                      <w:marTop w:val="0"/>
                      <w:marBottom w:val="0"/>
                      <w:divBdr>
                        <w:top w:val="none" w:sz="0" w:space="0" w:color="auto"/>
                        <w:left w:val="none" w:sz="0" w:space="0" w:color="auto"/>
                        <w:bottom w:val="none" w:sz="0" w:space="0" w:color="auto"/>
                        <w:right w:val="none" w:sz="0" w:space="0" w:color="auto"/>
                      </w:divBdr>
                    </w:div>
                  </w:divsChild>
                </w:div>
                <w:div w:id="488719437">
                  <w:marLeft w:val="0"/>
                  <w:marRight w:val="0"/>
                  <w:marTop w:val="0"/>
                  <w:marBottom w:val="0"/>
                  <w:divBdr>
                    <w:top w:val="none" w:sz="0" w:space="0" w:color="auto"/>
                    <w:left w:val="none" w:sz="0" w:space="0" w:color="auto"/>
                    <w:bottom w:val="none" w:sz="0" w:space="0" w:color="auto"/>
                    <w:right w:val="none" w:sz="0" w:space="0" w:color="auto"/>
                  </w:divBdr>
                  <w:divsChild>
                    <w:div w:id="676421870">
                      <w:marLeft w:val="0"/>
                      <w:marRight w:val="0"/>
                      <w:marTop w:val="0"/>
                      <w:marBottom w:val="0"/>
                      <w:divBdr>
                        <w:top w:val="none" w:sz="0" w:space="0" w:color="auto"/>
                        <w:left w:val="none" w:sz="0" w:space="0" w:color="auto"/>
                        <w:bottom w:val="none" w:sz="0" w:space="0" w:color="auto"/>
                        <w:right w:val="none" w:sz="0" w:space="0" w:color="auto"/>
                      </w:divBdr>
                    </w:div>
                  </w:divsChild>
                </w:div>
                <w:div w:id="601957737">
                  <w:marLeft w:val="0"/>
                  <w:marRight w:val="0"/>
                  <w:marTop w:val="0"/>
                  <w:marBottom w:val="0"/>
                  <w:divBdr>
                    <w:top w:val="none" w:sz="0" w:space="0" w:color="auto"/>
                    <w:left w:val="none" w:sz="0" w:space="0" w:color="auto"/>
                    <w:bottom w:val="none" w:sz="0" w:space="0" w:color="auto"/>
                    <w:right w:val="none" w:sz="0" w:space="0" w:color="auto"/>
                  </w:divBdr>
                  <w:divsChild>
                    <w:div w:id="1773090157">
                      <w:marLeft w:val="0"/>
                      <w:marRight w:val="0"/>
                      <w:marTop w:val="0"/>
                      <w:marBottom w:val="0"/>
                      <w:divBdr>
                        <w:top w:val="none" w:sz="0" w:space="0" w:color="auto"/>
                        <w:left w:val="none" w:sz="0" w:space="0" w:color="auto"/>
                        <w:bottom w:val="none" w:sz="0" w:space="0" w:color="auto"/>
                        <w:right w:val="none" w:sz="0" w:space="0" w:color="auto"/>
                      </w:divBdr>
                    </w:div>
                  </w:divsChild>
                </w:div>
                <w:div w:id="605573878">
                  <w:marLeft w:val="0"/>
                  <w:marRight w:val="0"/>
                  <w:marTop w:val="0"/>
                  <w:marBottom w:val="0"/>
                  <w:divBdr>
                    <w:top w:val="none" w:sz="0" w:space="0" w:color="auto"/>
                    <w:left w:val="none" w:sz="0" w:space="0" w:color="auto"/>
                    <w:bottom w:val="none" w:sz="0" w:space="0" w:color="auto"/>
                    <w:right w:val="none" w:sz="0" w:space="0" w:color="auto"/>
                  </w:divBdr>
                  <w:divsChild>
                    <w:div w:id="1979720560">
                      <w:marLeft w:val="0"/>
                      <w:marRight w:val="0"/>
                      <w:marTop w:val="0"/>
                      <w:marBottom w:val="0"/>
                      <w:divBdr>
                        <w:top w:val="none" w:sz="0" w:space="0" w:color="auto"/>
                        <w:left w:val="none" w:sz="0" w:space="0" w:color="auto"/>
                        <w:bottom w:val="none" w:sz="0" w:space="0" w:color="auto"/>
                        <w:right w:val="none" w:sz="0" w:space="0" w:color="auto"/>
                      </w:divBdr>
                    </w:div>
                  </w:divsChild>
                </w:div>
                <w:div w:id="608046597">
                  <w:marLeft w:val="0"/>
                  <w:marRight w:val="0"/>
                  <w:marTop w:val="0"/>
                  <w:marBottom w:val="0"/>
                  <w:divBdr>
                    <w:top w:val="none" w:sz="0" w:space="0" w:color="auto"/>
                    <w:left w:val="none" w:sz="0" w:space="0" w:color="auto"/>
                    <w:bottom w:val="none" w:sz="0" w:space="0" w:color="auto"/>
                    <w:right w:val="none" w:sz="0" w:space="0" w:color="auto"/>
                  </w:divBdr>
                  <w:divsChild>
                    <w:div w:id="667753485">
                      <w:marLeft w:val="0"/>
                      <w:marRight w:val="0"/>
                      <w:marTop w:val="0"/>
                      <w:marBottom w:val="0"/>
                      <w:divBdr>
                        <w:top w:val="none" w:sz="0" w:space="0" w:color="auto"/>
                        <w:left w:val="none" w:sz="0" w:space="0" w:color="auto"/>
                        <w:bottom w:val="none" w:sz="0" w:space="0" w:color="auto"/>
                        <w:right w:val="none" w:sz="0" w:space="0" w:color="auto"/>
                      </w:divBdr>
                    </w:div>
                  </w:divsChild>
                </w:div>
                <w:div w:id="746615050">
                  <w:marLeft w:val="0"/>
                  <w:marRight w:val="0"/>
                  <w:marTop w:val="0"/>
                  <w:marBottom w:val="0"/>
                  <w:divBdr>
                    <w:top w:val="none" w:sz="0" w:space="0" w:color="auto"/>
                    <w:left w:val="none" w:sz="0" w:space="0" w:color="auto"/>
                    <w:bottom w:val="none" w:sz="0" w:space="0" w:color="auto"/>
                    <w:right w:val="none" w:sz="0" w:space="0" w:color="auto"/>
                  </w:divBdr>
                  <w:divsChild>
                    <w:div w:id="1424302974">
                      <w:marLeft w:val="0"/>
                      <w:marRight w:val="0"/>
                      <w:marTop w:val="0"/>
                      <w:marBottom w:val="0"/>
                      <w:divBdr>
                        <w:top w:val="none" w:sz="0" w:space="0" w:color="auto"/>
                        <w:left w:val="none" w:sz="0" w:space="0" w:color="auto"/>
                        <w:bottom w:val="none" w:sz="0" w:space="0" w:color="auto"/>
                        <w:right w:val="none" w:sz="0" w:space="0" w:color="auto"/>
                      </w:divBdr>
                    </w:div>
                  </w:divsChild>
                </w:div>
                <w:div w:id="770778760">
                  <w:marLeft w:val="0"/>
                  <w:marRight w:val="0"/>
                  <w:marTop w:val="0"/>
                  <w:marBottom w:val="0"/>
                  <w:divBdr>
                    <w:top w:val="none" w:sz="0" w:space="0" w:color="auto"/>
                    <w:left w:val="none" w:sz="0" w:space="0" w:color="auto"/>
                    <w:bottom w:val="none" w:sz="0" w:space="0" w:color="auto"/>
                    <w:right w:val="none" w:sz="0" w:space="0" w:color="auto"/>
                  </w:divBdr>
                  <w:divsChild>
                    <w:div w:id="1028142158">
                      <w:marLeft w:val="0"/>
                      <w:marRight w:val="0"/>
                      <w:marTop w:val="0"/>
                      <w:marBottom w:val="0"/>
                      <w:divBdr>
                        <w:top w:val="none" w:sz="0" w:space="0" w:color="auto"/>
                        <w:left w:val="none" w:sz="0" w:space="0" w:color="auto"/>
                        <w:bottom w:val="none" w:sz="0" w:space="0" w:color="auto"/>
                        <w:right w:val="none" w:sz="0" w:space="0" w:color="auto"/>
                      </w:divBdr>
                    </w:div>
                  </w:divsChild>
                </w:div>
                <w:div w:id="831142020">
                  <w:marLeft w:val="0"/>
                  <w:marRight w:val="0"/>
                  <w:marTop w:val="0"/>
                  <w:marBottom w:val="0"/>
                  <w:divBdr>
                    <w:top w:val="none" w:sz="0" w:space="0" w:color="auto"/>
                    <w:left w:val="none" w:sz="0" w:space="0" w:color="auto"/>
                    <w:bottom w:val="none" w:sz="0" w:space="0" w:color="auto"/>
                    <w:right w:val="none" w:sz="0" w:space="0" w:color="auto"/>
                  </w:divBdr>
                  <w:divsChild>
                    <w:div w:id="411506584">
                      <w:marLeft w:val="0"/>
                      <w:marRight w:val="0"/>
                      <w:marTop w:val="0"/>
                      <w:marBottom w:val="0"/>
                      <w:divBdr>
                        <w:top w:val="none" w:sz="0" w:space="0" w:color="auto"/>
                        <w:left w:val="none" w:sz="0" w:space="0" w:color="auto"/>
                        <w:bottom w:val="none" w:sz="0" w:space="0" w:color="auto"/>
                        <w:right w:val="none" w:sz="0" w:space="0" w:color="auto"/>
                      </w:divBdr>
                    </w:div>
                  </w:divsChild>
                </w:div>
                <w:div w:id="834952052">
                  <w:marLeft w:val="0"/>
                  <w:marRight w:val="0"/>
                  <w:marTop w:val="0"/>
                  <w:marBottom w:val="0"/>
                  <w:divBdr>
                    <w:top w:val="none" w:sz="0" w:space="0" w:color="auto"/>
                    <w:left w:val="none" w:sz="0" w:space="0" w:color="auto"/>
                    <w:bottom w:val="none" w:sz="0" w:space="0" w:color="auto"/>
                    <w:right w:val="none" w:sz="0" w:space="0" w:color="auto"/>
                  </w:divBdr>
                  <w:divsChild>
                    <w:div w:id="774327036">
                      <w:marLeft w:val="0"/>
                      <w:marRight w:val="0"/>
                      <w:marTop w:val="0"/>
                      <w:marBottom w:val="0"/>
                      <w:divBdr>
                        <w:top w:val="none" w:sz="0" w:space="0" w:color="auto"/>
                        <w:left w:val="none" w:sz="0" w:space="0" w:color="auto"/>
                        <w:bottom w:val="none" w:sz="0" w:space="0" w:color="auto"/>
                        <w:right w:val="none" w:sz="0" w:space="0" w:color="auto"/>
                      </w:divBdr>
                    </w:div>
                  </w:divsChild>
                </w:div>
                <w:div w:id="881526506">
                  <w:marLeft w:val="0"/>
                  <w:marRight w:val="0"/>
                  <w:marTop w:val="0"/>
                  <w:marBottom w:val="0"/>
                  <w:divBdr>
                    <w:top w:val="none" w:sz="0" w:space="0" w:color="auto"/>
                    <w:left w:val="none" w:sz="0" w:space="0" w:color="auto"/>
                    <w:bottom w:val="none" w:sz="0" w:space="0" w:color="auto"/>
                    <w:right w:val="none" w:sz="0" w:space="0" w:color="auto"/>
                  </w:divBdr>
                  <w:divsChild>
                    <w:div w:id="503712803">
                      <w:marLeft w:val="0"/>
                      <w:marRight w:val="0"/>
                      <w:marTop w:val="0"/>
                      <w:marBottom w:val="0"/>
                      <w:divBdr>
                        <w:top w:val="none" w:sz="0" w:space="0" w:color="auto"/>
                        <w:left w:val="none" w:sz="0" w:space="0" w:color="auto"/>
                        <w:bottom w:val="none" w:sz="0" w:space="0" w:color="auto"/>
                        <w:right w:val="none" w:sz="0" w:space="0" w:color="auto"/>
                      </w:divBdr>
                    </w:div>
                  </w:divsChild>
                </w:div>
                <w:div w:id="907963469">
                  <w:marLeft w:val="0"/>
                  <w:marRight w:val="0"/>
                  <w:marTop w:val="0"/>
                  <w:marBottom w:val="0"/>
                  <w:divBdr>
                    <w:top w:val="none" w:sz="0" w:space="0" w:color="auto"/>
                    <w:left w:val="none" w:sz="0" w:space="0" w:color="auto"/>
                    <w:bottom w:val="none" w:sz="0" w:space="0" w:color="auto"/>
                    <w:right w:val="none" w:sz="0" w:space="0" w:color="auto"/>
                  </w:divBdr>
                  <w:divsChild>
                    <w:div w:id="1818305216">
                      <w:marLeft w:val="0"/>
                      <w:marRight w:val="0"/>
                      <w:marTop w:val="0"/>
                      <w:marBottom w:val="0"/>
                      <w:divBdr>
                        <w:top w:val="none" w:sz="0" w:space="0" w:color="auto"/>
                        <w:left w:val="none" w:sz="0" w:space="0" w:color="auto"/>
                        <w:bottom w:val="none" w:sz="0" w:space="0" w:color="auto"/>
                        <w:right w:val="none" w:sz="0" w:space="0" w:color="auto"/>
                      </w:divBdr>
                    </w:div>
                  </w:divsChild>
                </w:div>
                <w:div w:id="933132662">
                  <w:marLeft w:val="0"/>
                  <w:marRight w:val="0"/>
                  <w:marTop w:val="0"/>
                  <w:marBottom w:val="0"/>
                  <w:divBdr>
                    <w:top w:val="none" w:sz="0" w:space="0" w:color="auto"/>
                    <w:left w:val="none" w:sz="0" w:space="0" w:color="auto"/>
                    <w:bottom w:val="none" w:sz="0" w:space="0" w:color="auto"/>
                    <w:right w:val="none" w:sz="0" w:space="0" w:color="auto"/>
                  </w:divBdr>
                  <w:divsChild>
                    <w:div w:id="644239680">
                      <w:marLeft w:val="0"/>
                      <w:marRight w:val="0"/>
                      <w:marTop w:val="0"/>
                      <w:marBottom w:val="0"/>
                      <w:divBdr>
                        <w:top w:val="none" w:sz="0" w:space="0" w:color="auto"/>
                        <w:left w:val="none" w:sz="0" w:space="0" w:color="auto"/>
                        <w:bottom w:val="none" w:sz="0" w:space="0" w:color="auto"/>
                        <w:right w:val="none" w:sz="0" w:space="0" w:color="auto"/>
                      </w:divBdr>
                    </w:div>
                  </w:divsChild>
                </w:div>
                <w:div w:id="1000350311">
                  <w:marLeft w:val="0"/>
                  <w:marRight w:val="0"/>
                  <w:marTop w:val="0"/>
                  <w:marBottom w:val="0"/>
                  <w:divBdr>
                    <w:top w:val="none" w:sz="0" w:space="0" w:color="auto"/>
                    <w:left w:val="none" w:sz="0" w:space="0" w:color="auto"/>
                    <w:bottom w:val="none" w:sz="0" w:space="0" w:color="auto"/>
                    <w:right w:val="none" w:sz="0" w:space="0" w:color="auto"/>
                  </w:divBdr>
                  <w:divsChild>
                    <w:div w:id="1213810501">
                      <w:marLeft w:val="0"/>
                      <w:marRight w:val="0"/>
                      <w:marTop w:val="0"/>
                      <w:marBottom w:val="0"/>
                      <w:divBdr>
                        <w:top w:val="none" w:sz="0" w:space="0" w:color="auto"/>
                        <w:left w:val="none" w:sz="0" w:space="0" w:color="auto"/>
                        <w:bottom w:val="none" w:sz="0" w:space="0" w:color="auto"/>
                        <w:right w:val="none" w:sz="0" w:space="0" w:color="auto"/>
                      </w:divBdr>
                    </w:div>
                  </w:divsChild>
                </w:div>
                <w:div w:id="1178688622">
                  <w:marLeft w:val="0"/>
                  <w:marRight w:val="0"/>
                  <w:marTop w:val="0"/>
                  <w:marBottom w:val="0"/>
                  <w:divBdr>
                    <w:top w:val="none" w:sz="0" w:space="0" w:color="auto"/>
                    <w:left w:val="none" w:sz="0" w:space="0" w:color="auto"/>
                    <w:bottom w:val="none" w:sz="0" w:space="0" w:color="auto"/>
                    <w:right w:val="none" w:sz="0" w:space="0" w:color="auto"/>
                  </w:divBdr>
                  <w:divsChild>
                    <w:div w:id="2032143719">
                      <w:marLeft w:val="0"/>
                      <w:marRight w:val="0"/>
                      <w:marTop w:val="0"/>
                      <w:marBottom w:val="0"/>
                      <w:divBdr>
                        <w:top w:val="none" w:sz="0" w:space="0" w:color="auto"/>
                        <w:left w:val="none" w:sz="0" w:space="0" w:color="auto"/>
                        <w:bottom w:val="none" w:sz="0" w:space="0" w:color="auto"/>
                        <w:right w:val="none" w:sz="0" w:space="0" w:color="auto"/>
                      </w:divBdr>
                    </w:div>
                  </w:divsChild>
                </w:div>
                <w:div w:id="1246186786">
                  <w:marLeft w:val="0"/>
                  <w:marRight w:val="0"/>
                  <w:marTop w:val="0"/>
                  <w:marBottom w:val="0"/>
                  <w:divBdr>
                    <w:top w:val="none" w:sz="0" w:space="0" w:color="auto"/>
                    <w:left w:val="none" w:sz="0" w:space="0" w:color="auto"/>
                    <w:bottom w:val="none" w:sz="0" w:space="0" w:color="auto"/>
                    <w:right w:val="none" w:sz="0" w:space="0" w:color="auto"/>
                  </w:divBdr>
                  <w:divsChild>
                    <w:div w:id="1162888909">
                      <w:marLeft w:val="0"/>
                      <w:marRight w:val="0"/>
                      <w:marTop w:val="0"/>
                      <w:marBottom w:val="0"/>
                      <w:divBdr>
                        <w:top w:val="none" w:sz="0" w:space="0" w:color="auto"/>
                        <w:left w:val="none" w:sz="0" w:space="0" w:color="auto"/>
                        <w:bottom w:val="none" w:sz="0" w:space="0" w:color="auto"/>
                        <w:right w:val="none" w:sz="0" w:space="0" w:color="auto"/>
                      </w:divBdr>
                    </w:div>
                  </w:divsChild>
                </w:div>
                <w:div w:id="1296135320">
                  <w:marLeft w:val="0"/>
                  <w:marRight w:val="0"/>
                  <w:marTop w:val="0"/>
                  <w:marBottom w:val="0"/>
                  <w:divBdr>
                    <w:top w:val="none" w:sz="0" w:space="0" w:color="auto"/>
                    <w:left w:val="none" w:sz="0" w:space="0" w:color="auto"/>
                    <w:bottom w:val="none" w:sz="0" w:space="0" w:color="auto"/>
                    <w:right w:val="none" w:sz="0" w:space="0" w:color="auto"/>
                  </w:divBdr>
                  <w:divsChild>
                    <w:div w:id="772163909">
                      <w:marLeft w:val="0"/>
                      <w:marRight w:val="0"/>
                      <w:marTop w:val="0"/>
                      <w:marBottom w:val="0"/>
                      <w:divBdr>
                        <w:top w:val="none" w:sz="0" w:space="0" w:color="auto"/>
                        <w:left w:val="none" w:sz="0" w:space="0" w:color="auto"/>
                        <w:bottom w:val="none" w:sz="0" w:space="0" w:color="auto"/>
                        <w:right w:val="none" w:sz="0" w:space="0" w:color="auto"/>
                      </w:divBdr>
                    </w:div>
                    <w:div w:id="1887451245">
                      <w:marLeft w:val="0"/>
                      <w:marRight w:val="0"/>
                      <w:marTop w:val="0"/>
                      <w:marBottom w:val="0"/>
                      <w:divBdr>
                        <w:top w:val="none" w:sz="0" w:space="0" w:color="auto"/>
                        <w:left w:val="none" w:sz="0" w:space="0" w:color="auto"/>
                        <w:bottom w:val="none" w:sz="0" w:space="0" w:color="auto"/>
                        <w:right w:val="none" w:sz="0" w:space="0" w:color="auto"/>
                      </w:divBdr>
                    </w:div>
                  </w:divsChild>
                </w:div>
                <w:div w:id="1396511823">
                  <w:marLeft w:val="0"/>
                  <w:marRight w:val="0"/>
                  <w:marTop w:val="0"/>
                  <w:marBottom w:val="0"/>
                  <w:divBdr>
                    <w:top w:val="none" w:sz="0" w:space="0" w:color="auto"/>
                    <w:left w:val="none" w:sz="0" w:space="0" w:color="auto"/>
                    <w:bottom w:val="none" w:sz="0" w:space="0" w:color="auto"/>
                    <w:right w:val="none" w:sz="0" w:space="0" w:color="auto"/>
                  </w:divBdr>
                  <w:divsChild>
                    <w:div w:id="217477560">
                      <w:marLeft w:val="0"/>
                      <w:marRight w:val="0"/>
                      <w:marTop w:val="0"/>
                      <w:marBottom w:val="0"/>
                      <w:divBdr>
                        <w:top w:val="none" w:sz="0" w:space="0" w:color="auto"/>
                        <w:left w:val="none" w:sz="0" w:space="0" w:color="auto"/>
                        <w:bottom w:val="none" w:sz="0" w:space="0" w:color="auto"/>
                        <w:right w:val="none" w:sz="0" w:space="0" w:color="auto"/>
                      </w:divBdr>
                    </w:div>
                  </w:divsChild>
                </w:div>
                <w:div w:id="1445073544">
                  <w:marLeft w:val="0"/>
                  <w:marRight w:val="0"/>
                  <w:marTop w:val="0"/>
                  <w:marBottom w:val="0"/>
                  <w:divBdr>
                    <w:top w:val="none" w:sz="0" w:space="0" w:color="auto"/>
                    <w:left w:val="none" w:sz="0" w:space="0" w:color="auto"/>
                    <w:bottom w:val="none" w:sz="0" w:space="0" w:color="auto"/>
                    <w:right w:val="none" w:sz="0" w:space="0" w:color="auto"/>
                  </w:divBdr>
                  <w:divsChild>
                    <w:div w:id="630552360">
                      <w:marLeft w:val="0"/>
                      <w:marRight w:val="0"/>
                      <w:marTop w:val="0"/>
                      <w:marBottom w:val="0"/>
                      <w:divBdr>
                        <w:top w:val="none" w:sz="0" w:space="0" w:color="auto"/>
                        <w:left w:val="none" w:sz="0" w:space="0" w:color="auto"/>
                        <w:bottom w:val="none" w:sz="0" w:space="0" w:color="auto"/>
                        <w:right w:val="none" w:sz="0" w:space="0" w:color="auto"/>
                      </w:divBdr>
                    </w:div>
                  </w:divsChild>
                </w:div>
                <w:div w:id="1446385503">
                  <w:marLeft w:val="0"/>
                  <w:marRight w:val="0"/>
                  <w:marTop w:val="0"/>
                  <w:marBottom w:val="0"/>
                  <w:divBdr>
                    <w:top w:val="none" w:sz="0" w:space="0" w:color="auto"/>
                    <w:left w:val="none" w:sz="0" w:space="0" w:color="auto"/>
                    <w:bottom w:val="none" w:sz="0" w:space="0" w:color="auto"/>
                    <w:right w:val="none" w:sz="0" w:space="0" w:color="auto"/>
                  </w:divBdr>
                  <w:divsChild>
                    <w:div w:id="371614479">
                      <w:marLeft w:val="0"/>
                      <w:marRight w:val="0"/>
                      <w:marTop w:val="0"/>
                      <w:marBottom w:val="0"/>
                      <w:divBdr>
                        <w:top w:val="none" w:sz="0" w:space="0" w:color="auto"/>
                        <w:left w:val="none" w:sz="0" w:space="0" w:color="auto"/>
                        <w:bottom w:val="none" w:sz="0" w:space="0" w:color="auto"/>
                        <w:right w:val="none" w:sz="0" w:space="0" w:color="auto"/>
                      </w:divBdr>
                    </w:div>
                  </w:divsChild>
                </w:div>
                <w:div w:id="1471241784">
                  <w:marLeft w:val="0"/>
                  <w:marRight w:val="0"/>
                  <w:marTop w:val="0"/>
                  <w:marBottom w:val="0"/>
                  <w:divBdr>
                    <w:top w:val="none" w:sz="0" w:space="0" w:color="auto"/>
                    <w:left w:val="none" w:sz="0" w:space="0" w:color="auto"/>
                    <w:bottom w:val="none" w:sz="0" w:space="0" w:color="auto"/>
                    <w:right w:val="none" w:sz="0" w:space="0" w:color="auto"/>
                  </w:divBdr>
                  <w:divsChild>
                    <w:div w:id="1739084648">
                      <w:marLeft w:val="0"/>
                      <w:marRight w:val="0"/>
                      <w:marTop w:val="0"/>
                      <w:marBottom w:val="0"/>
                      <w:divBdr>
                        <w:top w:val="none" w:sz="0" w:space="0" w:color="auto"/>
                        <w:left w:val="none" w:sz="0" w:space="0" w:color="auto"/>
                        <w:bottom w:val="none" w:sz="0" w:space="0" w:color="auto"/>
                        <w:right w:val="none" w:sz="0" w:space="0" w:color="auto"/>
                      </w:divBdr>
                    </w:div>
                  </w:divsChild>
                </w:div>
                <w:div w:id="1490368396">
                  <w:marLeft w:val="0"/>
                  <w:marRight w:val="0"/>
                  <w:marTop w:val="0"/>
                  <w:marBottom w:val="0"/>
                  <w:divBdr>
                    <w:top w:val="none" w:sz="0" w:space="0" w:color="auto"/>
                    <w:left w:val="none" w:sz="0" w:space="0" w:color="auto"/>
                    <w:bottom w:val="none" w:sz="0" w:space="0" w:color="auto"/>
                    <w:right w:val="none" w:sz="0" w:space="0" w:color="auto"/>
                  </w:divBdr>
                  <w:divsChild>
                    <w:div w:id="842357465">
                      <w:marLeft w:val="0"/>
                      <w:marRight w:val="0"/>
                      <w:marTop w:val="0"/>
                      <w:marBottom w:val="0"/>
                      <w:divBdr>
                        <w:top w:val="none" w:sz="0" w:space="0" w:color="auto"/>
                        <w:left w:val="none" w:sz="0" w:space="0" w:color="auto"/>
                        <w:bottom w:val="none" w:sz="0" w:space="0" w:color="auto"/>
                        <w:right w:val="none" w:sz="0" w:space="0" w:color="auto"/>
                      </w:divBdr>
                    </w:div>
                  </w:divsChild>
                </w:div>
                <w:div w:id="1498112574">
                  <w:marLeft w:val="0"/>
                  <w:marRight w:val="0"/>
                  <w:marTop w:val="0"/>
                  <w:marBottom w:val="0"/>
                  <w:divBdr>
                    <w:top w:val="none" w:sz="0" w:space="0" w:color="auto"/>
                    <w:left w:val="none" w:sz="0" w:space="0" w:color="auto"/>
                    <w:bottom w:val="none" w:sz="0" w:space="0" w:color="auto"/>
                    <w:right w:val="none" w:sz="0" w:space="0" w:color="auto"/>
                  </w:divBdr>
                  <w:divsChild>
                    <w:div w:id="609629303">
                      <w:marLeft w:val="0"/>
                      <w:marRight w:val="0"/>
                      <w:marTop w:val="0"/>
                      <w:marBottom w:val="0"/>
                      <w:divBdr>
                        <w:top w:val="none" w:sz="0" w:space="0" w:color="auto"/>
                        <w:left w:val="none" w:sz="0" w:space="0" w:color="auto"/>
                        <w:bottom w:val="none" w:sz="0" w:space="0" w:color="auto"/>
                        <w:right w:val="none" w:sz="0" w:space="0" w:color="auto"/>
                      </w:divBdr>
                    </w:div>
                  </w:divsChild>
                </w:div>
                <w:div w:id="1539973439">
                  <w:marLeft w:val="0"/>
                  <w:marRight w:val="0"/>
                  <w:marTop w:val="0"/>
                  <w:marBottom w:val="0"/>
                  <w:divBdr>
                    <w:top w:val="none" w:sz="0" w:space="0" w:color="auto"/>
                    <w:left w:val="none" w:sz="0" w:space="0" w:color="auto"/>
                    <w:bottom w:val="none" w:sz="0" w:space="0" w:color="auto"/>
                    <w:right w:val="none" w:sz="0" w:space="0" w:color="auto"/>
                  </w:divBdr>
                  <w:divsChild>
                    <w:div w:id="1806658243">
                      <w:marLeft w:val="0"/>
                      <w:marRight w:val="0"/>
                      <w:marTop w:val="0"/>
                      <w:marBottom w:val="0"/>
                      <w:divBdr>
                        <w:top w:val="none" w:sz="0" w:space="0" w:color="auto"/>
                        <w:left w:val="none" w:sz="0" w:space="0" w:color="auto"/>
                        <w:bottom w:val="none" w:sz="0" w:space="0" w:color="auto"/>
                        <w:right w:val="none" w:sz="0" w:space="0" w:color="auto"/>
                      </w:divBdr>
                    </w:div>
                  </w:divsChild>
                </w:div>
                <w:div w:id="1736121960">
                  <w:marLeft w:val="0"/>
                  <w:marRight w:val="0"/>
                  <w:marTop w:val="0"/>
                  <w:marBottom w:val="0"/>
                  <w:divBdr>
                    <w:top w:val="none" w:sz="0" w:space="0" w:color="auto"/>
                    <w:left w:val="none" w:sz="0" w:space="0" w:color="auto"/>
                    <w:bottom w:val="none" w:sz="0" w:space="0" w:color="auto"/>
                    <w:right w:val="none" w:sz="0" w:space="0" w:color="auto"/>
                  </w:divBdr>
                  <w:divsChild>
                    <w:div w:id="817570144">
                      <w:marLeft w:val="0"/>
                      <w:marRight w:val="0"/>
                      <w:marTop w:val="0"/>
                      <w:marBottom w:val="0"/>
                      <w:divBdr>
                        <w:top w:val="none" w:sz="0" w:space="0" w:color="auto"/>
                        <w:left w:val="none" w:sz="0" w:space="0" w:color="auto"/>
                        <w:bottom w:val="none" w:sz="0" w:space="0" w:color="auto"/>
                        <w:right w:val="none" w:sz="0" w:space="0" w:color="auto"/>
                      </w:divBdr>
                    </w:div>
                  </w:divsChild>
                </w:div>
                <w:div w:id="1839298133">
                  <w:marLeft w:val="0"/>
                  <w:marRight w:val="0"/>
                  <w:marTop w:val="0"/>
                  <w:marBottom w:val="0"/>
                  <w:divBdr>
                    <w:top w:val="none" w:sz="0" w:space="0" w:color="auto"/>
                    <w:left w:val="none" w:sz="0" w:space="0" w:color="auto"/>
                    <w:bottom w:val="none" w:sz="0" w:space="0" w:color="auto"/>
                    <w:right w:val="none" w:sz="0" w:space="0" w:color="auto"/>
                  </w:divBdr>
                  <w:divsChild>
                    <w:div w:id="1735354555">
                      <w:marLeft w:val="0"/>
                      <w:marRight w:val="0"/>
                      <w:marTop w:val="0"/>
                      <w:marBottom w:val="0"/>
                      <w:divBdr>
                        <w:top w:val="none" w:sz="0" w:space="0" w:color="auto"/>
                        <w:left w:val="none" w:sz="0" w:space="0" w:color="auto"/>
                        <w:bottom w:val="none" w:sz="0" w:space="0" w:color="auto"/>
                        <w:right w:val="none" w:sz="0" w:space="0" w:color="auto"/>
                      </w:divBdr>
                    </w:div>
                  </w:divsChild>
                </w:div>
                <w:div w:id="1873230868">
                  <w:marLeft w:val="0"/>
                  <w:marRight w:val="0"/>
                  <w:marTop w:val="0"/>
                  <w:marBottom w:val="0"/>
                  <w:divBdr>
                    <w:top w:val="none" w:sz="0" w:space="0" w:color="auto"/>
                    <w:left w:val="none" w:sz="0" w:space="0" w:color="auto"/>
                    <w:bottom w:val="none" w:sz="0" w:space="0" w:color="auto"/>
                    <w:right w:val="none" w:sz="0" w:space="0" w:color="auto"/>
                  </w:divBdr>
                  <w:divsChild>
                    <w:div w:id="140200461">
                      <w:marLeft w:val="0"/>
                      <w:marRight w:val="0"/>
                      <w:marTop w:val="0"/>
                      <w:marBottom w:val="0"/>
                      <w:divBdr>
                        <w:top w:val="none" w:sz="0" w:space="0" w:color="auto"/>
                        <w:left w:val="none" w:sz="0" w:space="0" w:color="auto"/>
                        <w:bottom w:val="none" w:sz="0" w:space="0" w:color="auto"/>
                        <w:right w:val="none" w:sz="0" w:space="0" w:color="auto"/>
                      </w:divBdr>
                    </w:div>
                  </w:divsChild>
                </w:div>
                <w:div w:id="1902251324">
                  <w:marLeft w:val="0"/>
                  <w:marRight w:val="0"/>
                  <w:marTop w:val="0"/>
                  <w:marBottom w:val="0"/>
                  <w:divBdr>
                    <w:top w:val="none" w:sz="0" w:space="0" w:color="auto"/>
                    <w:left w:val="none" w:sz="0" w:space="0" w:color="auto"/>
                    <w:bottom w:val="none" w:sz="0" w:space="0" w:color="auto"/>
                    <w:right w:val="none" w:sz="0" w:space="0" w:color="auto"/>
                  </w:divBdr>
                  <w:divsChild>
                    <w:div w:id="1133133628">
                      <w:marLeft w:val="0"/>
                      <w:marRight w:val="0"/>
                      <w:marTop w:val="0"/>
                      <w:marBottom w:val="0"/>
                      <w:divBdr>
                        <w:top w:val="none" w:sz="0" w:space="0" w:color="auto"/>
                        <w:left w:val="none" w:sz="0" w:space="0" w:color="auto"/>
                        <w:bottom w:val="none" w:sz="0" w:space="0" w:color="auto"/>
                        <w:right w:val="none" w:sz="0" w:space="0" w:color="auto"/>
                      </w:divBdr>
                    </w:div>
                  </w:divsChild>
                </w:div>
                <w:div w:id="1947494411">
                  <w:marLeft w:val="0"/>
                  <w:marRight w:val="0"/>
                  <w:marTop w:val="0"/>
                  <w:marBottom w:val="0"/>
                  <w:divBdr>
                    <w:top w:val="none" w:sz="0" w:space="0" w:color="auto"/>
                    <w:left w:val="none" w:sz="0" w:space="0" w:color="auto"/>
                    <w:bottom w:val="none" w:sz="0" w:space="0" w:color="auto"/>
                    <w:right w:val="none" w:sz="0" w:space="0" w:color="auto"/>
                  </w:divBdr>
                  <w:divsChild>
                    <w:div w:id="132990273">
                      <w:marLeft w:val="0"/>
                      <w:marRight w:val="0"/>
                      <w:marTop w:val="0"/>
                      <w:marBottom w:val="0"/>
                      <w:divBdr>
                        <w:top w:val="none" w:sz="0" w:space="0" w:color="auto"/>
                        <w:left w:val="none" w:sz="0" w:space="0" w:color="auto"/>
                        <w:bottom w:val="none" w:sz="0" w:space="0" w:color="auto"/>
                        <w:right w:val="none" w:sz="0" w:space="0" w:color="auto"/>
                      </w:divBdr>
                    </w:div>
                  </w:divsChild>
                </w:div>
                <w:div w:id="1954288471">
                  <w:marLeft w:val="0"/>
                  <w:marRight w:val="0"/>
                  <w:marTop w:val="0"/>
                  <w:marBottom w:val="0"/>
                  <w:divBdr>
                    <w:top w:val="none" w:sz="0" w:space="0" w:color="auto"/>
                    <w:left w:val="none" w:sz="0" w:space="0" w:color="auto"/>
                    <w:bottom w:val="none" w:sz="0" w:space="0" w:color="auto"/>
                    <w:right w:val="none" w:sz="0" w:space="0" w:color="auto"/>
                  </w:divBdr>
                  <w:divsChild>
                    <w:div w:id="828597585">
                      <w:marLeft w:val="0"/>
                      <w:marRight w:val="0"/>
                      <w:marTop w:val="0"/>
                      <w:marBottom w:val="0"/>
                      <w:divBdr>
                        <w:top w:val="none" w:sz="0" w:space="0" w:color="auto"/>
                        <w:left w:val="none" w:sz="0" w:space="0" w:color="auto"/>
                        <w:bottom w:val="none" w:sz="0" w:space="0" w:color="auto"/>
                        <w:right w:val="none" w:sz="0" w:space="0" w:color="auto"/>
                      </w:divBdr>
                    </w:div>
                  </w:divsChild>
                </w:div>
                <w:div w:id="1999381879">
                  <w:marLeft w:val="0"/>
                  <w:marRight w:val="0"/>
                  <w:marTop w:val="0"/>
                  <w:marBottom w:val="0"/>
                  <w:divBdr>
                    <w:top w:val="none" w:sz="0" w:space="0" w:color="auto"/>
                    <w:left w:val="none" w:sz="0" w:space="0" w:color="auto"/>
                    <w:bottom w:val="none" w:sz="0" w:space="0" w:color="auto"/>
                    <w:right w:val="none" w:sz="0" w:space="0" w:color="auto"/>
                  </w:divBdr>
                  <w:divsChild>
                    <w:div w:id="1385135443">
                      <w:marLeft w:val="0"/>
                      <w:marRight w:val="0"/>
                      <w:marTop w:val="0"/>
                      <w:marBottom w:val="0"/>
                      <w:divBdr>
                        <w:top w:val="none" w:sz="0" w:space="0" w:color="auto"/>
                        <w:left w:val="none" w:sz="0" w:space="0" w:color="auto"/>
                        <w:bottom w:val="none" w:sz="0" w:space="0" w:color="auto"/>
                        <w:right w:val="none" w:sz="0" w:space="0" w:color="auto"/>
                      </w:divBdr>
                    </w:div>
                  </w:divsChild>
                </w:div>
                <w:div w:id="2025285732">
                  <w:marLeft w:val="0"/>
                  <w:marRight w:val="0"/>
                  <w:marTop w:val="0"/>
                  <w:marBottom w:val="0"/>
                  <w:divBdr>
                    <w:top w:val="none" w:sz="0" w:space="0" w:color="auto"/>
                    <w:left w:val="none" w:sz="0" w:space="0" w:color="auto"/>
                    <w:bottom w:val="none" w:sz="0" w:space="0" w:color="auto"/>
                    <w:right w:val="none" w:sz="0" w:space="0" w:color="auto"/>
                  </w:divBdr>
                  <w:divsChild>
                    <w:div w:id="1529830306">
                      <w:marLeft w:val="0"/>
                      <w:marRight w:val="0"/>
                      <w:marTop w:val="0"/>
                      <w:marBottom w:val="0"/>
                      <w:divBdr>
                        <w:top w:val="none" w:sz="0" w:space="0" w:color="auto"/>
                        <w:left w:val="none" w:sz="0" w:space="0" w:color="auto"/>
                        <w:bottom w:val="none" w:sz="0" w:space="0" w:color="auto"/>
                        <w:right w:val="none" w:sz="0" w:space="0" w:color="auto"/>
                      </w:divBdr>
                    </w:div>
                  </w:divsChild>
                </w:div>
                <w:div w:id="2038506209">
                  <w:marLeft w:val="0"/>
                  <w:marRight w:val="0"/>
                  <w:marTop w:val="0"/>
                  <w:marBottom w:val="0"/>
                  <w:divBdr>
                    <w:top w:val="none" w:sz="0" w:space="0" w:color="auto"/>
                    <w:left w:val="none" w:sz="0" w:space="0" w:color="auto"/>
                    <w:bottom w:val="none" w:sz="0" w:space="0" w:color="auto"/>
                    <w:right w:val="none" w:sz="0" w:space="0" w:color="auto"/>
                  </w:divBdr>
                  <w:divsChild>
                    <w:div w:id="2107728379">
                      <w:marLeft w:val="0"/>
                      <w:marRight w:val="0"/>
                      <w:marTop w:val="0"/>
                      <w:marBottom w:val="0"/>
                      <w:divBdr>
                        <w:top w:val="none" w:sz="0" w:space="0" w:color="auto"/>
                        <w:left w:val="none" w:sz="0" w:space="0" w:color="auto"/>
                        <w:bottom w:val="none" w:sz="0" w:space="0" w:color="auto"/>
                        <w:right w:val="none" w:sz="0" w:space="0" w:color="auto"/>
                      </w:divBdr>
                    </w:div>
                  </w:divsChild>
                </w:div>
                <w:div w:id="2112428734">
                  <w:marLeft w:val="0"/>
                  <w:marRight w:val="0"/>
                  <w:marTop w:val="0"/>
                  <w:marBottom w:val="0"/>
                  <w:divBdr>
                    <w:top w:val="none" w:sz="0" w:space="0" w:color="auto"/>
                    <w:left w:val="none" w:sz="0" w:space="0" w:color="auto"/>
                    <w:bottom w:val="none" w:sz="0" w:space="0" w:color="auto"/>
                    <w:right w:val="none" w:sz="0" w:space="0" w:color="auto"/>
                  </w:divBdr>
                  <w:divsChild>
                    <w:div w:id="87238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9911046">
      <w:bodyDiv w:val="1"/>
      <w:marLeft w:val="0"/>
      <w:marRight w:val="0"/>
      <w:marTop w:val="0"/>
      <w:marBottom w:val="0"/>
      <w:divBdr>
        <w:top w:val="none" w:sz="0" w:space="0" w:color="auto"/>
        <w:left w:val="none" w:sz="0" w:space="0" w:color="auto"/>
        <w:bottom w:val="none" w:sz="0" w:space="0" w:color="auto"/>
        <w:right w:val="none" w:sz="0" w:space="0" w:color="auto"/>
      </w:divBdr>
      <w:divsChild>
        <w:div w:id="169805543">
          <w:marLeft w:val="0"/>
          <w:marRight w:val="0"/>
          <w:marTop w:val="0"/>
          <w:marBottom w:val="0"/>
          <w:divBdr>
            <w:top w:val="none" w:sz="0" w:space="0" w:color="auto"/>
            <w:left w:val="none" w:sz="0" w:space="0" w:color="auto"/>
            <w:bottom w:val="none" w:sz="0" w:space="0" w:color="auto"/>
            <w:right w:val="none" w:sz="0" w:space="0" w:color="auto"/>
          </w:divBdr>
          <w:divsChild>
            <w:div w:id="1248537973">
              <w:marLeft w:val="-75"/>
              <w:marRight w:val="0"/>
              <w:marTop w:val="30"/>
              <w:marBottom w:val="30"/>
              <w:divBdr>
                <w:top w:val="none" w:sz="0" w:space="0" w:color="auto"/>
                <w:left w:val="none" w:sz="0" w:space="0" w:color="auto"/>
                <w:bottom w:val="none" w:sz="0" w:space="0" w:color="auto"/>
                <w:right w:val="none" w:sz="0" w:space="0" w:color="auto"/>
              </w:divBdr>
              <w:divsChild>
                <w:div w:id="23530717">
                  <w:marLeft w:val="0"/>
                  <w:marRight w:val="0"/>
                  <w:marTop w:val="0"/>
                  <w:marBottom w:val="0"/>
                  <w:divBdr>
                    <w:top w:val="none" w:sz="0" w:space="0" w:color="auto"/>
                    <w:left w:val="none" w:sz="0" w:space="0" w:color="auto"/>
                    <w:bottom w:val="none" w:sz="0" w:space="0" w:color="auto"/>
                    <w:right w:val="none" w:sz="0" w:space="0" w:color="auto"/>
                  </w:divBdr>
                  <w:divsChild>
                    <w:div w:id="25259202">
                      <w:marLeft w:val="0"/>
                      <w:marRight w:val="0"/>
                      <w:marTop w:val="0"/>
                      <w:marBottom w:val="0"/>
                      <w:divBdr>
                        <w:top w:val="none" w:sz="0" w:space="0" w:color="auto"/>
                        <w:left w:val="none" w:sz="0" w:space="0" w:color="auto"/>
                        <w:bottom w:val="none" w:sz="0" w:space="0" w:color="auto"/>
                        <w:right w:val="none" w:sz="0" w:space="0" w:color="auto"/>
                      </w:divBdr>
                    </w:div>
                  </w:divsChild>
                </w:div>
                <w:div w:id="31272249">
                  <w:marLeft w:val="0"/>
                  <w:marRight w:val="0"/>
                  <w:marTop w:val="0"/>
                  <w:marBottom w:val="0"/>
                  <w:divBdr>
                    <w:top w:val="none" w:sz="0" w:space="0" w:color="auto"/>
                    <w:left w:val="none" w:sz="0" w:space="0" w:color="auto"/>
                    <w:bottom w:val="none" w:sz="0" w:space="0" w:color="auto"/>
                    <w:right w:val="none" w:sz="0" w:space="0" w:color="auto"/>
                  </w:divBdr>
                  <w:divsChild>
                    <w:div w:id="1565025654">
                      <w:marLeft w:val="0"/>
                      <w:marRight w:val="0"/>
                      <w:marTop w:val="0"/>
                      <w:marBottom w:val="0"/>
                      <w:divBdr>
                        <w:top w:val="none" w:sz="0" w:space="0" w:color="auto"/>
                        <w:left w:val="none" w:sz="0" w:space="0" w:color="auto"/>
                        <w:bottom w:val="none" w:sz="0" w:space="0" w:color="auto"/>
                        <w:right w:val="none" w:sz="0" w:space="0" w:color="auto"/>
                      </w:divBdr>
                    </w:div>
                  </w:divsChild>
                </w:div>
                <w:div w:id="191505551">
                  <w:marLeft w:val="0"/>
                  <w:marRight w:val="0"/>
                  <w:marTop w:val="0"/>
                  <w:marBottom w:val="0"/>
                  <w:divBdr>
                    <w:top w:val="none" w:sz="0" w:space="0" w:color="auto"/>
                    <w:left w:val="none" w:sz="0" w:space="0" w:color="auto"/>
                    <w:bottom w:val="none" w:sz="0" w:space="0" w:color="auto"/>
                    <w:right w:val="none" w:sz="0" w:space="0" w:color="auto"/>
                  </w:divBdr>
                  <w:divsChild>
                    <w:div w:id="1067923734">
                      <w:marLeft w:val="0"/>
                      <w:marRight w:val="0"/>
                      <w:marTop w:val="0"/>
                      <w:marBottom w:val="0"/>
                      <w:divBdr>
                        <w:top w:val="none" w:sz="0" w:space="0" w:color="auto"/>
                        <w:left w:val="none" w:sz="0" w:space="0" w:color="auto"/>
                        <w:bottom w:val="none" w:sz="0" w:space="0" w:color="auto"/>
                        <w:right w:val="none" w:sz="0" w:space="0" w:color="auto"/>
                      </w:divBdr>
                    </w:div>
                  </w:divsChild>
                </w:div>
                <w:div w:id="197664607">
                  <w:marLeft w:val="0"/>
                  <w:marRight w:val="0"/>
                  <w:marTop w:val="0"/>
                  <w:marBottom w:val="0"/>
                  <w:divBdr>
                    <w:top w:val="none" w:sz="0" w:space="0" w:color="auto"/>
                    <w:left w:val="none" w:sz="0" w:space="0" w:color="auto"/>
                    <w:bottom w:val="none" w:sz="0" w:space="0" w:color="auto"/>
                    <w:right w:val="none" w:sz="0" w:space="0" w:color="auto"/>
                  </w:divBdr>
                  <w:divsChild>
                    <w:div w:id="1730693285">
                      <w:marLeft w:val="0"/>
                      <w:marRight w:val="0"/>
                      <w:marTop w:val="0"/>
                      <w:marBottom w:val="0"/>
                      <w:divBdr>
                        <w:top w:val="none" w:sz="0" w:space="0" w:color="auto"/>
                        <w:left w:val="none" w:sz="0" w:space="0" w:color="auto"/>
                        <w:bottom w:val="none" w:sz="0" w:space="0" w:color="auto"/>
                        <w:right w:val="none" w:sz="0" w:space="0" w:color="auto"/>
                      </w:divBdr>
                    </w:div>
                  </w:divsChild>
                </w:div>
                <w:div w:id="232356867">
                  <w:marLeft w:val="0"/>
                  <w:marRight w:val="0"/>
                  <w:marTop w:val="0"/>
                  <w:marBottom w:val="0"/>
                  <w:divBdr>
                    <w:top w:val="none" w:sz="0" w:space="0" w:color="auto"/>
                    <w:left w:val="none" w:sz="0" w:space="0" w:color="auto"/>
                    <w:bottom w:val="none" w:sz="0" w:space="0" w:color="auto"/>
                    <w:right w:val="none" w:sz="0" w:space="0" w:color="auto"/>
                  </w:divBdr>
                  <w:divsChild>
                    <w:div w:id="523324238">
                      <w:marLeft w:val="0"/>
                      <w:marRight w:val="0"/>
                      <w:marTop w:val="0"/>
                      <w:marBottom w:val="0"/>
                      <w:divBdr>
                        <w:top w:val="none" w:sz="0" w:space="0" w:color="auto"/>
                        <w:left w:val="none" w:sz="0" w:space="0" w:color="auto"/>
                        <w:bottom w:val="none" w:sz="0" w:space="0" w:color="auto"/>
                        <w:right w:val="none" w:sz="0" w:space="0" w:color="auto"/>
                      </w:divBdr>
                    </w:div>
                  </w:divsChild>
                </w:div>
                <w:div w:id="329916751">
                  <w:marLeft w:val="0"/>
                  <w:marRight w:val="0"/>
                  <w:marTop w:val="0"/>
                  <w:marBottom w:val="0"/>
                  <w:divBdr>
                    <w:top w:val="none" w:sz="0" w:space="0" w:color="auto"/>
                    <w:left w:val="none" w:sz="0" w:space="0" w:color="auto"/>
                    <w:bottom w:val="none" w:sz="0" w:space="0" w:color="auto"/>
                    <w:right w:val="none" w:sz="0" w:space="0" w:color="auto"/>
                  </w:divBdr>
                  <w:divsChild>
                    <w:div w:id="1011296019">
                      <w:marLeft w:val="0"/>
                      <w:marRight w:val="0"/>
                      <w:marTop w:val="0"/>
                      <w:marBottom w:val="0"/>
                      <w:divBdr>
                        <w:top w:val="none" w:sz="0" w:space="0" w:color="auto"/>
                        <w:left w:val="none" w:sz="0" w:space="0" w:color="auto"/>
                        <w:bottom w:val="none" w:sz="0" w:space="0" w:color="auto"/>
                        <w:right w:val="none" w:sz="0" w:space="0" w:color="auto"/>
                      </w:divBdr>
                    </w:div>
                  </w:divsChild>
                </w:div>
                <w:div w:id="340206724">
                  <w:marLeft w:val="0"/>
                  <w:marRight w:val="0"/>
                  <w:marTop w:val="0"/>
                  <w:marBottom w:val="0"/>
                  <w:divBdr>
                    <w:top w:val="none" w:sz="0" w:space="0" w:color="auto"/>
                    <w:left w:val="none" w:sz="0" w:space="0" w:color="auto"/>
                    <w:bottom w:val="none" w:sz="0" w:space="0" w:color="auto"/>
                    <w:right w:val="none" w:sz="0" w:space="0" w:color="auto"/>
                  </w:divBdr>
                  <w:divsChild>
                    <w:div w:id="353575238">
                      <w:marLeft w:val="0"/>
                      <w:marRight w:val="0"/>
                      <w:marTop w:val="0"/>
                      <w:marBottom w:val="0"/>
                      <w:divBdr>
                        <w:top w:val="none" w:sz="0" w:space="0" w:color="auto"/>
                        <w:left w:val="none" w:sz="0" w:space="0" w:color="auto"/>
                        <w:bottom w:val="none" w:sz="0" w:space="0" w:color="auto"/>
                        <w:right w:val="none" w:sz="0" w:space="0" w:color="auto"/>
                      </w:divBdr>
                    </w:div>
                  </w:divsChild>
                </w:div>
                <w:div w:id="501089547">
                  <w:marLeft w:val="0"/>
                  <w:marRight w:val="0"/>
                  <w:marTop w:val="0"/>
                  <w:marBottom w:val="0"/>
                  <w:divBdr>
                    <w:top w:val="none" w:sz="0" w:space="0" w:color="auto"/>
                    <w:left w:val="none" w:sz="0" w:space="0" w:color="auto"/>
                    <w:bottom w:val="none" w:sz="0" w:space="0" w:color="auto"/>
                    <w:right w:val="none" w:sz="0" w:space="0" w:color="auto"/>
                  </w:divBdr>
                  <w:divsChild>
                    <w:div w:id="1659113257">
                      <w:marLeft w:val="0"/>
                      <w:marRight w:val="0"/>
                      <w:marTop w:val="0"/>
                      <w:marBottom w:val="0"/>
                      <w:divBdr>
                        <w:top w:val="none" w:sz="0" w:space="0" w:color="auto"/>
                        <w:left w:val="none" w:sz="0" w:space="0" w:color="auto"/>
                        <w:bottom w:val="none" w:sz="0" w:space="0" w:color="auto"/>
                        <w:right w:val="none" w:sz="0" w:space="0" w:color="auto"/>
                      </w:divBdr>
                    </w:div>
                  </w:divsChild>
                </w:div>
                <w:div w:id="533152347">
                  <w:marLeft w:val="0"/>
                  <w:marRight w:val="0"/>
                  <w:marTop w:val="0"/>
                  <w:marBottom w:val="0"/>
                  <w:divBdr>
                    <w:top w:val="none" w:sz="0" w:space="0" w:color="auto"/>
                    <w:left w:val="none" w:sz="0" w:space="0" w:color="auto"/>
                    <w:bottom w:val="none" w:sz="0" w:space="0" w:color="auto"/>
                    <w:right w:val="none" w:sz="0" w:space="0" w:color="auto"/>
                  </w:divBdr>
                  <w:divsChild>
                    <w:div w:id="148448252">
                      <w:marLeft w:val="0"/>
                      <w:marRight w:val="0"/>
                      <w:marTop w:val="0"/>
                      <w:marBottom w:val="0"/>
                      <w:divBdr>
                        <w:top w:val="none" w:sz="0" w:space="0" w:color="auto"/>
                        <w:left w:val="none" w:sz="0" w:space="0" w:color="auto"/>
                        <w:bottom w:val="none" w:sz="0" w:space="0" w:color="auto"/>
                        <w:right w:val="none" w:sz="0" w:space="0" w:color="auto"/>
                      </w:divBdr>
                    </w:div>
                  </w:divsChild>
                </w:div>
                <w:div w:id="573513989">
                  <w:marLeft w:val="0"/>
                  <w:marRight w:val="0"/>
                  <w:marTop w:val="0"/>
                  <w:marBottom w:val="0"/>
                  <w:divBdr>
                    <w:top w:val="none" w:sz="0" w:space="0" w:color="auto"/>
                    <w:left w:val="none" w:sz="0" w:space="0" w:color="auto"/>
                    <w:bottom w:val="none" w:sz="0" w:space="0" w:color="auto"/>
                    <w:right w:val="none" w:sz="0" w:space="0" w:color="auto"/>
                  </w:divBdr>
                  <w:divsChild>
                    <w:div w:id="1829588992">
                      <w:marLeft w:val="0"/>
                      <w:marRight w:val="0"/>
                      <w:marTop w:val="0"/>
                      <w:marBottom w:val="0"/>
                      <w:divBdr>
                        <w:top w:val="none" w:sz="0" w:space="0" w:color="auto"/>
                        <w:left w:val="none" w:sz="0" w:space="0" w:color="auto"/>
                        <w:bottom w:val="none" w:sz="0" w:space="0" w:color="auto"/>
                        <w:right w:val="none" w:sz="0" w:space="0" w:color="auto"/>
                      </w:divBdr>
                    </w:div>
                  </w:divsChild>
                </w:div>
                <w:div w:id="593441867">
                  <w:marLeft w:val="0"/>
                  <w:marRight w:val="0"/>
                  <w:marTop w:val="0"/>
                  <w:marBottom w:val="0"/>
                  <w:divBdr>
                    <w:top w:val="none" w:sz="0" w:space="0" w:color="auto"/>
                    <w:left w:val="none" w:sz="0" w:space="0" w:color="auto"/>
                    <w:bottom w:val="none" w:sz="0" w:space="0" w:color="auto"/>
                    <w:right w:val="none" w:sz="0" w:space="0" w:color="auto"/>
                  </w:divBdr>
                  <w:divsChild>
                    <w:div w:id="1243948342">
                      <w:marLeft w:val="0"/>
                      <w:marRight w:val="0"/>
                      <w:marTop w:val="0"/>
                      <w:marBottom w:val="0"/>
                      <w:divBdr>
                        <w:top w:val="none" w:sz="0" w:space="0" w:color="auto"/>
                        <w:left w:val="none" w:sz="0" w:space="0" w:color="auto"/>
                        <w:bottom w:val="none" w:sz="0" w:space="0" w:color="auto"/>
                        <w:right w:val="none" w:sz="0" w:space="0" w:color="auto"/>
                      </w:divBdr>
                    </w:div>
                  </w:divsChild>
                </w:div>
                <w:div w:id="595598331">
                  <w:marLeft w:val="0"/>
                  <w:marRight w:val="0"/>
                  <w:marTop w:val="0"/>
                  <w:marBottom w:val="0"/>
                  <w:divBdr>
                    <w:top w:val="none" w:sz="0" w:space="0" w:color="auto"/>
                    <w:left w:val="none" w:sz="0" w:space="0" w:color="auto"/>
                    <w:bottom w:val="none" w:sz="0" w:space="0" w:color="auto"/>
                    <w:right w:val="none" w:sz="0" w:space="0" w:color="auto"/>
                  </w:divBdr>
                  <w:divsChild>
                    <w:div w:id="2033073561">
                      <w:marLeft w:val="0"/>
                      <w:marRight w:val="0"/>
                      <w:marTop w:val="0"/>
                      <w:marBottom w:val="0"/>
                      <w:divBdr>
                        <w:top w:val="none" w:sz="0" w:space="0" w:color="auto"/>
                        <w:left w:val="none" w:sz="0" w:space="0" w:color="auto"/>
                        <w:bottom w:val="none" w:sz="0" w:space="0" w:color="auto"/>
                        <w:right w:val="none" w:sz="0" w:space="0" w:color="auto"/>
                      </w:divBdr>
                    </w:div>
                  </w:divsChild>
                </w:div>
                <w:div w:id="611474280">
                  <w:marLeft w:val="0"/>
                  <w:marRight w:val="0"/>
                  <w:marTop w:val="0"/>
                  <w:marBottom w:val="0"/>
                  <w:divBdr>
                    <w:top w:val="none" w:sz="0" w:space="0" w:color="auto"/>
                    <w:left w:val="none" w:sz="0" w:space="0" w:color="auto"/>
                    <w:bottom w:val="none" w:sz="0" w:space="0" w:color="auto"/>
                    <w:right w:val="none" w:sz="0" w:space="0" w:color="auto"/>
                  </w:divBdr>
                  <w:divsChild>
                    <w:div w:id="236401071">
                      <w:marLeft w:val="0"/>
                      <w:marRight w:val="0"/>
                      <w:marTop w:val="0"/>
                      <w:marBottom w:val="0"/>
                      <w:divBdr>
                        <w:top w:val="none" w:sz="0" w:space="0" w:color="auto"/>
                        <w:left w:val="none" w:sz="0" w:space="0" w:color="auto"/>
                        <w:bottom w:val="none" w:sz="0" w:space="0" w:color="auto"/>
                        <w:right w:val="none" w:sz="0" w:space="0" w:color="auto"/>
                      </w:divBdr>
                    </w:div>
                  </w:divsChild>
                </w:div>
                <w:div w:id="621151729">
                  <w:marLeft w:val="0"/>
                  <w:marRight w:val="0"/>
                  <w:marTop w:val="0"/>
                  <w:marBottom w:val="0"/>
                  <w:divBdr>
                    <w:top w:val="none" w:sz="0" w:space="0" w:color="auto"/>
                    <w:left w:val="none" w:sz="0" w:space="0" w:color="auto"/>
                    <w:bottom w:val="none" w:sz="0" w:space="0" w:color="auto"/>
                    <w:right w:val="none" w:sz="0" w:space="0" w:color="auto"/>
                  </w:divBdr>
                  <w:divsChild>
                    <w:div w:id="1855343525">
                      <w:marLeft w:val="0"/>
                      <w:marRight w:val="0"/>
                      <w:marTop w:val="0"/>
                      <w:marBottom w:val="0"/>
                      <w:divBdr>
                        <w:top w:val="none" w:sz="0" w:space="0" w:color="auto"/>
                        <w:left w:val="none" w:sz="0" w:space="0" w:color="auto"/>
                        <w:bottom w:val="none" w:sz="0" w:space="0" w:color="auto"/>
                        <w:right w:val="none" w:sz="0" w:space="0" w:color="auto"/>
                      </w:divBdr>
                    </w:div>
                  </w:divsChild>
                </w:div>
                <w:div w:id="658464506">
                  <w:marLeft w:val="0"/>
                  <w:marRight w:val="0"/>
                  <w:marTop w:val="0"/>
                  <w:marBottom w:val="0"/>
                  <w:divBdr>
                    <w:top w:val="none" w:sz="0" w:space="0" w:color="auto"/>
                    <w:left w:val="none" w:sz="0" w:space="0" w:color="auto"/>
                    <w:bottom w:val="none" w:sz="0" w:space="0" w:color="auto"/>
                    <w:right w:val="none" w:sz="0" w:space="0" w:color="auto"/>
                  </w:divBdr>
                  <w:divsChild>
                    <w:div w:id="271087455">
                      <w:marLeft w:val="0"/>
                      <w:marRight w:val="0"/>
                      <w:marTop w:val="0"/>
                      <w:marBottom w:val="0"/>
                      <w:divBdr>
                        <w:top w:val="none" w:sz="0" w:space="0" w:color="auto"/>
                        <w:left w:val="none" w:sz="0" w:space="0" w:color="auto"/>
                        <w:bottom w:val="none" w:sz="0" w:space="0" w:color="auto"/>
                        <w:right w:val="none" w:sz="0" w:space="0" w:color="auto"/>
                      </w:divBdr>
                    </w:div>
                  </w:divsChild>
                </w:div>
                <w:div w:id="681976317">
                  <w:marLeft w:val="0"/>
                  <w:marRight w:val="0"/>
                  <w:marTop w:val="0"/>
                  <w:marBottom w:val="0"/>
                  <w:divBdr>
                    <w:top w:val="none" w:sz="0" w:space="0" w:color="auto"/>
                    <w:left w:val="none" w:sz="0" w:space="0" w:color="auto"/>
                    <w:bottom w:val="none" w:sz="0" w:space="0" w:color="auto"/>
                    <w:right w:val="none" w:sz="0" w:space="0" w:color="auto"/>
                  </w:divBdr>
                  <w:divsChild>
                    <w:div w:id="156112094">
                      <w:marLeft w:val="0"/>
                      <w:marRight w:val="0"/>
                      <w:marTop w:val="0"/>
                      <w:marBottom w:val="0"/>
                      <w:divBdr>
                        <w:top w:val="none" w:sz="0" w:space="0" w:color="auto"/>
                        <w:left w:val="none" w:sz="0" w:space="0" w:color="auto"/>
                        <w:bottom w:val="none" w:sz="0" w:space="0" w:color="auto"/>
                        <w:right w:val="none" w:sz="0" w:space="0" w:color="auto"/>
                      </w:divBdr>
                    </w:div>
                  </w:divsChild>
                </w:div>
                <w:div w:id="704870218">
                  <w:marLeft w:val="0"/>
                  <w:marRight w:val="0"/>
                  <w:marTop w:val="0"/>
                  <w:marBottom w:val="0"/>
                  <w:divBdr>
                    <w:top w:val="none" w:sz="0" w:space="0" w:color="auto"/>
                    <w:left w:val="none" w:sz="0" w:space="0" w:color="auto"/>
                    <w:bottom w:val="none" w:sz="0" w:space="0" w:color="auto"/>
                    <w:right w:val="none" w:sz="0" w:space="0" w:color="auto"/>
                  </w:divBdr>
                  <w:divsChild>
                    <w:div w:id="1175222625">
                      <w:marLeft w:val="0"/>
                      <w:marRight w:val="0"/>
                      <w:marTop w:val="0"/>
                      <w:marBottom w:val="0"/>
                      <w:divBdr>
                        <w:top w:val="none" w:sz="0" w:space="0" w:color="auto"/>
                        <w:left w:val="none" w:sz="0" w:space="0" w:color="auto"/>
                        <w:bottom w:val="none" w:sz="0" w:space="0" w:color="auto"/>
                        <w:right w:val="none" w:sz="0" w:space="0" w:color="auto"/>
                      </w:divBdr>
                    </w:div>
                  </w:divsChild>
                </w:div>
                <w:div w:id="724453768">
                  <w:marLeft w:val="0"/>
                  <w:marRight w:val="0"/>
                  <w:marTop w:val="0"/>
                  <w:marBottom w:val="0"/>
                  <w:divBdr>
                    <w:top w:val="none" w:sz="0" w:space="0" w:color="auto"/>
                    <w:left w:val="none" w:sz="0" w:space="0" w:color="auto"/>
                    <w:bottom w:val="none" w:sz="0" w:space="0" w:color="auto"/>
                    <w:right w:val="none" w:sz="0" w:space="0" w:color="auto"/>
                  </w:divBdr>
                  <w:divsChild>
                    <w:div w:id="2052611697">
                      <w:marLeft w:val="0"/>
                      <w:marRight w:val="0"/>
                      <w:marTop w:val="0"/>
                      <w:marBottom w:val="0"/>
                      <w:divBdr>
                        <w:top w:val="none" w:sz="0" w:space="0" w:color="auto"/>
                        <w:left w:val="none" w:sz="0" w:space="0" w:color="auto"/>
                        <w:bottom w:val="none" w:sz="0" w:space="0" w:color="auto"/>
                        <w:right w:val="none" w:sz="0" w:space="0" w:color="auto"/>
                      </w:divBdr>
                    </w:div>
                  </w:divsChild>
                </w:div>
                <w:div w:id="727149859">
                  <w:marLeft w:val="0"/>
                  <w:marRight w:val="0"/>
                  <w:marTop w:val="0"/>
                  <w:marBottom w:val="0"/>
                  <w:divBdr>
                    <w:top w:val="none" w:sz="0" w:space="0" w:color="auto"/>
                    <w:left w:val="none" w:sz="0" w:space="0" w:color="auto"/>
                    <w:bottom w:val="none" w:sz="0" w:space="0" w:color="auto"/>
                    <w:right w:val="none" w:sz="0" w:space="0" w:color="auto"/>
                  </w:divBdr>
                  <w:divsChild>
                    <w:div w:id="342436775">
                      <w:marLeft w:val="0"/>
                      <w:marRight w:val="0"/>
                      <w:marTop w:val="0"/>
                      <w:marBottom w:val="0"/>
                      <w:divBdr>
                        <w:top w:val="none" w:sz="0" w:space="0" w:color="auto"/>
                        <w:left w:val="none" w:sz="0" w:space="0" w:color="auto"/>
                        <w:bottom w:val="none" w:sz="0" w:space="0" w:color="auto"/>
                        <w:right w:val="none" w:sz="0" w:space="0" w:color="auto"/>
                      </w:divBdr>
                    </w:div>
                  </w:divsChild>
                </w:div>
                <w:div w:id="853422650">
                  <w:marLeft w:val="0"/>
                  <w:marRight w:val="0"/>
                  <w:marTop w:val="0"/>
                  <w:marBottom w:val="0"/>
                  <w:divBdr>
                    <w:top w:val="none" w:sz="0" w:space="0" w:color="auto"/>
                    <w:left w:val="none" w:sz="0" w:space="0" w:color="auto"/>
                    <w:bottom w:val="none" w:sz="0" w:space="0" w:color="auto"/>
                    <w:right w:val="none" w:sz="0" w:space="0" w:color="auto"/>
                  </w:divBdr>
                  <w:divsChild>
                    <w:div w:id="1802771439">
                      <w:marLeft w:val="0"/>
                      <w:marRight w:val="0"/>
                      <w:marTop w:val="0"/>
                      <w:marBottom w:val="0"/>
                      <w:divBdr>
                        <w:top w:val="none" w:sz="0" w:space="0" w:color="auto"/>
                        <w:left w:val="none" w:sz="0" w:space="0" w:color="auto"/>
                        <w:bottom w:val="none" w:sz="0" w:space="0" w:color="auto"/>
                        <w:right w:val="none" w:sz="0" w:space="0" w:color="auto"/>
                      </w:divBdr>
                    </w:div>
                  </w:divsChild>
                </w:div>
                <w:div w:id="861283414">
                  <w:marLeft w:val="0"/>
                  <w:marRight w:val="0"/>
                  <w:marTop w:val="0"/>
                  <w:marBottom w:val="0"/>
                  <w:divBdr>
                    <w:top w:val="none" w:sz="0" w:space="0" w:color="auto"/>
                    <w:left w:val="none" w:sz="0" w:space="0" w:color="auto"/>
                    <w:bottom w:val="none" w:sz="0" w:space="0" w:color="auto"/>
                    <w:right w:val="none" w:sz="0" w:space="0" w:color="auto"/>
                  </w:divBdr>
                  <w:divsChild>
                    <w:div w:id="655308138">
                      <w:marLeft w:val="0"/>
                      <w:marRight w:val="0"/>
                      <w:marTop w:val="0"/>
                      <w:marBottom w:val="0"/>
                      <w:divBdr>
                        <w:top w:val="none" w:sz="0" w:space="0" w:color="auto"/>
                        <w:left w:val="none" w:sz="0" w:space="0" w:color="auto"/>
                        <w:bottom w:val="none" w:sz="0" w:space="0" w:color="auto"/>
                        <w:right w:val="none" w:sz="0" w:space="0" w:color="auto"/>
                      </w:divBdr>
                    </w:div>
                  </w:divsChild>
                </w:div>
                <w:div w:id="869146200">
                  <w:marLeft w:val="0"/>
                  <w:marRight w:val="0"/>
                  <w:marTop w:val="0"/>
                  <w:marBottom w:val="0"/>
                  <w:divBdr>
                    <w:top w:val="none" w:sz="0" w:space="0" w:color="auto"/>
                    <w:left w:val="none" w:sz="0" w:space="0" w:color="auto"/>
                    <w:bottom w:val="none" w:sz="0" w:space="0" w:color="auto"/>
                    <w:right w:val="none" w:sz="0" w:space="0" w:color="auto"/>
                  </w:divBdr>
                  <w:divsChild>
                    <w:div w:id="1752847817">
                      <w:marLeft w:val="0"/>
                      <w:marRight w:val="0"/>
                      <w:marTop w:val="0"/>
                      <w:marBottom w:val="0"/>
                      <w:divBdr>
                        <w:top w:val="none" w:sz="0" w:space="0" w:color="auto"/>
                        <w:left w:val="none" w:sz="0" w:space="0" w:color="auto"/>
                        <w:bottom w:val="none" w:sz="0" w:space="0" w:color="auto"/>
                        <w:right w:val="none" w:sz="0" w:space="0" w:color="auto"/>
                      </w:divBdr>
                    </w:div>
                  </w:divsChild>
                </w:div>
                <w:div w:id="902059036">
                  <w:marLeft w:val="0"/>
                  <w:marRight w:val="0"/>
                  <w:marTop w:val="0"/>
                  <w:marBottom w:val="0"/>
                  <w:divBdr>
                    <w:top w:val="none" w:sz="0" w:space="0" w:color="auto"/>
                    <w:left w:val="none" w:sz="0" w:space="0" w:color="auto"/>
                    <w:bottom w:val="none" w:sz="0" w:space="0" w:color="auto"/>
                    <w:right w:val="none" w:sz="0" w:space="0" w:color="auto"/>
                  </w:divBdr>
                  <w:divsChild>
                    <w:div w:id="984050100">
                      <w:marLeft w:val="0"/>
                      <w:marRight w:val="0"/>
                      <w:marTop w:val="0"/>
                      <w:marBottom w:val="0"/>
                      <w:divBdr>
                        <w:top w:val="none" w:sz="0" w:space="0" w:color="auto"/>
                        <w:left w:val="none" w:sz="0" w:space="0" w:color="auto"/>
                        <w:bottom w:val="none" w:sz="0" w:space="0" w:color="auto"/>
                        <w:right w:val="none" w:sz="0" w:space="0" w:color="auto"/>
                      </w:divBdr>
                    </w:div>
                  </w:divsChild>
                </w:div>
                <w:div w:id="946740269">
                  <w:marLeft w:val="0"/>
                  <w:marRight w:val="0"/>
                  <w:marTop w:val="0"/>
                  <w:marBottom w:val="0"/>
                  <w:divBdr>
                    <w:top w:val="none" w:sz="0" w:space="0" w:color="auto"/>
                    <w:left w:val="none" w:sz="0" w:space="0" w:color="auto"/>
                    <w:bottom w:val="none" w:sz="0" w:space="0" w:color="auto"/>
                    <w:right w:val="none" w:sz="0" w:space="0" w:color="auto"/>
                  </w:divBdr>
                  <w:divsChild>
                    <w:div w:id="2054843634">
                      <w:marLeft w:val="0"/>
                      <w:marRight w:val="0"/>
                      <w:marTop w:val="0"/>
                      <w:marBottom w:val="0"/>
                      <w:divBdr>
                        <w:top w:val="none" w:sz="0" w:space="0" w:color="auto"/>
                        <w:left w:val="none" w:sz="0" w:space="0" w:color="auto"/>
                        <w:bottom w:val="none" w:sz="0" w:space="0" w:color="auto"/>
                        <w:right w:val="none" w:sz="0" w:space="0" w:color="auto"/>
                      </w:divBdr>
                    </w:div>
                  </w:divsChild>
                </w:div>
                <w:div w:id="1019238013">
                  <w:marLeft w:val="0"/>
                  <w:marRight w:val="0"/>
                  <w:marTop w:val="0"/>
                  <w:marBottom w:val="0"/>
                  <w:divBdr>
                    <w:top w:val="none" w:sz="0" w:space="0" w:color="auto"/>
                    <w:left w:val="none" w:sz="0" w:space="0" w:color="auto"/>
                    <w:bottom w:val="none" w:sz="0" w:space="0" w:color="auto"/>
                    <w:right w:val="none" w:sz="0" w:space="0" w:color="auto"/>
                  </w:divBdr>
                  <w:divsChild>
                    <w:div w:id="1302270875">
                      <w:marLeft w:val="0"/>
                      <w:marRight w:val="0"/>
                      <w:marTop w:val="0"/>
                      <w:marBottom w:val="0"/>
                      <w:divBdr>
                        <w:top w:val="none" w:sz="0" w:space="0" w:color="auto"/>
                        <w:left w:val="none" w:sz="0" w:space="0" w:color="auto"/>
                        <w:bottom w:val="none" w:sz="0" w:space="0" w:color="auto"/>
                        <w:right w:val="none" w:sz="0" w:space="0" w:color="auto"/>
                      </w:divBdr>
                    </w:div>
                  </w:divsChild>
                </w:div>
                <w:div w:id="1293948485">
                  <w:marLeft w:val="0"/>
                  <w:marRight w:val="0"/>
                  <w:marTop w:val="0"/>
                  <w:marBottom w:val="0"/>
                  <w:divBdr>
                    <w:top w:val="none" w:sz="0" w:space="0" w:color="auto"/>
                    <w:left w:val="none" w:sz="0" w:space="0" w:color="auto"/>
                    <w:bottom w:val="none" w:sz="0" w:space="0" w:color="auto"/>
                    <w:right w:val="none" w:sz="0" w:space="0" w:color="auto"/>
                  </w:divBdr>
                  <w:divsChild>
                    <w:div w:id="1343509702">
                      <w:marLeft w:val="0"/>
                      <w:marRight w:val="0"/>
                      <w:marTop w:val="0"/>
                      <w:marBottom w:val="0"/>
                      <w:divBdr>
                        <w:top w:val="none" w:sz="0" w:space="0" w:color="auto"/>
                        <w:left w:val="none" w:sz="0" w:space="0" w:color="auto"/>
                        <w:bottom w:val="none" w:sz="0" w:space="0" w:color="auto"/>
                        <w:right w:val="none" w:sz="0" w:space="0" w:color="auto"/>
                      </w:divBdr>
                    </w:div>
                  </w:divsChild>
                </w:div>
                <w:div w:id="1416323236">
                  <w:marLeft w:val="0"/>
                  <w:marRight w:val="0"/>
                  <w:marTop w:val="0"/>
                  <w:marBottom w:val="0"/>
                  <w:divBdr>
                    <w:top w:val="none" w:sz="0" w:space="0" w:color="auto"/>
                    <w:left w:val="none" w:sz="0" w:space="0" w:color="auto"/>
                    <w:bottom w:val="none" w:sz="0" w:space="0" w:color="auto"/>
                    <w:right w:val="none" w:sz="0" w:space="0" w:color="auto"/>
                  </w:divBdr>
                  <w:divsChild>
                    <w:div w:id="18556789">
                      <w:marLeft w:val="0"/>
                      <w:marRight w:val="0"/>
                      <w:marTop w:val="0"/>
                      <w:marBottom w:val="0"/>
                      <w:divBdr>
                        <w:top w:val="none" w:sz="0" w:space="0" w:color="auto"/>
                        <w:left w:val="none" w:sz="0" w:space="0" w:color="auto"/>
                        <w:bottom w:val="none" w:sz="0" w:space="0" w:color="auto"/>
                        <w:right w:val="none" w:sz="0" w:space="0" w:color="auto"/>
                      </w:divBdr>
                    </w:div>
                  </w:divsChild>
                </w:div>
                <w:div w:id="1635207902">
                  <w:marLeft w:val="0"/>
                  <w:marRight w:val="0"/>
                  <w:marTop w:val="0"/>
                  <w:marBottom w:val="0"/>
                  <w:divBdr>
                    <w:top w:val="none" w:sz="0" w:space="0" w:color="auto"/>
                    <w:left w:val="none" w:sz="0" w:space="0" w:color="auto"/>
                    <w:bottom w:val="none" w:sz="0" w:space="0" w:color="auto"/>
                    <w:right w:val="none" w:sz="0" w:space="0" w:color="auto"/>
                  </w:divBdr>
                  <w:divsChild>
                    <w:div w:id="1954172395">
                      <w:marLeft w:val="0"/>
                      <w:marRight w:val="0"/>
                      <w:marTop w:val="0"/>
                      <w:marBottom w:val="0"/>
                      <w:divBdr>
                        <w:top w:val="none" w:sz="0" w:space="0" w:color="auto"/>
                        <w:left w:val="none" w:sz="0" w:space="0" w:color="auto"/>
                        <w:bottom w:val="none" w:sz="0" w:space="0" w:color="auto"/>
                        <w:right w:val="none" w:sz="0" w:space="0" w:color="auto"/>
                      </w:divBdr>
                    </w:div>
                  </w:divsChild>
                </w:div>
                <w:div w:id="1640456218">
                  <w:marLeft w:val="0"/>
                  <w:marRight w:val="0"/>
                  <w:marTop w:val="0"/>
                  <w:marBottom w:val="0"/>
                  <w:divBdr>
                    <w:top w:val="none" w:sz="0" w:space="0" w:color="auto"/>
                    <w:left w:val="none" w:sz="0" w:space="0" w:color="auto"/>
                    <w:bottom w:val="none" w:sz="0" w:space="0" w:color="auto"/>
                    <w:right w:val="none" w:sz="0" w:space="0" w:color="auto"/>
                  </w:divBdr>
                  <w:divsChild>
                    <w:div w:id="792795197">
                      <w:marLeft w:val="0"/>
                      <w:marRight w:val="0"/>
                      <w:marTop w:val="0"/>
                      <w:marBottom w:val="0"/>
                      <w:divBdr>
                        <w:top w:val="none" w:sz="0" w:space="0" w:color="auto"/>
                        <w:left w:val="none" w:sz="0" w:space="0" w:color="auto"/>
                        <w:bottom w:val="none" w:sz="0" w:space="0" w:color="auto"/>
                        <w:right w:val="none" w:sz="0" w:space="0" w:color="auto"/>
                      </w:divBdr>
                    </w:div>
                    <w:div w:id="2066291006">
                      <w:marLeft w:val="0"/>
                      <w:marRight w:val="0"/>
                      <w:marTop w:val="0"/>
                      <w:marBottom w:val="0"/>
                      <w:divBdr>
                        <w:top w:val="none" w:sz="0" w:space="0" w:color="auto"/>
                        <w:left w:val="none" w:sz="0" w:space="0" w:color="auto"/>
                        <w:bottom w:val="none" w:sz="0" w:space="0" w:color="auto"/>
                        <w:right w:val="none" w:sz="0" w:space="0" w:color="auto"/>
                      </w:divBdr>
                    </w:div>
                  </w:divsChild>
                </w:div>
                <w:div w:id="1681547103">
                  <w:marLeft w:val="0"/>
                  <w:marRight w:val="0"/>
                  <w:marTop w:val="0"/>
                  <w:marBottom w:val="0"/>
                  <w:divBdr>
                    <w:top w:val="none" w:sz="0" w:space="0" w:color="auto"/>
                    <w:left w:val="none" w:sz="0" w:space="0" w:color="auto"/>
                    <w:bottom w:val="none" w:sz="0" w:space="0" w:color="auto"/>
                    <w:right w:val="none" w:sz="0" w:space="0" w:color="auto"/>
                  </w:divBdr>
                  <w:divsChild>
                    <w:div w:id="1070151583">
                      <w:marLeft w:val="0"/>
                      <w:marRight w:val="0"/>
                      <w:marTop w:val="0"/>
                      <w:marBottom w:val="0"/>
                      <w:divBdr>
                        <w:top w:val="none" w:sz="0" w:space="0" w:color="auto"/>
                        <w:left w:val="none" w:sz="0" w:space="0" w:color="auto"/>
                        <w:bottom w:val="none" w:sz="0" w:space="0" w:color="auto"/>
                        <w:right w:val="none" w:sz="0" w:space="0" w:color="auto"/>
                      </w:divBdr>
                    </w:div>
                  </w:divsChild>
                </w:div>
                <w:div w:id="1703942915">
                  <w:marLeft w:val="0"/>
                  <w:marRight w:val="0"/>
                  <w:marTop w:val="0"/>
                  <w:marBottom w:val="0"/>
                  <w:divBdr>
                    <w:top w:val="none" w:sz="0" w:space="0" w:color="auto"/>
                    <w:left w:val="none" w:sz="0" w:space="0" w:color="auto"/>
                    <w:bottom w:val="none" w:sz="0" w:space="0" w:color="auto"/>
                    <w:right w:val="none" w:sz="0" w:space="0" w:color="auto"/>
                  </w:divBdr>
                  <w:divsChild>
                    <w:div w:id="401178405">
                      <w:marLeft w:val="0"/>
                      <w:marRight w:val="0"/>
                      <w:marTop w:val="0"/>
                      <w:marBottom w:val="0"/>
                      <w:divBdr>
                        <w:top w:val="none" w:sz="0" w:space="0" w:color="auto"/>
                        <w:left w:val="none" w:sz="0" w:space="0" w:color="auto"/>
                        <w:bottom w:val="none" w:sz="0" w:space="0" w:color="auto"/>
                        <w:right w:val="none" w:sz="0" w:space="0" w:color="auto"/>
                      </w:divBdr>
                    </w:div>
                  </w:divsChild>
                </w:div>
                <w:div w:id="1707018945">
                  <w:marLeft w:val="0"/>
                  <w:marRight w:val="0"/>
                  <w:marTop w:val="0"/>
                  <w:marBottom w:val="0"/>
                  <w:divBdr>
                    <w:top w:val="none" w:sz="0" w:space="0" w:color="auto"/>
                    <w:left w:val="none" w:sz="0" w:space="0" w:color="auto"/>
                    <w:bottom w:val="none" w:sz="0" w:space="0" w:color="auto"/>
                    <w:right w:val="none" w:sz="0" w:space="0" w:color="auto"/>
                  </w:divBdr>
                  <w:divsChild>
                    <w:div w:id="1496530671">
                      <w:marLeft w:val="0"/>
                      <w:marRight w:val="0"/>
                      <w:marTop w:val="0"/>
                      <w:marBottom w:val="0"/>
                      <w:divBdr>
                        <w:top w:val="none" w:sz="0" w:space="0" w:color="auto"/>
                        <w:left w:val="none" w:sz="0" w:space="0" w:color="auto"/>
                        <w:bottom w:val="none" w:sz="0" w:space="0" w:color="auto"/>
                        <w:right w:val="none" w:sz="0" w:space="0" w:color="auto"/>
                      </w:divBdr>
                    </w:div>
                  </w:divsChild>
                </w:div>
                <w:div w:id="1708026838">
                  <w:marLeft w:val="0"/>
                  <w:marRight w:val="0"/>
                  <w:marTop w:val="0"/>
                  <w:marBottom w:val="0"/>
                  <w:divBdr>
                    <w:top w:val="none" w:sz="0" w:space="0" w:color="auto"/>
                    <w:left w:val="none" w:sz="0" w:space="0" w:color="auto"/>
                    <w:bottom w:val="none" w:sz="0" w:space="0" w:color="auto"/>
                    <w:right w:val="none" w:sz="0" w:space="0" w:color="auto"/>
                  </w:divBdr>
                  <w:divsChild>
                    <w:div w:id="883640227">
                      <w:marLeft w:val="0"/>
                      <w:marRight w:val="0"/>
                      <w:marTop w:val="0"/>
                      <w:marBottom w:val="0"/>
                      <w:divBdr>
                        <w:top w:val="none" w:sz="0" w:space="0" w:color="auto"/>
                        <w:left w:val="none" w:sz="0" w:space="0" w:color="auto"/>
                        <w:bottom w:val="none" w:sz="0" w:space="0" w:color="auto"/>
                        <w:right w:val="none" w:sz="0" w:space="0" w:color="auto"/>
                      </w:divBdr>
                    </w:div>
                  </w:divsChild>
                </w:div>
                <w:div w:id="1729910745">
                  <w:marLeft w:val="0"/>
                  <w:marRight w:val="0"/>
                  <w:marTop w:val="0"/>
                  <w:marBottom w:val="0"/>
                  <w:divBdr>
                    <w:top w:val="none" w:sz="0" w:space="0" w:color="auto"/>
                    <w:left w:val="none" w:sz="0" w:space="0" w:color="auto"/>
                    <w:bottom w:val="none" w:sz="0" w:space="0" w:color="auto"/>
                    <w:right w:val="none" w:sz="0" w:space="0" w:color="auto"/>
                  </w:divBdr>
                  <w:divsChild>
                    <w:div w:id="1095903935">
                      <w:marLeft w:val="0"/>
                      <w:marRight w:val="0"/>
                      <w:marTop w:val="0"/>
                      <w:marBottom w:val="0"/>
                      <w:divBdr>
                        <w:top w:val="none" w:sz="0" w:space="0" w:color="auto"/>
                        <w:left w:val="none" w:sz="0" w:space="0" w:color="auto"/>
                        <w:bottom w:val="none" w:sz="0" w:space="0" w:color="auto"/>
                        <w:right w:val="none" w:sz="0" w:space="0" w:color="auto"/>
                      </w:divBdr>
                    </w:div>
                  </w:divsChild>
                </w:div>
                <w:div w:id="1866366266">
                  <w:marLeft w:val="0"/>
                  <w:marRight w:val="0"/>
                  <w:marTop w:val="0"/>
                  <w:marBottom w:val="0"/>
                  <w:divBdr>
                    <w:top w:val="none" w:sz="0" w:space="0" w:color="auto"/>
                    <w:left w:val="none" w:sz="0" w:space="0" w:color="auto"/>
                    <w:bottom w:val="none" w:sz="0" w:space="0" w:color="auto"/>
                    <w:right w:val="none" w:sz="0" w:space="0" w:color="auto"/>
                  </w:divBdr>
                  <w:divsChild>
                    <w:div w:id="1966233596">
                      <w:marLeft w:val="0"/>
                      <w:marRight w:val="0"/>
                      <w:marTop w:val="0"/>
                      <w:marBottom w:val="0"/>
                      <w:divBdr>
                        <w:top w:val="none" w:sz="0" w:space="0" w:color="auto"/>
                        <w:left w:val="none" w:sz="0" w:space="0" w:color="auto"/>
                        <w:bottom w:val="none" w:sz="0" w:space="0" w:color="auto"/>
                        <w:right w:val="none" w:sz="0" w:space="0" w:color="auto"/>
                      </w:divBdr>
                    </w:div>
                  </w:divsChild>
                </w:div>
                <w:div w:id="2018919829">
                  <w:marLeft w:val="0"/>
                  <w:marRight w:val="0"/>
                  <w:marTop w:val="0"/>
                  <w:marBottom w:val="0"/>
                  <w:divBdr>
                    <w:top w:val="none" w:sz="0" w:space="0" w:color="auto"/>
                    <w:left w:val="none" w:sz="0" w:space="0" w:color="auto"/>
                    <w:bottom w:val="none" w:sz="0" w:space="0" w:color="auto"/>
                    <w:right w:val="none" w:sz="0" w:space="0" w:color="auto"/>
                  </w:divBdr>
                  <w:divsChild>
                    <w:div w:id="1902131817">
                      <w:marLeft w:val="0"/>
                      <w:marRight w:val="0"/>
                      <w:marTop w:val="0"/>
                      <w:marBottom w:val="0"/>
                      <w:divBdr>
                        <w:top w:val="none" w:sz="0" w:space="0" w:color="auto"/>
                        <w:left w:val="none" w:sz="0" w:space="0" w:color="auto"/>
                        <w:bottom w:val="none" w:sz="0" w:space="0" w:color="auto"/>
                        <w:right w:val="none" w:sz="0" w:space="0" w:color="auto"/>
                      </w:divBdr>
                    </w:div>
                  </w:divsChild>
                </w:div>
                <w:div w:id="2078353887">
                  <w:marLeft w:val="0"/>
                  <w:marRight w:val="0"/>
                  <w:marTop w:val="0"/>
                  <w:marBottom w:val="0"/>
                  <w:divBdr>
                    <w:top w:val="none" w:sz="0" w:space="0" w:color="auto"/>
                    <w:left w:val="none" w:sz="0" w:space="0" w:color="auto"/>
                    <w:bottom w:val="none" w:sz="0" w:space="0" w:color="auto"/>
                    <w:right w:val="none" w:sz="0" w:space="0" w:color="auto"/>
                  </w:divBdr>
                  <w:divsChild>
                    <w:div w:id="15427037">
                      <w:marLeft w:val="0"/>
                      <w:marRight w:val="0"/>
                      <w:marTop w:val="0"/>
                      <w:marBottom w:val="0"/>
                      <w:divBdr>
                        <w:top w:val="none" w:sz="0" w:space="0" w:color="auto"/>
                        <w:left w:val="none" w:sz="0" w:space="0" w:color="auto"/>
                        <w:bottom w:val="none" w:sz="0" w:space="0" w:color="auto"/>
                        <w:right w:val="none" w:sz="0" w:space="0" w:color="auto"/>
                      </w:divBdr>
                    </w:div>
                  </w:divsChild>
                </w:div>
                <w:div w:id="2103449613">
                  <w:marLeft w:val="0"/>
                  <w:marRight w:val="0"/>
                  <w:marTop w:val="0"/>
                  <w:marBottom w:val="0"/>
                  <w:divBdr>
                    <w:top w:val="none" w:sz="0" w:space="0" w:color="auto"/>
                    <w:left w:val="none" w:sz="0" w:space="0" w:color="auto"/>
                    <w:bottom w:val="none" w:sz="0" w:space="0" w:color="auto"/>
                    <w:right w:val="none" w:sz="0" w:space="0" w:color="auto"/>
                  </w:divBdr>
                  <w:divsChild>
                    <w:div w:id="979842242">
                      <w:marLeft w:val="0"/>
                      <w:marRight w:val="0"/>
                      <w:marTop w:val="0"/>
                      <w:marBottom w:val="0"/>
                      <w:divBdr>
                        <w:top w:val="none" w:sz="0" w:space="0" w:color="auto"/>
                        <w:left w:val="none" w:sz="0" w:space="0" w:color="auto"/>
                        <w:bottom w:val="none" w:sz="0" w:space="0" w:color="auto"/>
                        <w:right w:val="none" w:sz="0" w:space="0" w:color="auto"/>
                      </w:divBdr>
                    </w:div>
                  </w:divsChild>
                </w:div>
                <w:div w:id="2114549511">
                  <w:marLeft w:val="0"/>
                  <w:marRight w:val="0"/>
                  <w:marTop w:val="0"/>
                  <w:marBottom w:val="0"/>
                  <w:divBdr>
                    <w:top w:val="none" w:sz="0" w:space="0" w:color="auto"/>
                    <w:left w:val="none" w:sz="0" w:space="0" w:color="auto"/>
                    <w:bottom w:val="none" w:sz="0" w:space="0" w:color="auto"/>
                    <w:right w:val="none" w:sz="0" w:space="0" w:color="auto"/>
                  </w:divBdr>
                  <w:divsChild>
                    <w:div w:id="406269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5328084">
          <w:marLeft w:val="0"/>
          <w:marRight w:val="0"/>
          <w:marTop w:val="0"/>
          <w:marBottom w:val="0"/>
          <w:divBdr>
            <w:top w:val="none" w:sz="0" w:space="0" w:color="auto"/>
            <w:left w:val="none" w:sz="0" w:space="0" w:color="auto"/>
            <w:bottom w:val="none" w:sz="0" w:space="0" w:color="auto"/>
            <w:right w:val="none" w:sz="0" w:space="0" w:color="auto"/>
          </w:divBdr>
          <w:divsChild>
            <w:div w:id="374083638">
              <w:marLeft w:val="0"/>
              <w:marRight w:val="0"/>
              <w:marTop w:val="0"/>
              <w:marBottom w:val="0"/>
              <w:divBdr>
                <w:top w:val="none" w:sz="0" w:space="0" w:color="auto"/>
                <w:left w:val="none" w:sz="0" w:space="0" w:color="auto"/>
                <w:bottom w:val="none" w:sz="0" w:space="0" w:color="auto"/>
                <w:right w:val="none" w:sz="0" w:space="0" w:color="auto"/>
              </w:divBdr>
            </w:div>
            <w:div w:id="398478229">
              <w:marLeft w:val="0"/>
              <w:marRight w:val="0"/>
              <w:marTop w:val="0"/>
              <w:marBottom w:val="0"/>
              <w:divBdr>
                <w:top w:val="none" w:sz="0" w:space="0" w:color="auto"/>
                <w:left w:val="none" w:sz="0" w:space="0" w:color="auto"/>
                <w:bottom w:val="none" w:sz="0" w:space="0" w:color="auto"/>
                <w:right w:val="none" w:sz="0" w:space="0" w:color="auto"/>
              </w:divBdr>
            </w:div>
            <w:div w:id="434520620">
              <w:marLeft w:val="0"/>
              <w:marRight w:val="0"/>
              <w:marTop w:val="0"/>
              <w:marBottom w:val="0"/>
              <w:divBdr>
                <w:top w:val="none" w:sz="0" w:space="0" w:color="auto"/>
                <w:left w:val="none" w:sz="0" w:space="0" w:color="auto"/>
                <w:bottom w:val="none" w:sz="0" w:space="0" w:color="auto"/>
                <w:right w:val="none" w:sz="0" w:space="0" w:color="auto"/>
              </w:divBdr>
            </w:div>
            <w:div w:id="514809263">
              <w:marLeft w:val="0"/>
              <w:marRight w:val="0"/>
              <w:marTop w:val="0"/>
              <w:marBottom w:val="0"/>
              <w:divBdr>
                <w:top w:val="none" w:sz="0" w:space="0" w:color="auto"/>
                <w:left w:val="none" w:sz="0" w:space="0" w:color="auto"/>
                <w:bottom w:val="none" w:sz="0" w:space="0" w:color="auto"/>
                <w:right w:val="none" w:sz="0" w:space="0" w:color="auto"/>
              </w:divBdr>
            </w:div>
            <w:div w:id="569972917">
              <w:marLeft w:val="0"/>
              <w:marRight w:val="0"/>
              <w:marTop w:val="0"/>
              <w:marBottom w:val="0"/>
              <w:divBdr>
                <w:top w:val="none" w:sz="0" w:space="0" w:color="auto"/>
                <w:left w:val="none" w:sz="0" w:space="0" w:color="auto"/>
                <w:bottom w:val="none" w:sz="0" w:space="0" w:color="auto"/>
                <w:right w:val="none" w:sz="0" w:space="0" w:color="auto"/>
              </w:divBdr>
            </w:div>
            <w:div w:id="708454752">
              <w:marLeft w:val="0"/>
              <w:marRight w:val="0"/>
              <w:marTop w:val="0"/>
              <w:marBottom w:val="0"/>
              <w:divBdr>
                <w:top w:val="none" w:sz="0" w:space="0" w:color="auto"/>
                <w:left w:val="none" w:sz="0" w:space="0" w:color="auto"/>
                <w:bottom w:val="none" w:sz="0" w:space="0" w:color="auto"/>
                <w:right w:val="none" w:sz="0" w:space="0" w:color="auto"/>
              </w:divBdr>
            </w:div>
            <w:div w:id="982005070">
              <w:marLeft w:val="0"/>
              <w:marRight w:val="0"/>
              <w:marTop w:val="0"/>
              <w:marBottom w:val="0"/>
              <w:divBdr>
                <w:top w:val="none" w:sz="0" w:space="0" w:color="auto"/>
                <w:left w:val="none" w:sz="0" w:space="0" w:color="auto"/>
                <w:bottom w:val="none" w:sz="0" w:space="0" w:color="auto"/>
                <w:right w:val="none" w:sz="0" w:space="0" w:color="auto"/>
              </w:divBdr>
            </w:div>
            <w:div w:id="1196430453">
              <w:marLeft w:val="0"/>
              <w:marRight w:val="0"/>
              <w:marTop w:val="0"/>
              <w:marBottom w:val="0"/>
              <w:divBdr>
                <w:top w:val="none" w:sz="0" w:space="0" w:color="auto"/>
                <w:left w:val="none" w:sz="0" w:space="0" w:color="auto"/>
                <w:bottom w:val="none" w:sz="0" w:space="0" w:color="auto"/>
                <w:right w:val="none" w:sz="0" w:space="0" w:color="auto"/>
              </w:divBdr>
            </w:div>
            <w:div w:id="1278216039">
              <w:marLeft w:val="0"/>
              <w:marRight w:val="0"/>
              <w:marTop w:val="0"/>
              <w:marBottom w:val="0"/>
              <w:divBdr>
                <w:top w:val="none" w:sz="0" w:space="0" w:color="auto"/>
                <w:left w:val="none" w:sz="0" w:space="0" w:color="auto"/>
                <w:bottom w:val="none" w:sz="0" w:space="0" w:color="auto"/>
                <w:right w:val="none" w:sz="0" w:space="0" w:color="auto"/>
              </w:divBdr>
            </w:div>
            <w:div w:id="1388531213">
              <w:marLeft w:val="0"/>
              <w:marRight w:val="0"/>
              <w:marTop w:val="0"/>
              <w:marBottom w:val="0"/>
              <w:divBdr>
                <w:top w:val="none" w:sz="0" w:space="0" w:color="auto"/>
                <w:left w:val="none" w:sz="0" w:space="0" w:color="auto"/>
                <w:bottom w:val="none" w:sz="0" w:space="0" w:color="auto"/>
                <w:right w:val="none" w:sz="0" w:space="0" w:color="auto"/>
              </w:divBdr>
            </w:div>
            <w:div w:id="1475828335">
              <w:marLeft w:val="0"/>
              <w:marRight w:val="0"/>
              <w:marTop w:val="0"/>
              <w:marBottom w:val="0"/>
              <w:divBdr>
                <w:top w:val="none" w:sz="0" w:space="0" w:color="auto"/>
                <w:left w:val="none" w:sz="0" w:space="0" w:color="auto"/>
                <w:bottom w:val="none" w:sz="0" w:space="0" w:color="auto"/>
                <w:right w:val="none" w:sz="0" w:space="0" w:color="auto"/>
              </w:divBdr>
            </w:div>
            <w:div w:id="1594823613">
              <w:marLeft w:val="0"/>
              <w:marRight w:val="0"/>
              <w:marTop w:val="0"/>
              <w:marBottom w:val="0"/>
              <w:divBdr>
                <w:top w:val="none" w:sz="0" w:space="0" w:color="auto"/>
                <w:left w:val="none" w:sz="0" w:space="0" w:color="auto"/>
                <w:bottom w:val="none" w:sz="0" w:space="0" w:color="auto"/>
                <w:right w:val="none" w:sz="0" w:space="0" w:color="auto"/>
              </w:divBdr>
            </w:div>
            <w:div w:id="1635910064">
              <w:marLeft w:val="0"/>
              <w:marRight w:val="0"/>
              <w:marTop w:val="0"/>
              <w:marBottom w:val="0"/>
              <w:divBdr>
                <w:top w:val="none" w:sz="0" w:space="0" w:color="auto"/>
                <w:left w:val="none" w:sz="0" w:space="0" w:color="auto"/>
                <w:bottom w:val="none" w:sz="0" w:space="0" w:color="auto"/>
                <w:right w:val="none" w:sz="0" w:space="0" w:color="auto"/>
              </w:divBdr>
            </w:div>
            <w:div w:id="1677656744">
              <w:marLeft w:val="0"/>
              <w:marRight w:val="0"/>
              <w:marTop w:val="0"/>
              <w:marBottom w:val="0"/>
              <w:divBdr>
                <w:top w:val="none" w:sz="0" w:space="0" w:color="auto"/>
                <w:left w:val="none" w:sz="0" w:space="0" w:color="auto"/>
                <w:bottom w:val="none" w:sz="0" w:space="0" w:color="auto"/>
                <w:right w:val="none" w:sz="0" w:space="0" w:color="auto"/>
              </w:divBdr>
            </w:div>
            <w:div w:id="1701668373">
              <w:marLeft w:val="0"/>
              <w:marRight w:val="0"/>
              <w:marTop w:val="0"/>
              <w:marBottom w:val="0"/>
              <w:divBdr>
                <w:top w:val="none" w:sz="0" w:space="0" w:color="auto"/>
                <w:left w:val="none" w:sz="0" w:space="0" w:color="auto"/>
                <w:bottom w:val="none" w:sz="0" w:space="0" w:color="auto"/>
                <w:right w:val="none" w:sz="0" w:space="0" w:color="auto"/>
              </w:divBdr>
            </w:div>
            <w:div w:id="1778719334">
              <w:marLeft w:val="0"/>
              <w:marRight w:val="0"/>
              <w:marTop w:val="0"/>
              <w:marBottom w:val="0"/>
              <w:divBdr>
                <w:top w:val="none" w:sz="0" w:space="0" w:color="auto"/>
                <w:left w:val="none" w:sz="0" w:space="0" w:color="auto"/>
                <w:bottom w:val="none" w:sz="0" w:space="0" w:color="auto"/>
                <w:right w:val="none" w:sz="0" w:space="0" w:color="auto"/>
              </w:divBdr>
            </w:div>
            <w:div w:id="1894459349">
              <w:marLeft w:val="0"/>
              <w:marRight w:val="0"/>
              <w:marTop w:val="0"/>
              <w:marBottom w:val="0"/>
              <w:divBdr>
                <w:top w:val="none" w:sz="0" w:space="0" w:color="auto"/>
                <w:left w:val="none" w:sz="0" w:space="0" w:color="auto"/>
                <w:bottom w:val="none" w:sz="0" w:space="0" w:color="auto"/>
                <w:right w:val="none" w:sz="0" w:space="0" w:color="auto"/>
              </w:divBdr>
            </w:div>
            <w:div w:id="2034376390">
              <w:marLeft w:val="0"/>
              <w:marRight w:val="0"/>
              <w:marTop w:val="0"/>
              <w:marBottom w:val="0"/>
              <w:divBdr>
                <w:top w:val="none" w:sz="0" w:space="0" w:color="auto"/>
                <w:left w:val="none" w:sz="0" w:space="0" w:color="auto"/>
                <w:bottom w:val="none" w:sz="0" w:space="0" w:color="auto"/>
                <w:right w:val="none" w:sz="0" w:space="0" w:color="auto"/>
              </w:divBdr>
            </w:div>
            <w:div w:id="2040472973">
              <w:marLeft w:val="0"/>
              <w:marRight w:val="0"/>
              <w:marTop w:val="0"/>
              <w:marBottom w:val="0"/>
              <w:divBdr>
                <w:top w:val="none" w:sz="0" w:space="0" w:color="auto"/>
                <w:left w:val="none" w:sz="0" w:space="0" w:color="auto"/>
                <w:bottom w:val="none" w:sz="0" w:space="0" w:color="auto"/>
                <w:right w:val="none" w:sz="0" w:space="0" w:color="auto"/>
              </w:divBdr>
            </w:div>
          </w:divsChild>
        </w:div>
        <w:div w:id="697511052">
          <w:marLeft w:val="0"/>
          <w:marRight w:val="0"/>
          <w:marTop w:val="0"/>
          <w:marBottom w:val="0"/>
          <w:divBdr>
            <w:top w:val="none" w:sz="0" w:space="0" w:color="auto"/>
            <w:left w:val="none" w:sz="0" w:space="0" w:color="auto"/>
            <w:bottom w:val="none" w:sz="0" w:space="0" w:color="auto"/>
            <w:right w:val="none" w:sz="0" w:space="0" w:color="auto"/>
          </w:divBdr>
        </w:div>
        <w:div w:id="708578749">
          <w:marLeft w:val="0"/>
          <w:marRight w:val="0"/>
          <w:marTop w:val="0"/>
          <w:marBottom w:val="0"/>
          <w:divBdr>
            <w:top w:val="none" w:sz="0" w:space="0" w:color="auto"/>
            <w:left w:val="none" w:sz="0" w:space="0" w:color="auto"/>
            <w:bottom w:val="none" w:sz="0" w:space="0" w:color="auto"/>
            <w:right w:val="none" w:sz="0" w:space="0" w:color="auto"/>
          </w:divBdr>
        </w:div>
        <w:div w:id="1510607839">
          <w:marLeft w:val="0"/>
          <w:marRight w:val="0"/>
          <w:marTop w:val="0"/>
          <w:marBottom w:val="0"/>
          <w:divBdr>
            <w:top w:val="none" w:sz="0" w:space="0" w:color="auto"/>
            <w:left w:val="none" w:sz="0" w:space="0" w:color="auto"/>
            <w:bottom w:val="none" w:sz="0" w:space="0" w:color="auto"/>
            <w:right w:val="none" w:sz="0" w:space="0" w:color="auto"/>
          </w:divBdr>
        </w:div>
        <w:div w:id="1659380363">
          <w:marLeft w:val="0"/>
          <w:marRight w:val="0"/>
          <w:marTop w:val="0"/>
          <w:marBottom w:val="0"/>
          <w:divBdr>
            <w:top w:val="none" w:sz="0" w:space="0" w:color="auto"/>
            <w:left w:val="none" w:sz="0" w:space="0" w:color="auto"/>
            <w:bottom w:val="none" w:sz="0" w:space="0" w:color="auto"/>
            <w:right w:val="none" w:sz="0" w:space="0" w:color="auto"/>
          </w:divBdr>
        </w:div>
        <w:div w:id="2042314452">
          <w:marLeft w:val="0"/>
          <w:marRight w:val="0"/>
          <w:marTop w:val="0"/>
          <w:marBottom w:val="0"/>
          <w:divBdr>
            <w:top w:val="none" w:sz="0" w:space="0" w:color="auto"/>
            <w:left w:val="none" w:sz="0" w:space="0" w:color="auto"/>
            <w:bottom w:val="none" w:sz="0" w:space="0" w:color="auto"/>
            <w:right w:val="none" w:sz="0" w:space="0" w:color="auto"/>
          </w:divBdr>
          <w:divsChild>
            <w:div w:id="1461416217">
              <w:marLeft w:val="-75"/>
              <w:marRight w:val="0"/>
              <w:marTop w:val="30"/>
              <w:marBottom w:val="30"/>
              <w:divBdr>
                <w:top w:val="none" w:sz="0" w:space="0" w:color="auto"/>
                <w:left w:val="none" w:sz="0" w:space="0" w:color="auto"/>
                <w:bottom w:val="none" w:sz="0" w:space="0" w:color="auto"/>
                <w:right w:val="none" w:sz="0" w:space="0" w:color="auto"/>
              </w:divBdr>
              <w:divsChild>
                <w:div w:id="16856649">
                  <w:marLeft w:val="0"/>
                  <w:marRight w:val="0"/>
                  <w:marTop w:val="0"/>
                  <w:marBottom w:val="0"/>
                  <w:divBdr>
                    <w:top w:val="none" w:sz="0" w:space="0" w:color="auto"/>
                    <w:left w:val="none" w:sz="0" w:space="0" w:color="auto"/>
                    <w:bottom w:val="none" w:sz="0" w:space="0" w:color="auto"/>
                    <w:right w:val="none" w:sz="0" w:space="0" w:color="auto"/>
                  </w:divBdr>
                  <w:divsChild>
                    <w:div w:id="1630817746">
                      <w:marLeft w:val="0"/>
                      <w:marRight w:val="0"/>
                      <w:marTop w:val="0"/>
                      <w:marBottom w:val="0"/>
                      <w:divBdr>
                        <w:top w:val="none" w:sz="0" w:space="0" w:color="auto"/>
                        <w:left w:val="none" w:sz="0" w:space="0" w:color="auto"/>
                        <w:bottom w:val="none" w:sz="0" w:space="0" w:color="auto"/>
                        <w:right w:val="none" w:sz="0" w:space="0" w:color="auto"/>
                      </w:divBdr>
                    </w:div>
                  </w:divsChild>
                </w:div>
                <w:div w:id="29034073">
                  <w:marLeft w:val="0"/>
                  <w:marRight w:val="0"/>
                  <w:marTop w:val="0"/>
                  <w:marBottom w:val="0"/>
                  <w:divBdr>
                    <w:top w:val="none" w:sz="0" w:space="0" w:color="auto"/>
                    <w:left w:val="none" w:sz="0" w:space="0" w:color="auto"/>
                    <w:bottom w:val="none" w:sz="0" w:space="0" w:color="auto"/>
                    <w:right w:val="none" w:sz="0" w:space="0" w:color="auto"/>
                  </w:divBdr>
                  <w:divsChild>
                    <w:div w:id="1997299835">
                      <w:marLeft w:val="0"/>
                      <w:marRight w:val="0"/>
                      <w:marTop w:val="0"/>
                      <w:marBottom w:val="0"/>
                      <w:divBdr>
                        <w:top w:val="none" w:sz="0" w:space="0" w:color="auto"/>
                        <w:left w:val="none" w:sz="0" w:space="0" w:color="auto"/>
                        <w:bottom w:val="none" w:sz="0" w:space="0" w:color="auto"/>
                        <w:right w:val="none" w:sz="0" w:space="0" w:color="auto"/>
                      </w:divBdr>
                    </w:div>
                  </w:divsChild>
                </w:div>
                <w:div w:id="96678035">
                  <w:marLeft w:val="0"/>
                  <w:marRight w:val="0"/>
                  <w:marTop w:val="0"/>
                  <w:marBottom w:val="0"/>
                  <w:divBdr>
                    <w:top w:val="none" w:sz="0" w:space="0" w:color="auto"/>
                    <w:left w:val="none" w:sz="0" w:space="0" w:color="auto"/>
                    <w:bottom w:val="none" w:sz="0" w:space="0" w:color="auto"/>
                    <w:right w:val="none" w:sz="0" w:space="0" w:color="auto"/>
                  </w:divBdr>
                  <w:divsChild>
                    <w:div w:id="731923728">
                      <w:marLeft w:val="0"/>
                      <w:marRight w:val="0"/>
                      <w:marTop w:val="0"/>
                      <w:marBottom w:val="0"/>
                      <w:divBdr>
                        <w:top w:val="none" w:sz="0" w:space="0" w:color="auto"/>
                        <w:left w:val="none" w:sz="0" w:space="0" w:color="auto"/>
                        <w:bottom w:val="none" w:sz="0" w:space="0" w:color="auto"/>
                        <w:right w:val="none" w:sz="0" w:space="0" w:color="auto"/>
                      </w:divBdr>
                    </w:div>
                  </w:divsChild>
                </w:div>
                <w:div w:id="151872103">
                  <w:marLeft w:val="0"/>
                  <w:marRight w:val="0"/>
                  <w:marTop w:val="0"/>
                  <w:marBottom w:val="0"/>
                  <w:divBdr>
                    <w:top w:val="none" w:sz="0" w:space="0" w:color="auto"/>
                    <w:left w:val="none" w:sz="0" w:space="0" w:color="auto"/>
                    <w:bottom w:val="none" w:sz="0" w:space="0" w:color="auto"/>
                    <w:right w:val="none" w:sz="0" w:space="0" w:color="auto"/>
                  </w:divBdr>
                  <w:divsChild>
                    <w:div w:id="290747664">
                      <w:marLeft w:val="0"/>
                      <w:marRight w:val="0"/>
                      <w:marTop w:val="0"/>
                      <w:marBottom w:val="0"/>
                      <w:divBdr>
                        <w:top w:val="none" w:sz="0" w:space="0" w:color="auto"/>
                        <w:left w:val="none" w:sz="0" w:space="0" w:color="auto"/>
                        <w:bottom w:val="none" w:sz="0" w:space="0" w:color="auto"/>
                        <w:right w:val="none" w:sz="0" w:space="0" w:color="auto"/>
                      </w:divBdr>
                    </w:div>
                  </w:divsChild>
                </w:div>
                <w:div w:id="163863185">
                  <w:marLeft w:val="0"/>
                  <w:marRight w:val="0"/>
                  <w:marTop w:val="0"/>
                  <w:marBottom w:val="0"/>
                  <w:divBdr>
                    <w:top w:val="none" w:sz="0" w:space="0" w:color="auto"/>
                    <w:left w:val="none" w:sz="0" w:space="0" w:color="auto"/>
                    <w:bottom w:val="none" w:sz="0" w:space="0" w:color="auto"/>
                    <w:right w:val="none" w:sz="0" w:space="0" w:color="auto"/>
                  </w:divBdr>
                  <w:divsChild>
                    <w:div w:id="1003315674">
                      <w:marLeft w:val="0"/>
                      <w:marRight w:val="0"/>
                      <w:marTop w:val="0"/>
                      <w:marBottom w:val="0"/>
                      <w:divBdr>
                        <w:top w:val="none" w:sz="0" w:space="0" w:color="auto"/>
                        <w:left w:val="none" w:sz="0" w:space="0" w:color="auto"/>
                        <w:bottom w:val="none" w:sz="0" w:space="0" w:color="auto"/>
                        <w:right w:val="none" w:sz="0" w:space="0" w:color="auto"/>
                      </w:divBdr>
                    </w:div>
                  </w:divsChild>
                </w:div>
                <w:div w:id="285088665">
                  <w:marLeft w:val="0"/>
                  <w:marRight w:val="0"/>
                  <w:marTop w:val="0"/>
                  <w:marBottom w:val="0"/>
                  <w:divBdr>
                    <w:top w:val="none" w:sz="0" w:space="0" w:color="auto"/>
                    <w:left w:val="none" w:sz="0" w:space="0" w:color="auto"/>
                    <w:bottom w:val="none" w:sz="0" w:space="0" w:color="auto"/>
                    <w:right w:val="none" w:sz="0" w:space="0" w:color="auto"/>
                  </w:divBdr>
                  <w:divsChild>
                    <w:div w:id="636373224">
                      <w:marLeft w:val="0"/>
                      <w:marRight w:val="0"/>
                      <w:marTop w:val="0"/>
                      <w:marBottom w:val="0"/>
                      <w:divBdr>
                        <w:top w:val="none" w:sz="0" w:space="0" w:color="auto"/>
                        <w:left w:val="none" w:sz="0" w:space="0" w:color="auto"/>
                        <w:bottom w:val="none" w:sz="0" w:space="0" w:color="auto"/>
                        <w:right w:val="none" w:sz="0" w:space="0" w:color="auto"/>
                      </w:divBdr>
                    </w:div>
                  </w:divsChild>
                </w:div>
                <w:div w:id="382992916">
                  <w:marLeft w:val="0"/>
                  <w:marRight w:val="0"/>
                  <w:marTop w:val="0"/>
                  <w:marBottom w:val="0"/>
                  <w:divBdr>
                    <w:top w:val="none" w:sz="0" w:space="0" w:color="auto"/>
                    <w:left w:val="none" w:sz="0" w:space="0" w:color="auto"/>
                    <w:bottom w:val="none" w:sz="0" w:space="0" w:color="auto"/>
                    <w:right w:val="none" w:sz="0" w:space="0" w:color="auto"/>
                  </w:divBdr>
                  <w:divsChild>
                    <w:div w:id="924342602">
                      <w:marLeft w:val="0"/>
                      <w:marRight w:val="0"/>
                      <w:marTop w:val="0"/>
                      <w:marBottom w:val="0"/>
                      <w:divBdr>
                        <w:top w:val="none" w:sz="0" w:space="0" w:color="auto"/>
                        <w:left w:val="none" w:sz="0" w:space="0" w:color="auto"/>
                        <w:bottom w:val="none" w:sz="0" w:space="0" w:color="auto"/>
                        <w:right w:val="none" w:sz="0" w:space="0" w:color="auto"/>
                      </w:divBdr>
                    </w:div>
                  </w:divsChild>
                </w:div>
                <w:div w:id="405300425">
                  <w:marLeft w:val="0"/>
                  <w:marRight w:val="0"/>
                  <w:marTop w:val="0"/>
                  <w:marBottom w:val="0"/>
                  <w:divBdr>
                    <w:top w:val="none" w:sz="0" w:space="0" w:color="auto"/>
                    <w:left w:val="none" w:sz="0" w:space="0" w:color="auto"/>
                    <w:bottom w:val="none" w:sz="0" w:space="0" w:color="auto"/>
                    <w:right w:val="none" w:sz="0" w:space="0" w:color="auto"/>
                  </w:divBdr>
                  <w:divsChild>
                    <w:div w:id="1687441548">
                      <w:marLeft w:val="0"/>
                      <w:marRight w:val="0"/>
                      <w:marTop w:val="0"/>
                      <w:marBottom w:val="0"/>
                      <w:divBdr>
                        <w:top w:val="none" w:sz="0" w:space="0" w:color="auto"/>
                        <w:left w:val="none" w:sz="0" w:space="0" w:color="auto"/>
                        <w:bottom w:val="none" w:sz="0" w:space="0" w:color="auto"/>
                        <w:right w:val="none" w:sz="0" w:space="0" w:color="auto"/>
                      </w:divBdr>
                    </w:div>
                  </w:divsChild>
                </w:div>
                <w:div w:id="439111815">
                  <w:marLeft w:val="0"/>
                  <w:marRight w:val="0"/>
                  <w:marTop w:val="0"/>
                  <w:marBottom w:val="0"/>
                  <w:divBdr>
                    <w:top w:val="none" w:sz="0" w:space="0" w:color="auto"/>
                    <w:left w:val="none" w:sz="0" w:space="0" w:color="auto"/>
                    <w:bottom w:val="none" w:sz="0" w:space="0" w:color="auto"/>
                    <w:right w:val="none" w:sz="0" w:space="0" w:color="auto"/>
                  </w:divBdr>
                  <w:divsChild>
                    <w:div w:id="888298483">
                      <w:marLeft w:val="0"/>
                      <w:marRight w:val="0"/>
                      <w:marTop w:val="0"/>
                      <w:marBottom w:val="0"/>
                      <w:divBdr>
                        <w:top w:val="none" w:sz="0" w:space="0" w:color="auto"/>
                        <w:left w:val="none" w:sz="0" w:space="0" w:color="auto"/>
                        <w:bottom w:val="none" w:sz="0" w:space="0" w:color="auto"/>
                        <w:right w:val="none" w:sz="0" w:space="0" w:color="auto"/>
                      </w:divBdr>
                    </w:div>
                  </w:divsChild>
                </w:div>
                <w:div w:id="546331382">
                  <w:marLeft w:val="0"/>
                  <w:marRight w:val="0"/>
                  <w:marTop w:val="0"/>
                  <w:marBottom w:val="0"/>
                  <w:divBdr>
                    <w:top w:val="none" w:sz="0" w:space="0" w:color="auto"/>
                    <w:left w:val="none" w:sz="0" w:space="0" w:color="auto"/>
                    <w:bottom w:val="none" w:sz="0" w:space="0" w:color="auto"/>
                    <w:right w:val="none" w:sz="0" w:space="0" w:color="auto"/>
                  </w:divBdr>
                  <w:divsChild>
                    <w:div w:id="670253952">
                      <w:marLeft w:val="0"/>
                      <w:marRight w:val="0"/>
                      <w:marTop w:val="0"/>
                      <w:marBottom w:val="0"/>
                      <w:divBdr>
                        <w:top w:val="none" w:sz="0" w:space="0" w:color="auto"/>
                        <w:left w:val="none" w:sz="0" w:space="0" w:color="auto"/>
                        <w:bottom w:val="none" w:sz="0" w:space="0" w:color="auto"/>
                        <w:right w:val="none" w:sz="0" w:space="0" w:color="auto"/>
                      </w:divBdr>
                    </w:div>
                  </w:divsChild>
                </w:div>
                <w:div w:id="616985510">
                  <w:marLeft w:val="0"/>
                  <w:marRight w:val="0"/>
                  <w:marTop w:val="0"/>
                  <w:marBottom w:val="0"/>
                  <w:divBdr>
                    <w:top w:val="none" w:sz="0" w:space="0" w:color="auto"/>
                    <w:left w:val="none" w:sz="0" w:space="0" w:color="auto"/>
                    <w:bottom w:val="none" w:sz="0" w:space="0" w:color="auto"/>
                    <w:right w:val="none" w:sz="0" w:space="0" w:color="auto"/>
                  </w:divBdr>
                  <w:divsChild>
                    <w:div w:id="8874950">
                      <w:marLeft w:val="0"/>
                      <w:marRight w:val="0"/>
                      <w:marTop w:val="0"/>
                      <w:marBottom w:val="0"/>
                      <w:divBdr>
                        <w:top w:val="none" w:sz="0" w:space="0" w:color="auto"/>
                        <w:left w:val="none" w:sz="0" w:space="0" w:color="auto"/>
                        <w:bottom w:val="none" w:sz="0" w:space="0" w:color="auto"/>
                        <w:right w:val="none" w:sz="0" w:space="0" w:color="auto"/>
                      </w:divBdr>
                    </w:div>
                  </w:divsChild>
                </w:div>
                <w:div w:id="658196788">
                  <w:marLeft w:val="0"/>
                  <w:marRight w:val="0"/>
                  <w:marTop w:val="0"/>
                  <w:marBottom w:val="0"/>
                  <w:divBdr>
                    <w:top w:val="none" w:sz="0" w:space="0" w:color="auto"/>
                    <w:left w:val="none" w:sz="0" w:space="0" w:color="auto"/>
                    <w:bottom w:val="none" w:sz="0" w:space="0" w:color="auto"/>
                    <w:right w:val="none" w:sz="0" w:space="0" w:color="auto"/>
                  </w:divBdr>
                  <w:divsChild>
                    <w:div w:id="823280729">
                      <w:marLeft w:val="0"/>
                      <w:marRight w:val="0"/>
                      <w:marTop w:val="0"/>
                      <w:marBottom w:val="0"/>
                      <w:divBdr>
                        <w:top w:val="none" w:sz="0" w:space="0" w:color="auto"/>
                        <w:left w:val="none" w:sz="0" w:space="0" w:color="auto"/>
                        <w:bottom w:val="none" w:sz="0" w:space="0" w:color="auto"/>
                        <w:right w:val="none" w:sz="0" w:space="0" w:color="auto"/>
                      </w:divBdr>
                    </w:div>
                  </w:divsChild>
                </w:div>
                <w:div w:id="663095492">
                  <w:marLeft w:val="0"/>
                  <w:marRight w:val="0"/>
                  <w:marTop w:val="0"/>
                  <w:marBottom w:val="0"/>
                  <w:divBdr>
                    <w:top w:val="none" w:sz="0" w:space="0" w:color="auto"/>
                    <w:left w:val="none" w:sz="0" w:space="0" w:color="auto"/>
                    <w:bottom w:val="none" w:sz="0" w:space="0" w:color="auto"/>
                    <w:right w:val="none" w:sz="0" w:space="0" w:color="auto"/>
                  </w:divBdr>
                  <w:divsChild>
                    <w:div w:id="1730883218">
                      <w:marLeft w:val="0"/>
                      <w:marRight w:val="0"/>
                      <w:marTop w:val="0"/>
                      <w:marBottom w:val="0"/>
                      <w:divBdr>
                        <w:top w:val="none" w:sz="0" w:space="0" w:color="auto"/>
                        <w:left w:val="none" w:sz="0" w:space="0" w:color="auto"/>
                        <w:bottom w:val="none" w:sz="0" w:space="0" w:color="auto"/>
                        <w:right w:val="none" w:sz="0" w:space="0" w:color="auto"/>
                      </w:divBdr>
                    </w:div>
                  </w:divsChild>
                </w:div>
                <w:div w:id="672417307">
                  <w:marLeft w:val="0"/>
                  <w:marRight w:val="0"/>
                  <w:marTop w:val="0"/>
                  <w:marBottom w:val="0"/>
                  <w:divBdr>
                    <w:top w:val="none" w:sz="0" w:space="0" w:color="auto"/>
                    <w:left w:val="none" w:sz="0" w:space="0" w:color="auto"/>
                    <w:bottom w:val="none" w:sz="0" w:space="0" w:color="auto"/>
                    <w:right w:val="none" w:sz="0" w:space="0" w:color="auto"/>
                  </w:divBdr>
                  <w:divsChild>
                    <w:div w:id="1089086281">
                      <w:marLeft w:val="0"/>
                      <w:marRight w:val="0"/>
                      <w:marTop w:val="0"/>
                      <w:marBottom w:val="0"/>
                      <w:divBdr>
                        <w:top w:val="none" w:sz="0" w:space="0" w:color="auto"/>
                        <w:left w:val="none" w:sz="0" w:space="0" w:color="auto"/>
                        <w:bottom w:val="none" w:sz="0" w:space="0" w:color="auto"/>
                        <w:right w:val="none" w:sz="0" w:space="0" w:color="auto"/>
                      </w:divBdr>
                    </w:div>
                  </w:divsChild>
                </w:div>
                <w:div w:id="684018189">
                  <w:marLeft w:val="0"/>
                  <w:marRight w:val="0"/>
                  <w:marTop w:val="0"/>
                  <w:marBottom w:val="0"/>
                  <w:divBdr>
                    <w:top w:val="none" w:sz="0" w:space="0" w:color="auto"/>
                    <w:left w:val="none" w:sz="0" w:space="0" w:color="auto"/>
                    <w:bottom w:val="none" w:sz="0" w:space="0" w:color="auto"/>
                    <w:right w:val="none" w:sz="0" w:space="0" w:color="auto"/>
                  </w:divBdr>
                  <w:divsChild>
                    <w:div w:id="78335179">
                      <w:marLeft w:val="0"/>
                      <w:marRight w:val="0"/>
                      <w:marTop w:val="0"/>
                      <w:marBottom w:val="0"/>
                      <w:divBdr>
                        <w:top w:val="none" w:sz="0" w:space="0" w:color="auto"/>
                        <w:left w:val="none" w:sz="0" w:space="0" w:color="auto"/>
                        <w:bottom w:val="none" w:sz="0" w:space="0" w:color="auto"/>
                        <w:right w:val="none" w:sz="0" w:space="0" w:color="auto"/>
                      </w:divBdr>
                    </w:div>
                  </w:divsChild>
                </w:div>
                <w:div w:id="799346421">
                  <w:marLeft w:val="0"/>
                  <w:marRight w:val="0"/>
                  <w:marTop w:val="0"/>
                  <w:marBottom w:val="0"/>
                  <w:divBdr>
                    <w:top w:val="none" w:sz="0" w:space="0" w:color="auto"/>
                    <w:left w:val="none" w:sz="0" w:space="0" w:color="auto"/>
                    <w:bottom w:val="none" w:sz="0" w:space="0" w:color="auto"/>
                    <w:right w:val="none" w:sz="0" w:space="0" w:color="auto"/>
                  </w:divBdr>
                  <w:divsChild>
                    <w:div w:id="578713693">
                      <w:marLeft w:val="0"/>
                      <w:marRight w:val="0"/>
                      <w:marTop w:val="0"/>
                      <w:marBottom w:val="0"/>
                      <w:divBdr>
                        <w:top w:val="none" w:sz="0" w:space="0" w:color="auto"/>
                        <w:left w:val="none" w:sz="0" w:space="0" w:color="auto"/>
                        <w:bottom w:val="none" w:sz="0" w:space="0" w:color="auto"/>
                        <w:right w:val="none" w:sz="0" w:space="0" w:color="auto"/>
                      </w:divBdr>
                    </w:div>
                  </w:divsChild>
                </w:div>
                <w:div w:id="810366718">
                  <w:marLeft w:val="0"/>
                  <w:marRight w:val="0"/>
                  <w:marTop w:val="0"/>
                  <w:marBottom w:val="0"/>
                  <w:divBdr>
                    <w:top w:val="none" w:sz="0" w:space="0" w:color="auto"/>
                    <w:left w:val="none" w:sz="0" w:space="0" w:color="auto"/>
                    <w:bottom w:val="none" w:sz="0" w:space="0" w:color="auto"/>
                    <w:right w:val="none" w:sz="0" w:space="0" w:color="auto"/>
                  </w:divBdr>
                  <w:divsChild>
                    <w:div w:id="1642689725">
                      <w:marLeft w:val="0"/>
                      <w:marRight w:val="0"/>
                      <w:marTop w:val="0"/>
                      <w:marBottom w:val="0"/>
                      <w:divBdr>
                        <w:top w:val="none" w:sz="0" w:space="0" w:color="auto"/>
                        <w:left w:val="none" w:sz="0" w:space="0" w:color="auto"/>
                        <w:bottom w:val="none" w:sz="0" w:space="0" w:color="auto"/>
                        <w:right w:val="none" w:sz="0" w:space="0" w:color="auto"/>
                      </w:divBdr>
                    </w:div>
                  </w:divsChild>
                </w:div>
                <w:div w:id="852959112">
                  <w:marLeft w:val="0"/>
                  <w:marRight w:val="0"/>
                  <w:marTop w:val="0"/>
                  <w:marBottom w:val="0"/>
                  <w:divBdr>
                    <w:top w:val="none" w:sz="0" w:space="0" w:color="auto"/>
                    <w:left w:val="none" w:sz="0" w:space="0" w:color="auto"/>
                    <w:bottom w:val="none" w:sz="0" w:space="0" w:color="auto"/>
                    <w:right w:val="none" w:sz="0" w:space="0" w:color="auto"/>
                  </w:divBdr>
                  <w:divsChild>
                    <w:div w:id="1767001078">
                      <w:marLeft w:val="0"/>
                      <w:marRight w:val="0"/>
                      <w:marTop w:val="0"/>
                      <w:marBottom w:val="0"/>
                      <w:divBdr>
                        <w:top w:val="none" w:sz="0" w:space="0" w:color="auto"/>
                        <w:left w:val="none" w:sz="0" w:space="0" w:color="auto"/>
                        <w:bottom w:val="none" w:sz="0" w:space="0" w:color="auto"/>
                        <w:right w:val="none" w:sz="0" w:space="0" w:color="auto"/>
                      </w:divBdr>
                    </w:div>
                  </w:divsChild>
                </w:div>
                <w:div w:id="867333074">
                  <w:marLeft w:val="0"/>
                  <w:marRight w:val="0"/>
                  <w:marTop w:val="0"/>
                  <w:marBottom w:val="0"/>
                  <w:divBdr>
                    <w:top w:val="none" w:sz="0" w:space="0" w:color="auto"/>
                    <w:left w:val="none" w:sz="0" w:space="0" w:color="auto"/>
                    <w:bottom w:val="none" w:sz="0" w:space="0" w:color="auto"/>
                    <w:right w:val="none" w:sz="0" w:space="0" w:color="auto"/>
                  </w:divBdr>
                  <w:divsChild>
                    <w:div w:id="1657879521">
                      <w:marLeft w:val="0"/>
                      <w:marRight w:val="0"/>
                      <w:marTop w:val="0"/>
                      <w:marBottom w:val="0"/>
                      <w:divBdr>
                        <w:top w:val="none" w:sz="0" w:space="0" w:color="auto"/>
                        <w:left w:val="none" w:sz="0" w:space="0" w:color="auto"/>
                        <w:bottom w:val="none" w:sz="0" w:space="0" w:color="auto"/>
                        <w:right w:val="none" w:sz="0" w:space="0" w:color="auto"/>
                      </w:divBdr>
                    </w:div>
                  </w:divsChild>
                </w:div>
                <w:div w:id="909921906">
                  <w:marLeft w:val="0"/>
                  <w:marRight w:val="0"/>
                  <w:marTop w:val="0"/>
                  <w:marBottom w:val="0"/>
                  <w:divBdr>
                    <w:top w:val="none" w:sz="0" w:space="0" w:color="auto"/>
                    <w:left w:val="none" w:sz="0" w:space="0" w:color="auto"/>
                    <w:bottom w:val="none" w:sz="0" w:space="0" w:color="auto"/>
                    <w:right w:val="none" w:sz="0" w:space="0" w:color="auto"/>
                  </w:divBdr>
                  <w:divsChild>
                    <w:div w:id="1900047372">
                      <w:marLeft w:val="0"/>
                      <w:marRight w:val="0"/>
                      <w:marTop w:val="0"/>
                      <w:marBottom w:val="0"/>
                      <w:divBdr>
                        <w:top w:val="none" w:sz="0" w:space="0" w:color="auto"/>
                        <w:left w:val="none" w:sz="0" w:space="0" w:color="auto"/>
                        <w:bottom w:val="none" w:sz="0" w:space="0" w:color="auto"/>
                        <w:right w:val="none" w:sz="0" w:space="0" w:color="auto"/>
                      </w:divBdr>
                    </w:div>
                  </w:divsChild>
                </w:div>
                <w:div w:id="947468741">
                  <w:marLeft w:val="0"/>
                  <w:marRight w:val="0"/>
                  <w:marTop w:val="0"/>
                  <w:marBottom w:val="0"/>
                  <w:divBdr>
                    <w:top w:val="none" w:sz="0" w:space="0" w:color="auto"/>
                    <w:left w:val="none" w:sz="0" w:space="0" w:color="auto"/>
                    <w:bottom w:val="none" w:sz="0" w:space="0" w:color="auto"/>
                    <w:right w:val="none" w:sz="0" w:space="0" w:color="auto"/>
                  </w:divBdr>
                  <w:divsChild>
                    <w:div w:id="538012911">
                      <w:marLeft w:val="0"/>
                      <w:marRight w:val="0"/>
                      <w:marTop w:val="0"/>
                      <w:marBottom w:val="0"/>
                      <w:divBdr>
                        <w:top w:val="none" w:sz="0" w:space="0" w:color="auto"/>
                        <w:left w:val="none" w:sz="0" w:space="0" w:color="auto"/>
                        <w:bottom w:val="none" w:sz="0" w:space="0" w:color="auto"/>
                        <w:right w:val="none" w:sz="0" w:space="0" w:color="auto"/>
                      </w:divBdr>
                    </w:div>
                  </w:divsChild>
                </w:div>
                <w:div w:id="1026709466">
                  <w:marLeft w:val="0"/>
                  <w:marRight w:val="0"/>
                  <w:marTop w:val="0"/>
                  <w:marBottom w:val="0"/>
                  <w:divBdr>
                    <w:top w:val="none" w:sz="0" w:space="0" w:color="auto"/>
                    <w:left w:val="none" w:sz="0" w:space="0" w:color="auto"/>
                    <w:bottom w:val="none" w:sz="0" w:space="0" w:color="auto"/>
                    <w:right w:val="none" w:sz="0" w:space="0" w:color="auto"/>
                  </w:divBdr>
                  <w:divsChild>
                    <w:div w:id="2008166148">
                      <w:marLeft w:val="0"/>
                      <w:marRight w:val="0"/>
                      <w:marTop w:val="0"/>
                      <w:marBottom w:val="0"/>
                      <w:divBdr>
                        <w:top w:val="none" w:sz="0" w:space="0" w:color="auto"/>
                        <w:left w:val="none" w:sz="0" w:space="0" w:color="auto"/>
                        <w:bottom w:val="none" w:sz="0" w:space="0" w:color="auto"/>
                        <w:right w:val="none" w:sz="0" w:space="0" w:color="auto"/>
                      </w:divBdr>
                    </w:div>
                  </w:divsChild>
                </w:div>
                <w:div w:id="1076366224">
                  <w:marLeft w:val="0"/>
                  <w:marRight w:val="0"/>
                  <w:marTop w:val="0"/>
                  <w:marBottom w:val="0"/>
                  <w:divBdr>
                    <w:top w:val="none" w:sz="0" w:space="0" w:color="auto"/>
                    <w:left w:val="none" w:sz="0" w:space="0" w:color="auto"/>
                    <w:bottom w:val="none" w:sz="0" w:space="0" w:color="auto"/>
                    <w:right w:val="none" w:sz="0" w:space="0" w:color="auto"/>
                  </w:divBdr>
                  <w:divsChild>
                    <w:div w:id="1599485680">
                      <w:marLeft w:val="0"/>
                      <w:marRight w:val="0"/>
                      <w:marTop w:val="0"/>
                      <w:marBottom w:val="0"/>
                      <w:divBdr>
                        <w:top w:val="none" w:sz="0" w:space="0" w:color="auto"/>
                        <w:left w:val="none" w:sz="0" w:space="0" w:color="auto"/>
                        <w:bottom w:val="none" w:sz="0" w:space="0" w:color="auto"/>
                        <w:right w:val="none" w:sz="0" w:space="0" w:color="auto"/>
                      </w:divBdr>
                    </w:div>
                  </w:divsChild>
                </w:div>
                <w:div w:id="1118335761">
                  <w:marLeft w:val="0"/>
                  <w:marRight w:val="0"/>
                  <w:marTop w:val="0"/>
                  <w:marBottom w:val="0"/>
                  <w:divBdr>
                    <w:top w:val="none" w:sz="0" w:space="0" w:color="auto"/>
                    <w:left w:val="none" w:sz="0" w:space="0" w:color="auto"/>
                    <w:bottom w:val="none" w:sz="0" w:space="0" w:color="auto"/>
                    <w:right w:val="none" w:sz="0" w:space="0" w:color="auto"/>
                  </w:divBdr>
                  <w:divsChild>
                    <w:div w:id="704792085">
                      <w:marLeft w:val="0"/>
                      <w:marRight w:val="0"/>
                      <w:marTop w:val="0"/>
                      <w:marBottom w:val="0"/>
                      <w:divBdr>
                        <w:top w:val="none" w:sz="0" w:space="0" w:color="auto"/>
                        <w:left w:val="none" w:sz="0" w:space="0" w:color="auto"/>
                        <w:bottom w:val="none" w:sz="0" w:space="0" w:color="auto"/>
                        <w:right w:val="none" w:sz="0" w:space="0" w:color="auto"/>
                      </w:divBdr>
                    </w:div>
                  </w:divsChild>
                </w:div>
                <w:div w:id="1123041257">
                  <w:marLeft w:val="0"/>
                  <w:marRight w:val="0"/>
                  <w:marTop w:val="0"/>
                  <w:marBottom w:val="0"/>
                  <w:divBdr>
                    <w:top w:val="none" w:sz="0" w:space="0" w:color="auto"/>
                    <w:left w:val="none" w:sz="0" w:space="0" w:color="auto"/>
                    <w:bottom w:val="none" w:sz="0" w:space="0" w:color="auto"/>
                    <w:right w:val="none" w:sz="0" w:space="0" w:color="auto"/>
                  </w:divBdr>
                  <w:divsChild>
                    <w:div w:id="95637194">
                      <w:marLeft w:val="0"/>
                      <w:marRight w:val="0"/>
                      <w:marTop w:val="0"/>
                      <w:marBottom w:val="0"/>
                      <w:divBdr>
                        <w:top w:val="none" w:sz="0" w:space="0" w:color="auto"/>
                        <w:left w:val="none" w:sz="0" w:space="0" w:color="auto"/>
                        <w:bottom w:val="none" w:sz="0" w:space="0" w:color="auto"/>
                        <w:right w:val="none" w:sz="0" w:space="0" w:color="auto"/>
                      </w:divBdr>
                    </w:div>
                  </w:divsChild>
                </w:div>
                <w:div w:id="1133791055">
                  <w:marLeft w:val="0"/>
                  <w:marRight w:val="0"/>
                  <w:marTop w:val="0"/>
                  <w:marBottom w:val="0"/>
                  <w:divBdr>
                    <w:top w:val="none" w:sz="0" w:space="0" w:color="auto"/>
                    <w:left w:val="none" w:sz="0" w:space="0" w:color="auto"/>
                    <w:bottom w:val="none" w:sz="0" w:space="0" w:color="auto"/>
                    <w:right w:val="none" w:sz="0" w:space="0" w:color="auto"/>
                  </w:divBdr>
                  <w:divsChild>
                    <w:div w:id="883248806">
                      <w:marLeft w:val="0"/>
                      <w:marRight w:val="0"/>
                      <w:marTop w:val="0"/>
                      <w:marBottom w:val="0"/>
                      <w:divBdr>
                        <w:top w:val="none" w:sz="0" w:space="0" w:color="auto"/>
                        <w:left w:val="none" w:sz="0" w:space="0" w:color="auto"/>
                        <w:bottom w:val="none" w:sz="0" w:space="0" w:color="auto"/>
                        <w:right w:val="none" w:sz="0" w:space="0" w:color="auto"/>
                      </w:divBdr>
                    </w:div>
                  </w:divsChild>
                </w:div>
                <w:div w:id="1205293157">
                  <w:marLeft w:val="0"/>
                  <w:marRight w:val="0"/>
                  <w:marTop w:val="0"/>
                  <w:marBottom w:val="0"/>
                  <w:divBdr>
                    <w:top w:val="none" w:sz="0" w:space="0" w:color="auto"/>
                    <w:left w:val="none" w:sz="0" w:space="0" w:color="auto"/>
                    <w:bottom w:val="none" w:sz="0" w:space="0" w:color="auto"/>
                    <w:right w:val="none" w:sz="0" w:space="0" w:color="auto"/>
                  </w:divBdr>
                  <w:divsChild>
                    <w:div w:id="331761427">
                      <w:marLeft w:val="0"/>
                      <w:marRight w:val="0"/>
                      <w:marTop w:val="0"/>
                      <w:marBottom w:val="0"/>
                      <w:divBdr>
                        <w:top w:val="none" w:sz="0" w:space="0" w:color="auto"/>
                        <w:left w:val="none" w:sz="0" w:space="0" w:color="auto"/>
                        <w:bottom w:val="none" w:sz="0" w:space="0" w:color="auto"/>
                        <w:right w:val="none" w:sz="0" w:space="0" w:color="auto"/>
                      </w:divBdr>
                    </w:div>
                  </w:divsChild>
                </w:div>
                <w:div w:id="1325009061">
                  <w:marLeft w:val="0"/>
                  <w:marRight w:val="0"/>
                  <w:marTop w:val="0"/>
                  <w:marBottom w:val="0"/>
                  <w:divBdr>
                    <w:top w:val="none" w:sz="0" w:space="0" w:color="auto"/>
                    <w:left w:val="none" w:sz="0" w:space="0" w:color="auto"/>
                    <w:bottom w:val="none" w:sz="0" w:space="0" w:color="auto"/>
                    <w:right w:val="none" w:sz="0" w:space="0" w:color="auto"/>
                  </w:divBdr>
                  <w:divsChild>
                    <w:div w:id="882642403">
                      <w:marLeft w:val="0"/>
                      <w:marRight w:val="0"/>
                      <w:marTop w:val="0"/>
                      <w:marBottom w:val="0"/>
                      <w:divBdr>
                        <w:top w:val="none" w:sz="0" w:space="0" w:color="auto"/>
                        <w:left w:val="none" w:sz="0" w:space="0" w:color="auto"/>
                        <w:bottom w:val="none" w:sz="0" w:space="0" w:color="auto"/>
                        <w:right w:val="none" w:sz="0" w:space="0" w:color="auto"/>
                      </w:divBdr>
                    </w:div>
                  </w:divsChild>
                </w:div>
                <w:div w:id="1330061789">
                  <w:marLeft w:val="0"/>
                  <w:marRight w:val="0"/>
                  <w:marTop w:val="0"/>
                  <w:marBottom w:val="0"/>
                  <w:divBdr>
                    <w:top w:val="none" w:sz="0" w:space="0" w:color="auto"/>
                    <w:left w:val="none" w:sz="0" w:space="0" w:color="auto"/>
                    <w:bottom w:val="none" w:sz="0" w:space="0" w:color="auto"/>
                    <w:right w:val="none" w:sz="0" w:space="0" w:color="auto"/>
                  </w:divBdr>
                  <w:divsChild>
                    <w:div w:id="1979913316">
                      <w:marLeft w:val="0"/>
                      <w:marRight w:val="0"/>
                      <w:marTop w:val="0"/>
                      <w:marBottom w:val="0"/>
                      <w:divBdr>
                        <w:top w:val="none" w:sz="0" w:space="0" w:color="auto"/>
                        <w:left w:val="none" w:sz="0" w:space="0" w:color="auto"/>
                        <w:bottom w:val="none" w:sz="0" w:space="0" w:color="auto"/>
                        <w:right w:val="none" w:sz="0" w:space="0" w:color="auto"/>
                      </w:divBdr>
                    </w:div>
                  </w:divsChild>
                </w:div>
                <w:div w:id="1380401297">
                  <w:marLeft w:val="0"/>
                  <w:marRight w:val="0"/>
                  <w:marTop w:val="0"/>
                  <w:marBottom w:val="0"/>
                  <w:divBdr>
                    <w:top w:val="none" w:sz="0" w:space="0" w:color="auto"/>
                    <w:left w:val="none" w:sz="0" w:space="0" w:color="auto"/>
                    <w:bottom w:val="none" w:sz="0" w:space="0" w:color="auto"/>
                    <w:right w:val="none" w:sz="0" w:space="0" w:color="auto"/>
                  </w:divBdr>
                  <w:divsChild>
                    <w:div w:id="815337895">
                      <w:marLeft w:val="0"/>
                      <w:marRight w:val="0"/>
                      <w:marTop w:val="0"/>
                      <w:marBottom w:val="0"/>
                      <w:divBdr>
                        <w:top w:val="none" w:sz="0" w:space="0" w:color="auto"/>
                        <w:left w:val="none" w:sz="0" w:space="0" w:color="auto"/>
                        <w:bottom w:val="none" w:sz="0" w:space="0" w:color="auto"/>
                        <w:right w:val="none" w:sz="0" w:space="0" w:color="auto"/>
                      </w:divBdr>
                    </w:div>
                  </w:divsChild>
                </w:div>
                <w:div w:id="1385565247">
                  <w:marLeft w:val="0"/>
                  <w:marRight w:val="0"/>
                  <w:marTop w:val="0"/>
                  <w:marBottom w:val="0"/>
                  <w:divBdr>
                    <w:top w:val="none" w:sz="0" w:space="0" w:color="auto"/>
                    <w:left w:val="none" w:sz="0" w:space="0" w:color="auto"/>
                    <w:bottom w:val="none" w:sz="0" w:space="0" w:color="auto"/>
                    <w:right w:val="none" w:sz="0" w:space="0" w:color="auto"/>
                  </w:divBdr>
                  <w:divsChild>
                    <w:div w:id="358895787">
                      <w:marLeft w:val="0"/>
                      <w:marRight w:val="0"/>
                      <w:marTop w:val="0"/>
                      <w:marBottom w:val="0"/>
                      <w:divBdr>
                        <w:top w:val="none" w:sz="0" w:space="0" w:color="auto"/>
                        <w:left w:val="none" w:sz="0" w:space="0" w:color="auto"/>
                        <w:bottom w:val="none" w:sz="0" w:space="0" w:color="auto"/>
                        <w:right w:val="none" w:sz="0" w:space="0" w:color="auto"/>
                      </w:divBdr>
                    </w:div>
                  </w:divsChild>
                </w:div>
                <w:div w:id="1406075358">
                  <w:marLeft w:val="0"/>
                  <w:marRight w:val="0"/>
                  <w:marTop w:val="0"/>
                  <w:marBottom w:val="0"/>
                  <w:divBdr>
                    <w:top w:val="none" w:sz="0" w:space="0" w:color="auto"/>
                    <w:left w:val="none" w:sz="0" w:space="0" w:color="auto"/>
                    <w:bottom w:val="none" w:sz="0" w:space="0" w:color="auto"/>
                    <w:right w:val="none" w:sz="0" w:space="0" w:color="auto"/>
                  </w:divBdr>
                  <w:divsChild>
                    <w:div w:id="337923086">
                      <w:marLeft w:val="0"/>
                      <w:marRight w:val="0"/>
                      <w:marTop w:val="0"/>
                      <w:marBottom w:val="0"/>
                      <w:divBdr>
                        <w:top w:val="none" w:sz="0" w:space="0" w:color="auto"/>
                        <w:left w:val="none" w:sz="0" w:space="0" w:color="auto"/>
                        <w:bottom w:val="none" w:sz="0" w:space="0" w:color="auto"/>
                        <w:right w:val="none" w:sz="0" w:space="0" w:color="auto"/>
                      </w:divBdr>
                    </w:div>
                  </w:divsChild>
                </w:div>
                <w:div w:id="1419984960">
                  <w:marLeft w:val="0"/>
                  <w:marRight w:val="0"/>
                  <w:marTop w:val="0"/>
                  <w:marBottom w:val="0"/>
                  <w:divBdr>
                    <w:top w:val="none" w:sz="0" w:space="0" w:color="auto"/>
                    <w:left w:val="none" w:sz="0" w:space="0" w:color="auto"/>
                    <w:bottom w:val="none" w:sz="0" w:space="0" w:color="auto"/>
                    <w:right w:val="none" w:sz="0" w:space="0" w:color="auto"/>
                  </w:divBdr>
                  <w:divsChild>
                    <w:div w:id="970751090">
                      <w:marLeft w:val="0"/>
                      <w:marRight w:val="0"/>
                      <w:marTop w:val="0"/>
                      <w:marBottom w:val="0"/>
                      <w:divBdr>
                        <w:top w:val="none" w:sz="0" w:space="0" w:color="auto"/>
                        <w:left w:val="none" w:sz="0" w:space="0" w:color="auto"/>
                        <w:bottom w:val="none" w:sz="0" w:space="0" w:color="auto"/>
                        <w:right w:val="none" w:sz="0" w:space="0" w:color="auto"/>
                      </w:divBdr>
                    </w:div>
                    <w:div w:id="2035501099">
                      <w:marLeft w:val="0"/>
                      <w:marRight w:val="0"/>
                      <w:marTop w:val="0"/>
                      <w:marBottom w:val="0"/>
                      <w:divBdr>
                        <w:top w:val="none" w:sz="0" w:space="0" w:color="auto"/>
                        <w:left w:val="none" w:sz="0" w:space="0" w:color="auto"/>
                        <w:bottom w:val="none" w:sz="0" w:space="0" w:color="auto"/>
                        <w:right w:val="none" w:sz="0" w:space="0" w:color="auto"/>
                      </w:divBdr>
                    </w:div>
                  </w:divsChild>
                </w:div>
                <w:div w:id="1454327508">
                  <w:marLeft w:val="0"/>
                  <w:marRight w:val="0"/>
                  <w:marTop w:val="0"/>
                  <w:marBottom w:val="0"/>
                  <w:divBdr>
                    <w:top w:val="none" w:sz="0" w:space="0" w:color="auto"/>
                    <w:left w:val="none" w:sz="0" w:space="0" w:color="auto"/>
                    <w:bottom w:val="none" w:sz="0" w:space="0" w:color="auto"/>
                    <w:right w:val="none" w:sz="0" w:space="0" w:color="auto"/>
                  </w:divBdr>
                  <w:divsChild>
                    <w:div w:id="1918636069">
                      <w:marLeft w:val="0"/>
                      <w:marRight w:val="0"/>
                      <w:marTop w:val="0"/>
                      <w:marBottom w:val="0"/>
                      <w:divBdr>
                        <w:top w:val="none" w:sz="0" w:space="0" w:color="auto"/>
                        <w:left w:val="none" w:sz="0" w:space="0" w:color="auto"/>
                        <w:bottom w:val="none" w:sz="0" w:space="0" w:color="auto"/>
                        <w:right w:val="none" w:sz="0" w:space="0" w:color="auto"/>
                      </w:divBdr>
                    </w:div>
                  </w:divsChild>
                </w:div>
                <w:div w:id="1499543664">
                  <w:marLeft w:val="0"/>
                  <w:marRight w:val="0"/>
                  <w:marTop w:val="0"/>
                  <w:marBottom w:val="0"/>
                  <w:divBdr>
                    <w:top w:val="none" w:sz="0" w:space="0" w:color="auto"/>
                    <w:left w:val="none" w:sz="0" w:space="0" w:color="auto"/>
                    <w:bottom w:val="none" w:sz="0" w:space="0" w:color="auto"/>
                    <w:right w:val="none" w:sz="0" w:space="0" w:color="auto"/>
                  </w:divBdr>
                  <w:divsChild>
                    <w:div w:id="1155490685">
                      <w:marLeft w:val="0"/>
                      <w:marRight w:val="0"/>
                      <w:marTop w:val="0"/>
                      <w:marBottom w:val="0"/>
                      <w:divBdr>
                        <w:top w:val="none" w:sz="0" w:space="0" w:color="auto"/>
                        <w:left w:val="none" w:sz="0" w:space="0" w:color="auto"/>
                        <w:bottom w:val="none" w:sz="0" w:space="0" w:color="auto"/>
                        <w:right w:val="none" w:sz="0" w:space="0" w:color="auto"/>
                      </w:divBdr>
                    </w:div>
                  </w:divsChild>
                </w:div>
                <w:div w:id="1570769393">
                  <w:marLeft w:val="0"/>
                  <w:marRight w:val="0"/>
                  <w:marTop w:val="0"/>
                  <w:marBottom w:val="0"/>
                  <w:divBdr>
                    <w:top w:val="none" w:sz="0" w:space="0" w:color="auto"/>
                    <w:left w:val="none" w:sz="0" w:space="0" w:color="auto"/>
                    <w:bottom w:val="none" w:sz="0" w:space="0" w:color="auto"/>
                    <w:right w:val="none" w:sz="0" w:space="0" w:color="auto"/>
                  </w:divBdr>
                  <w:divsChild>
                    <w:div w:id="1099525137">
                      <w:marLeft w:val="0"/>
                      <w:marRight w:val="0"/>
                      <w:marTop w:val="0"/>
                      <w:marBottom w:val="0"/>
                      <w:divBdr>
                        <w:top w:val="none" w:sz="0" w:space="0" w:color="auto"/>
                        <w:left w:val="none" w:sz="0" w:space="0" w:color="auto"/>
                        <w:bottom w:val="none" w:sz="0" w:space="0" w:color="auto"/>
                        <w:right w:val="none" w:sz="0" w:space="0" w:color="auto"/>
                      </w:divBdr>
                    </w:div>
                  </w:divsChild>
                </w:div>
                <w:div w:id="1635715282">
                  <w:marLeft w:val="0"/>
                  <w:marRight w:val="0"/>
                  <w:marTop w:val="0"/>
                  <w:marBottom w:val="0"/>
                  <w:divBdr>
                    <w:top w:val="none" w:sz="0" w:space="0" w:color="auto"/>
                    <w:left w:val="none" w:sz="0" w:space="0" w:color="auto"/>
                    <w:bottom w:val="none" w:sz="0" w:space="0" w:color="auto"/>
                    <w:right w:val="none" w:sz="0" w:space="0" w:color="auto"/>
                  </w:divBdr>
                  <w:divsChild>
                    <w:div w:id="406269661">
                      <w:marLeft w:val="0"/>
                      <w:marRight w:val="0"/>
                      <w:marTop w:val="0"/>
                      <w:marBottom w:val="0"/>
                      <w:divBdr>
                        <w:top w:val="none" w:sz="0" w:space="0" w:color="auto"/>
                        <w:left w:val="none" w:sz="0" w:space="0" w:color="auto"/>
                        <w:bottom w:val="none" w:sz="0" w:space="0" w:color="auto"/>
                        <w:right w:val="none" w:sz="0" w:space="0" w:color="auto"/>
                      </w:divBdr>
                    </w:div>
                  </w:divsChild>
                </w:div>
                <w:div w:id="1824352281">
                  <w:marLeft w:val="0"/>
                  <w:marRight w:val="0"/>
                  <w:marTop w:val="0"/>
                  <w:marBottom w:val="0"/>
                  <w:divBdr>
                    <w:top w:val="none" w:sz="0" w:space="0" w:color="auto"/>
                    <w:left w:val="none" w:sz="0" w:space="0" w:color="auto"/>
                    <w:bottom w:val="none" w:sz="0" w:space="0" w:color="auto"/>
                    <w:right w:val="none" w:sz="0" w:space="0" w:color="auto"/>
                  </w:divBdr>
                  <w:divsChild>
                    <w:div w:id="205528859">
                      <w:marLeft w:val="0"/>
                      <w:marRight w:val="0"/>
                      <w:marTop w:val="0"/>
                      <w:marBottom w:val="0"/>
                      <w:divBdr>
                        <w:top w:val="none" w:sz="0" w:space="0" w:color="auto"/>
                        <w:left w:val="none" w:sz="0" w:space="0" w:color="auto"/>
                        <w:bottom w:val="none" w:sz="0" w:space="0" w:color="auto"/>
                        <w:right w:val="none" w:sz="0" w:space="0" w:color="auto"/>
                      </w:divBdr>
                    </w:div>
                  </w:divsChild>
                </w:div>
                <w:div w:id="1835141358">
                  <w:marLeft w:val="0"/>
                  <w:marRight w:val="0"/>
                  <w:marTop w:val="0"/>
                  <w:marBottom w:val="0"/>
                  <w:divBdr>
                    <w:top w:val="none" w:sz="0" w:space="0" w:color="auto"/>
                    <w:left w:val="none" w:sz="0" w:space="0" w:color="auto"/>
                    <w:bottom w:val="none" w:sz="0" w:space="0" w:color="auto"/>
                    <w:right w:val="none" w:sz="0" w:space="0" w:color="auto"/>
                  </w:divBdr>
                  <w:divsChild>
                    <w:div w:id="1959606505">
                      <w:marLeft w:val="0"/>
                      <w:marRight w:val="0"/>
                      <w:marTop w:val="0"/>
                      <w:marBottom w:val="0"/>
                      <w:divBdr>
                        <w:top w:val="none" w:sz="0" w:space="0" w:color="auto"/>
                        <w:left w:val="none" w:sz="0" w:space="0" w:color="auto"/>
                        <w:bottom w:val="none" w:sz="0" w:space="0" w:color="auto"/>
                        <w:right w:val="none" w:sz="0" w:space="0" w:color="auto"/>
                      </w:divBdr>
                    </w:div>
                  </w:divsChild>
                </w:div>
                <w:div w:id="1849447610">
                  <w:marLeft w:val="0"/>
                  <w:marRight w:val="0"/>
                  <w:marTop w:val="0"/>
                  <w:marBottom w:val="0"/>
                  <w:divBdr>
                    <w:top w:val="none" w:sz="0" w:space="0" w:color="auto"/>
                    <w:left w:val="none" w:sz="0" w:space="0" w:color="auto"/>
                    <w:bottom w:val="none" w:sz="0" w:space="0" w:color="auto"/>
                    <w:right w:val="none" w:sz="0" w:space="0" w:color="auto"/>
                  </w:divBdr>
                  <w:divsChild>
                    <w:div w:id="1498955239">
                      <w:marLeft w:val="0"/>
                      <w:marRight w:val="0"/>
                      <w:marTop w:val="0"/>
                      <w:marBottom w:val="0"/>
                      <w:divBdr>
                        <w:top w:val="none" w:sz="0" w:space="0" w:color="auto"/>
                        <w:left w:val="none" w:sz="0" w:space="0" w:color="auto"/>
                        <w:bottom w:val="none" w:sz="0" w:space="0" w:color="auto"/>
                        <w:right w:val="none" w:sz="0" w:space="0" w:color="auto"/>
                      </w:divBdr>
                    </w:div>
                  </w:divsChild>
                </w:div>
                <w:div w:id="1879778134">
                  <w:marLeft w:val="0"/>
                  <w:marRight w:val="0"/>
                  <w:marTop w:val="0"/>
                  <w:marBottom w:val="0"/>
                  <w:divBdr>
                    <w:top w:val="none" w:sz="0" w:space="0" w:color="auto"/>
                    <w:left w:val="none" w:sz="0" w:space="0" w:color="auto"/>
                    <w:bottom w:val="none" w:sz="0" w:space="0" w:color="auto"/>
                    <w:right w:val="none" w:sz="0" w:space="0" w:color="auto"/>
                  </w:divBdr>
                  <w:divsChild>
                    <w:div w:id="874544129">
                      <w:marLeft w:val="0"/>
                      <w:marRight w:val="0"/>
                      <w:marTop w:val="0"/>
                      <w:marBottom w:val="0"/>
                      <w:divBdr>
                        <w:top w:val="none" w:sz="0" w:space="0" w:color="auto"/>
                        <w:left w:val="none" w:sz="0" w:space="0" w:color="auto"/>
                        <w:bottom w:val="none" w:sz="0" w:space="0" w:color="auto"/>
                        <w:right w:val="none" w:sz="0" w:space="0" w:color="auto"/>
                      </w:divBdr>
                    </w:div>
                  </w:divsChild>
                </w:div>
                <w:div w:id="1909342251">
                  <w:marLeft w:val="0"/>
                  <w:marRight w:val="0"/>
                  <w:marTop w:val="0"/>
                  <w:marBottom w:val="0"/>
                  <w:divBdr>
                    <w:top w:val="none" w:sz="0" w:space="0" w:color="auto"/>
                    <w:left w:val="none" w:sz="0" w:space="0" w:color="auto"/>
                    <w:bottom w:val="none" w:sz="0" w:space="0" w:color="auto"/>
                    <w:right w:val="none" w:sz="0" w:space="0" w:color="auto"/>
                  </w:divBdr>
                  <w:divsChild>
                    <w:div w:id="1085762664">
                      <w:marLeft w:val="0"/>
                      <w:marRight w:val="0"/>
                      <w:marTop w:val="0"/>
                      <w:marBottom w:val="0"/>
                      <w:divBdr>
                        <w:top w:val="none" w:sz="0" w:space="0" w:color="auto"/>
                        <w:left w:val="none" w:sz="0" w:space="0" w:color="auto"/>
                        <w:bottom w:val="none" w:sz="0" w:space="0" w:color="auto"/>
                        <w:right w:val="none" w:sz="0" w:space="0" w:color="auto"/>
                      </w:divBdr>
                    </w:div>
                  </w:divsChild>
                </w:div>
                <w:div w:id="1910653104">
                  <w:marLeft w:val="0"/>
                  <w:marRight w:val="0"/>
                  <w:marTop w:val="0"/>
                  <w:marBottom w:val="0"/>
                  <w:divBdr>
                    <w:top w:val="none" w:sz="0" w:space="0" w:color="auto"/>
                    <w:left w:val="none" w:sz="0" w:space="0" w:color="auto"/>
                    <w:bottom w:val="none" w:sz="0" w:space="0" w:color="auto"/>
                    <w:right w:val="none" w:sz="0" w:space="0" w:color="auto"/>
                  </w:divBdr>
                  <w:divsChild>
                    <w:div w:id="1266570639">
                      <w:marLeft w:val="0"/>
                      <w:marRight w:val="0"/>
                      <w:marTop w:val="0"/>
                      <w:marBottom w:val="0"/>
                      <w:divBdr>
                        <w:top w:val="none" w:sz="0" w:space="0" w:color="auto"/>
                        <w:left w:val="none" w:sz="0" w:space="0" w:color="auto"/>
                        <w:bottom w:val="none" w:sz="0" w:space="0" w:color="auto"/>
                        <w:right w:val="none" w:sz="0" w:space="0" w:color="auto"/>
                      </w:divBdr>
                    </w:div>
                  </w:divsChild>
                </w:div>
                <w:div w:id="1928465985">
                  <w:marLeft w:val="0"/>
                  <w:marRight w:val="0"/>
                  <w:marTop w:val="0"/>
                  <w:marBottom w:val="0"/>
                  <w:divBdr>
                    <w:top w:val="none" w:sz="0" w:space="0" w:color="auto"/>
                    <w:left w:val="none" w:sz="0" w:space="0" w:color="auto"/>
                    <w:bottom w:val="none" w:sz="0" w:space="0" w:color="auto"/>
                    <w:right w:val="none" w:sz="0" w:space="0" w:color="auto"/>
                  </w:divBdr>
                  <w:divsChild>
                    <w:div w:id="805975370">
                      <w:marLeft w:val="0"/>
                      <w:marRight w:val="0"/>
                      <w:marTop w:val="0"/>
                      <w:marBottom w:val="0"/>
                      <w:divBdr>
                        <w:top w:val="none" w:sz="0" w:space="0" w:color="auto"/>
                        <w:left w:val="none" w:sz="0" w:space="0" w:color="auto"/>
                        <w:bottom w:val="none" w:sz="0" w:space="0" w:color="auto"/>
                        <w:right w:val="none" w:sz="0" w:space="0" w:color="auto"/>
                      </w:divBdr>
                    </w:div>
                  </w:divsChild>
                </w:div>
                <w:div w:id="1964967710">
                  <w:marLeft w:val="0"/>
                  <w:marRight w:val="0"/>
                  <w:marTop w:val="0"/>
                  <w:marBottom w:val="0"/>
                  <w:divBdr>
                    <w:top w:val="none" w:sz="0" w:space="0" w:color="auto"/>
                    <w:left w:val="none" w:sz="0" w:space="0" w:color="auto"/>
                    <w:bottom w:val="none" w:sz="0" w:space="0" w:color="auto"/>
                    <w:right w:val="none" w:sz="0" w:space="0" w:color="auto"/>
                  </w:divBdr>
                  <w:divsChild>
                    <w:div w:id="780101445">
                      <w:marLeft w:val="0"/>
                      <w:marRight w:val="0"/>
                      <w:marTop w:val="0"/>
                      <w:marBottom w:val="0"/>
                      <w:divBdr>
                        <w:top w:val="none" w:sz="0" w:space="0" w:color="auto"/>
                        <w:left w:val="none" w:sz="0" w:space="0" w:color="auto"/>
                        <w:bottom w:val="none" w:sz="0" w:space="0" w:color="auto"/>
                        <w:right w:val="none" w:sz="0" w:space="0" w:color="auto"/>
                      </w:divBdr>
                    </w:div>
                  </w:divsChild>
                </w:div>
                <w:div w:id="1986162318">
                  <w:marLeft w:val="0"/>
                  <w:marRight w:val="0"/>
                  <w:marTop w:val="0"/>
                  <w:marBottom w:val="0"/>
                  <w:divBdr>
                    <w:top w:val="none" w:sz="0" w:space="0" w:color="auto"/>
                    <w:left w:val="none" w:sz="0" w:space="0" w:color="auto"/>
                    <w:bottom w:val="none" w:sz="0" w:space="0" w:color="auto"/>
                    <w:right w:val="none" w:sz="0" w:space="0" w:color="auto"/>
                  </w:divBdr>
                  <w:divsChild>
                    <w:div w:id="1797067200">
                      <w:marLeft w:val="0"/>
                      <w:marRight w:val="0"/>
                      <w:marTop w:val="0"/>
                      <w:marBottom w:val="0"/>
                      <w:divBdr>
                        <w:top w:val="none" w:sz="0" w:space="0" w:color="auto"/>
                        <w:left w:val="none" w:sz="0" w:space="0" w:color="auto"/>
                        <w:bottom w:val="none" w:sz="0" w:space="0" w:color="auto"/>
                        <w:right w:val="none" w:sz="0" w:space="0" w:color="auto"/>
                      </w:divBdr>
                    </w:div>
                  </w:divsChild>
                </w:div>
                <w:div w:id="2007979242">
                  <w:marLeft w:val="0"/>
                  <w:marRight w:val="0"/>
                  <w:marTop w:val="0"/>
                  <w:marBottom w:val="0"/>
                  <w:divBdr>
                    <w:top w:val="none" w:sz="0" w:space="0" w:color="auto"/>
                    <w:left w:val="none" w:sz="0" w:space="0" w:color="auto"/>
                    <w:bottom w:val="none" w:sz="0" w:space="0" w:color="auto"/>
                    <w:right w:val="none" w:sz="0" w:space="0" w:color="auto"/>
                  </w:divBdr>
                  <w:divsChild>
                    <w:div w:id="1433235670">
                      <w:marLeft w:val="0"/>
                      <w:marRight w:val="0"/>
                      <w:marTop w:val="0"/>
                      <w:marBottom w:val="0"/>
                      <w:divBdr>
                        <w:top w:val="none" w:sz="0" w:space="0" w:color="auto"/>
                        <w:left w:val="none" w:sz="0" w:space="0" w:color="auto"/>
                        <w:bottom w:val="none" w:sz="0" w:space="0" w:color="auto"/>
                        <w:right w:val="none" w:sz="0" w:space="0" w:color="auto"/>
                      </w:divBdr>
                    </w:div>
                  </w:divsChild>
                </w:div>
                <w:div w:id="2115468615">
                  <w:marLeft w:val="0"/>
                  <w:marRight w:val="0"/>
                  <w:marTop w:val="0"/>
                  <w:marBottom w:val="0"/>
                  <w:divBdr>
                    <w:top w:val="none" w:sz="0" w:space="0" w:color="auto"/>
                    <w:left w:val="none" w:sz="0" w:space="0" w:color="auto"/>
                    <w:bottom w:val="none" w:sz="0" w:space="0" w:color="auto"/>
                    <w:right w:val="none" w:sz="0" w:space="0" w:color="auto"/>
                  </w:divBdr>
                  <w:divsChild>
                    <w:div w:id="655691393">
                      <w:marLeft w:val="0"/>
                      <w:marRight w:val="0"/>
                      <w:marTop w:val="0"/>
                      <w:marBottom w:val="0"/>
                      <w:divBdr>
                        <w:top w:val="none" w:sz="0" w:space="0" w:color="auto"/>
                        <w:left w:val="none" w:sz="0" w:space="0" w:color="auto"/>
                        <w:bottom w:val="none" w:sz="0" w:space="0" w:color="auto"/>
                        <w:right w:val="none" w:sz="0" w:space="0" w:color="auto"/>
                      </w:divBdr>
                    </w:div>
                  </w:divsChild>
                </w:div>
                <w:div w:id="2128889345">
                  <w:marLeft w:val="0"/>
                  <w:marRight w:val="0"/>
                  <w:marTop w:val="0"/>
                  <w:marBottom w:val="0"/>
                  <w:divBdr>
                    <w:top w:val="none" w:sz="0" w:space="0" w:color="auto"/>
                    <w:left w:val="none" w:sz="0" w:space="0" w:color="auto"/>
                    <w:bottom w:val="none" w:sz="0" w:space="0" w:color="auto"/>
                    <w:right w:val="none" w:sz="0" w:space="0" w:color="auto"/>
                  </w:divBdr>
                  <w:divsChild>
                    <w:div w:id="589193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2928621">
      <w:bodyDiv w:val="1"/>
      <w:marLeft w:val="0"/>
      <w:marRight w:val="0"/>
      <w:marTop w:val="0"/>
      <w:marBottom w:val="0"/>
      <w:divBdr>
        <w:top w:val="none" w:sz="0" w:space="0" w:color="auto"/>
        <w:left w:val="none" w:sz="0" w:space="0" w:color="auto"/>
        <w:bottom w:val="none" w:sz="0" w:space="0" w:color="auto"/>
        <w:right w:val="none" w:sz="0" w:space="0" w:color="auto"/>
      </w:divBdr>
      <w:divsChild>
        <w:div w:id="84154511">
          <w:marLeft w:val="0"/>
          <w:marRight w:val="0"/>
          <w:marTop w:val="0"/>
          <w:marBottom w:val="0"/>
          <w:divBdr>
            <w:top w:val="none" w:sz="0" w:space="0" w:color="auto"/>
            <w:left w:val="none" w:sz="0" w:space="0" w:color="auto"/>
            <w:bottom w:val="none" w:sz="0" w:space="0" w:color="auto"/>
            <w:right w:val="none" w:sz="0" w:space="0" w:color="auto"/>
          </w:divBdr>
          <w:divsChild>
            <w:div w:id="89785996">
              <w:marLeft w:val="0"/>
              <w:marRight w:val="0"/>
              <w:marTop w:val="0"/>
              <w:marBottom w:val="0"/>
              <w:divBdr>
                <w:top w:val="none" w:sz="0" w:space="0" w:color="auto"/>
                <w:left w:val="none" w:sz="0" w:space="0" w:color="auto"/>
                <w:bottom w:val="none" w:sz="0" w:space="0" w:color="auto"/>
                <w:right w:val="none" w:sz="0" w:space="0" w:color="auto"/>
              </w:divBdr>
            </w:div>
            <w:div w:id="114062692">
              <w:marLeft w:val="0"/>
              <w:marRight w:val="0"/>
              <w:marTop w:val="0"/>
              <w:marBottom w:val="0"/>
              <w:divBdr>
                <w:top w:val="none" w:sz="0" w:space="0" w:color="auto"/>
                <w:left w:val="none" w:sz="0" w:space="0" w:color="auto"/>
                <w:bottom w:val="none" w:sz="0" w:space="0" w:color="auto"/>
                <w:right w:val="none" w:sz="0" w:space="0" w:color="auto"/>
              </w:divBdr>
            </w:div>
            <w:div w:id="327290511">
              <w:marLeft w:val="0"/>
              <w:marRight w:val="0"/>
              <w:marTop w:val="0"/>
              <w:marBottom w:val="0"/>
              <w:divBdr>
                <w:top w:val="none" w:sz="0" w:space="0" w:color="auto"/>
                <w:left w:val="none" w:sz="0" w:space="0" w:color="auto"/>
                <w:bottom w:val="none" w:sz="0" w:space="0" w:color="auto"/>
                <w:right w:val="none" w:sz="0" w:space="0" w:color="auto"/>
              </w:divBdr>
            </w:div>
            <w:div w:id="492332418">
              <w:marLeft w:val="0"/>
              <w:marRight w:val="0"/>
              <w:marTop w:val="0"/>
              <w:marBottom w:val="0"/>
              <w:divBdr>
                <w:top w:val="none" w:sz="0" w:space="0" w:color="auto"/>
                <w:left w:val="none" w:sz="0" w:space="0" w:color="auto"/>
                <w:bottom w:val="none" w:sz="0" w:space="0" w:color="auto"/>
                <w:right w:val="none" w:sz="0" w:space="0" w:color="auto"/>
              </w:divBdr>
            </w:div>
            <w:div w:id="730884065">
              <w:marLeft w:val="0"/>
              <w:marRight w:val="0"/>
              <w:marTop w:val="0"/>
              <w:marBottom w:val="0"/>
              <w:divBdr>
                <w:top w:val="none" w:sz="0" w:space="0" w:color="auto"/>
                <w:left w:val="none" w:sz="0" w:space="0" w:color="auto"/>
                <w:bottom w:val="none" w:sz="0" w:space="0" w:color="auto"/>
                <w:right w:val="none" w:sz="0" w:space="0" w:color="auto"/>
              </w:divBdr>
            </w:div>
            <w:div w:id="870456881">
              <w:marLeft w:val="0"/>
              <w:marRight w:val="0"/>
              <w:marTop w:val="0"/>
              <w:marBottom w:val="0"/>
              <w:divBdr>
                <w:top w:val="none" w:sz="0" w:space="0" w:color="auto"/>
                <w:left w:val="none" w:sz="0" w:space="0" w:color="auto"/>
                <w:bottom w:val="none" w:sz="0" w:space="0" w:color="auto"/>
                <w:right w:val="none" w:sz="0" w:space="0" w:color="auto"/>
              </w:divBdr>
            </w:div>
            <w:div w:id="936064038">
              <w:marLeft w:val="0"/>
              <w:marRight w:val="0"/>
              <w:marTop w:val="0"/>
              <w:marBottom w:val="0"/>
              <w:divBdr>
                <w:top w:val="none" w:sz="0" w:space="0" w:color="auto"/>
                <w:left w:val="none" w:sz="0" w:space="0" w:color="auto"/>
                <w:bottom w:val="none" w:sz="0" w:space="0" w:color="auto"/>
                <w:right w:val="none" w:sz="0" w:space="0" w:color="auto"/>
              </w:divBdr>
            </w:div>
            <w:div w:id="1000423402">
              <w:marLeft w:val="0"/>
              <w:marRight w:val="0"/>
              <w:marTop w:val="0"/>
              <w:marBottom w:val="0"/>
              <w:divBdr>
                <w:top w:val="none" w:sz="0" w:space="0" w:color="auto"/>
                <w:left w:val="none" w:sz="0" w:space="0" w:color="auto"/>
                <w:bottom w:val="none" w:sz="0" w:space="0" w:color="auto"/>
                <w:right w:val="none" w:sz="0" w:space="0" w:color="auto"/>
              </w:divBdr>
            </w:div>
            <w:div w:id="1166019834">
              <w:marLeft w:val="0"/>
              <w:marRight w:val="0"/>
              <w:marTop w:val="0"/>
              <w:marBottom w:val="0"/>
              <w:divBdr>
                <w:top w:val="none" w:sz="0" w:space="0" w:color="auto"/>
                <w:left w:val="none" w:sz="0" w:space="0" w:color="auto"/>
                <w:bottom w:val="none" w:sz="0" w:space="0" w:color="auto"/>
                <w:right w:val="none" w:sz="0" w:space="0" w:color="auto"/>
              </w:divBdr>
            </w:div>
            <w:div w:id="1266963275">
              <w:marLeft w:val="0"/>
              <w:marRight w:val="0"/>
              <w:marTop w:val="0"/>
              <w:marBottom w:val="0"/>
              <w:divBdr>
                <w:top w:val="none" w:sz="0" w:space="0" w:color="auto"/>
                <w:left w:val="none" w:sz="0" w:space="0" w:color="auto"/>
                <w:bottom w:val="none" w:sz="0" w:space="0" w:color="auto"/>
                <w:right w:val="none" w:sz="0" w:space="0" w:color="auto"/>
              </w:divBdr>
            </w:div>
            <w:div w:id="1310590912">
              <w:marLeft w:val="0"/>
              <w:marRight w:val="0"/>
              <w:marTop w:val="0"/>
              <w:marBottom w:val="0"/>
              <w:divBdr>
                <w:top w:val="none" w:sz="0" w:space="0" w:color="auto"/>
                <w:left w:val="none" w:sz="0" w:space="0" w:color="auto"/>
                <w:bottom w:val="none" w:sz="0" w:space="0" w:color="auto"/>
                <w:right w:val="none" w:sz="0" w:space="0" w:color="auto"/>
              </w:divBdr>
            </w:div>
            <w:div w:id="1405178840">
              <w:marLeft w:val="0"/>
              <w:marRight w:val="0"/>
              <w:marTop w:val="0"/>
              <w:marBottom w:val="0"/>
              <w:divBdr>
                <w:top w:val="none" w:sz="0" w:space="0" w:color="auto"/>
                <w:left w:val="none" w:sz="0" w:space="0" w:color="auto"/>
                <w:bottom w:val="none" w:sz="0" w:space="0" w:color="auto"/>
                <w:right w:val="none" w:sz="0" w:space="0" w:color="auto"/>
              </w:divBdr>
            </w:div>
            <w:div w:id="1412198563">
              <w:marLeft w:val="0"/>
              <w:marRight w:val="0"/>
              <w:marTop w:val="0"/>
              <w:marBottom w:val="0"/>
              <w:divBdr>
                <w:top w:val="none" w:sz="0" w:space="0" w:color="auto"/>
                <w:left w:val="none" w:sz="0" w:space="0" w:color="auto"/>
                <w:bottom w:val="none" w:sz="0" w:space="0" w:color="auto"/>
                <w:right w:val="none" w:sz="0" w:space="0" w:color="auto"/>
              </w:divBdr>
            </w:div>
            <w:div w:id="1460874550">
              <w:marLeft w:val="0"/>
              <w:marRight w:val="0"/>
              <w:marTop w:val="0"/>
              <w:marBottom w:val="0"/>
              <w:divBdr>
                <w:top w:val="none" w:sz="0" w:space="0" w:color="auto"/>
                <w:left w:val="none" w:sz="0" w:space="0" w:color="auto"/>
                <w:bottom w:val="none" w:sz="0" w:space="0" w:color="auto"/>
                <w:right w:val="none" w:sz="0" w:space="0" w:color="auto"/>
              </w:divBdr>
            </w:div>
            <w:div w:id="1464885247">
              <w:marLeft w:val="0"/>
              <w:marRight w:val="0"/>
              <w:marTop w:val="0"/>
              <w:marBottom w:val="0"/>
              <w:divBdr>
                <w:top w:val="none" w:sz="0" w:space="0" w:color="auto"/>
                <w:left w:val="none" w:sz="0" w:space="0" w:color="auto"/>
                <w:bottom w:val="none" w:sz="0" w:space="0" w:color="auto"/>
                <w:right w:val="none" w:sz="0" w:space="0" w:color="auto"/>
              </w:divBdr>
            </w:div>
            <w:div w:id="1864130071">
              <w:marLeft w:val="0"/>
              <w:marRight w:val="0"/>
              <w:marTop w:val="0"/>
              <w:marBottom w:val="0"/>
              <w:divBdr>
                <w:top w:val="none" w:sz="0" w:space="0" w:color="auto"/>
                <w:left w:val="none" w:sz="0" w:space="0" w:color="auto"/>
                <w:bottom w:val="none" w:sz="0" w:space="0" w:color="auto"/>
                <w:right w:val="none" w:sz="0" w:space="0" w:color="auto"/>
              </w:divBdr>
            </w:div>
            <w:div w:id="1879466189">
              <w:marLeft w:val="0"/>
              <w:marRight w:val="0"/>
              <w:marTop w:val="0"/>
              <w:marBottom w:val="0"/>
              <w:divBdr>
                <w:top w:val="none" w:sz="0" w:space="0" w:color="auto"/>
                <w:left w:val="none" w:sz="0" w:space="0" w:color="auto"/>
                <w:bottom w:val="none" w:sz="0" w:space="0" w:color="auto"/>
                <w:right w:val="none" w:sz="0" w:space="0" w:color="auto"/>
              </w:divBdr>
            </w:div>
            <w:div w:id="2052992383">
              <w:marLeft w:val="0"/>
              <w:marRight w:val="0"/>
              <w:marTop w:val="0"/>
              <w:marBottom w:val="0"/>
              <w:divBdr>
                <w:top w:val="none" w:sz="0" w:space="0" w:color="auto"/>
                <w:left w:val="none" w:sz="0" w:space="0" w:color="auto"/>
                <w:bottom w:val="none" w:sz="0" w:space="0" w:color="auto"/>
                <w:right w:val="none" w:sz="0" w:space="0" w:color="auto"/>
              </w:divBdr>
            </w:div>
            <w:div w:id="2112628415">
              <w:marLeft w:val="0"/>
              <w:marRight w:val="0"/>
              <w:marTop w:val="0"/>
              <w:marBottom w:val="0"/>
              <w:divBdr>
                <w:top w:val="none" w:sz="0" w:space="0" w:color="auto"/>
                <w:left w:val="none" w:sz="0" w:space="0" w:color="auto"/>
                <w:bottom w:val="none" w:sz="0" w:space="0" w:color="auto"/>
                <w:right w:val="none" w:sz="0" w:space="0" w:color="auto"/>
              </w:divBdr>
            </w:div>
          </w:divsChild>
        </w:div>
        <w:div w:id="225455751">
          <w:marLeft w:val="0"/>
          <w:marRight w:val="0"/>
          <w:marTop w:val="0"/>
          <w:marBottom w:val="0"/>
          <w:divBdr>
            <w:top w:val="none" w:sz="0" w:space="0" w:color="auto"/>
            <w:left w:val="none" w:sz="0" w:space="0" w:color="auto"/>
            <w:bottom w:val="none" w:sz="0" w:space="0" w:color="auto"/>
            <w:right w:val="none" w:sz="0" w:space="0" w:color="auto"/>
          </w:divBdr>
          <w:divsChild>
            <w:div w:id="2079593090">
              <w:marLeft w:val="-75"/>
              <w:marRight w:val="0"/>
              <w:marTop w:val="30"/>
              <w:marBottom w:val="30"/>
              <w:divBdr>
                <w:top w:val="none" w:sz="0" w:space="0" w:color="auto"/>
                <w:left w:val="none" w:sz="0" w:space="0" w:color="auto"/>
                <w:bottom w:val="none" w:sz="0" w:space="0" w:color="auto"/>
                <w:right w:val="none" w:sz="0" w:space="0" w:color="auto"/>
              </w:divBdr>
              <w:divsChild>
                <w:div w:id="96098130">
                  <w:marLeft w:val="0"/>
                  <w:marRight w:val="0"/>
                  <w:marTop w:val="0"/>
                  <w:marBottom w:val="0"/>
                  <w:divBdr>
                    <w:top w:val="none" w:sz="0" w:space="0" w:color="auto"/>
                    <w:left w:val="none" w:sz="0" w:space="0" w:color="auto"/>
                    <w:bottom w:val="none" w:sz="0" w:space="0" w:color="auto"/>
                    <w:right w:val="none" w:sz="0" w:space="0" w:color="auto"/>
                  </w:divBdr>
                  <w:divsChild>
                    <w:div w:id="776102419">
                      <w:marLeft w:val="0"/>
                      <w:marRight w:val="0"/>
                      <w:marTop w:val="0"/>
                      <w:marBottom w:val="0"/>
                      <w:divBdr>
                        <w:top w:val="none" w:sz="0" w:space="0" w:color="auto"/>
                        <w:left w:val="none" w:sz="0" w:space="0" w:color="auto"/>
                        <w:bottom w:val="none" w:sz="0" w:space="0" w:color="auto"/>
                        <w:right w:val="none" w:sz="0" w:space="0" w:color="auto"/>
                      </w:divBdr>
                    </w:div>
                  </w:divsChild>
                </w:div>
                <w:div w:id="197207330">
                  <w:marLeft w:val="0"/>
                  <w:marRight w:val="0"/>
                  <w:marTop w:val="0"/>
                  <w:marBottom w:val="0"/>
                  <w:divBdr>
                    <w:top w:val="none" w:sz="0" w:space="0" w:color="auto"/>
                    <w:left w:val="none" w:sz="0" w:space="0" w:color="auto"/>
                    <w:bottom w:val="none" w:sz="0" w:space="0" w:color="auto"/>
                    <w:right w:val="none" w:sz="0" w:space="0" w:color="auto"/>
                  </w:divBdr>
                  <w:divsChild>
                    <w:div w:id="1873956830">
                      <w:marLeft w:val="0"/>
                      <w:marRight w:val="0"/>
                      <w:marTop w:val="0"/>
                      <w:marBottom w:val="0"/>
                      <w:divBdr>
                        <w:top w:val="none" w:sz="0" w:space="0" w:color="auto"/>
                        <w:left w:val="none" w:sz="0" w:space="0" w:color="auto"/>
                        <w:bottom w:val="none" w:sz="0" w:space="0" w:color="auto"/>
                        <w:right w:val="none" w:sz="0" w:space="0" w:color="auto"/>
                      </w:divBdr>
                    </w:div>
                  </w:divsChild>
                </w:div>
                <w:div w:id="243884356">
                  <w:marLeft w:val="0"/>
                  <w:marRight w:val="0"/>
                  <w:marTop w:val="0"/>
                  <w:marBottom w:val="0"/>
                  <w:divBdr>
                    <w:top w:val="none" w:sz="0" w:space="0" w:color="auto"/>
                    <w:left w:val="none" w:sz="0" w:space="0" w:color="auto"/>
                    <w:bottom w:val="none" w:sz="0" w:space="0" w:color="auto"/>
                    <w:right w:val="none" w:sz="0" w:space="0" w:color="auto"/>
                  </w:divBdr>
                  <w:divsChild>
                    <w:div w:id="1584146048">
                      <w:marLeft w:val="0"/>
                      <w:marRight w:val="0"/>
                      <w:marTop w:val="0"/>
                      <w:marBottom w:val="0"/>
                      <w:divBdr>
                        <w:top w:val="none" w:sz="0" w:space="0" w:color="auto"/>
                        <w:left w:val="none" w:sz="0" w:space="0" w:color="auto"/>
                        <w:bottom w:val="none" w:sz="0" w:space="0" w:color="auto"/>
                        <w:right w:val="none" w:sz="0" w:space="0" w:color="auto"/>
                      </w:divBdr>
                    </w:div>
                  </w:divsChild>
                </w:div>
                <w:div w:id="308246219">
                  <w:marLeft w:val="0"/>
                  <w:marRight w:val="0"/>
                  <w:marTop w:val="0"/>
                  <w:marBottom w:val="0"/>
                  <w:divBdr>
                    <w:top w:val="none" w:sz="0" w:space="0" w:color="auto"/>
                    <w:left w:val="none" w:sz="0" w:space="0" w:color="auto"/>
                    <w:bottom w:val="none" w:sz="0" w:space="0" w:color="auto"/>
                    <w:right w:val="none" w:sz="0" w:space="0" w:color="auto"/>
                  </w:divBdr>
                  <w:divsChild>
                    <w:div w:id="765156833">
                      <w:marLeft w:val="0"/>
                      <w:marRight w:val="0"/>
                      <w:marTop w:val="0"/>
                      <w:marBottom w:val="0"/>
                      <w:divBdr>
                        <w:top w:val="none" w:sz="0" w:space="0" w:color="auto"/>
                        <w:left w:val="none" w:sz="0" w:space="0" w:color="auto"/>
                        <w:bottom w:val="none" w:sz="0" w:space="0" w:color="auto"/>
                        <w:right w:val="none" w:sz="0" w:space="0" w:color="auto"/>
                      </w:divBdr>
                    </w:div>
                  </w:divsChild>
                </w:div>
                <w:div w:id="397241739">
                  <w:marLeft w:val="0"/>
                  <w:marRight w:val="0"/>
                  <w:marTop w:val="0"/>
                  <w:marBottom w:val="0"/>
                  <w:divBdr>
                    <w:top w:val="none" w:sz="0" w:space="0" w:color="auto"/>
                    <w:left w:val="none" w:sz="0" w:space="0" w:color="auto"/>
                    <w:bottom w:val="none" w:sz="0" w:space="0" w:color="auto"/>
                    <w:right w:val="none" w:sz="0" w:space="0" w:color="auto"/>
                  </w:divBdr>
                  <w:divsChild>
                    <w:div w:id="558975966">
                      <w:marLeft w:val="0"/>
                      <w:marRight w:val="0"/>
                      <w:marTop w:val="0"/>
                      <w:marBottom w:val="0"/>
                      <w:divBdr>
                        <w:top w:val="none" w:sz="0" w:space="0" w:color="auto"/>
                        <w:left w:val="none" w:sz="0" w:space="0" w:color="auto"/>
                        <w:bottom w:val="none" w:sz="0" w:space="0" w:color="auto"/>
                        <w:right w:val="none" w:sz="0" w:space="0" w:color="auto"/>
                      </w:divBdr>
                    </w:div>
                  </w:divsChild>
                </w:div>
                <w:div w:id="414787725">
                  <w:marLeft w:val="0"/>
                  <w:marRight w:val="0"/>
                  <w:marTop w:val="0"/>
                  <w:marBottom w:val="0"/>
                  <w:divBdr>
                    <w:top w:val="none" w:sz="0" w:space="0" w:color="auto"/>
                    <w:left w:val="none" w:sz="0" w:space="0" w:color="auto"/>
                    <w:bottom w:val="none" w:sz="0" w:space="0" w:color="auto"/>
                    <w:right w:val="none" w:sz="0" w:space="0" w:color="auto"/>
                  </w:divBdr>
                  <w:divsChild>
                    <w:div w:id="105663234">
                      <w:marLeft w:val="0"/>
                      <w:marRight w:val="0"/>
                      <w:marTop w:val="0"/>
                      <w:marBottom w:val="0"/>
                      <w:divBdr>
                        <w:top w:val="none" w:sz="0" w:space="0" w:color="auto"/>
                        <w:left w:val="none" w:sz="0" w:space="0" w:color="auto"/>
                        <w:bottom w:val="none" w:sz="0" w:space="0" w:color="auto"/>
                        <w:right w:val="none" w:sz="0" w:space="0" w:color="auto"/>
                      </w:divBdr>
                    </w:div>
                  </w:divsChild>
                </w:div>
                <w:div w:id="419645476">
                  <w:marLeft w:val="0"/>
                  <w:marRight w:val="0"/>
                  <w:marTop w:val="0"/>
                  <w:marBottom w:val="0"/>
                  <w:divBdr>
                    <w:top w:val="none" w:sz="0" w:space="0" w:color="auto"/>
                    <w:left w:val="none" w:sz="0" w:space="0" w:color="auto"/>
                    <w:bottom w:val="none" w:sz="0" w:space="0" w:color="auto"/>
                    <w:right w:val="none" w:sz="0" w:space="0" w:color="auto"/>
                  </w:divBdr>
                  <w:divsChild>
                    <w:div w:id="1856991921">
                      <w:marLeft w:val="0"/>
                      <w:marRight w:val="0"/>
                      <w:marTop w:val="0"/>
                      <w:marBottom w:val="0"/>
                      <w:divBdr>
                        <w:top w:val="none" w:sz="0" w:space="0" w:color="auto"/>
                        <w:left w:val="none" w:sz="0" w:space="0" w:color="auto"/>
                        <w:bottom w:val="none" w:sz="0" w:space="0" w:color="auto"/>
                        <w:right w:val="none" w:sz="0" w:space="0" w:color="auto"/>
                      </w:divBdr>
                    </w:div>
                  </w:divsChild>
                </w:div>
                <w:div w:id="497187477">
                  <w:marLeft w:val="0"/>
                  <w:marRight w:val="0"/>
                  <w:marTop w:val="0"/>
                  <w:marBottom w:val="0"/>
                  <w:divBdr>
                    <w:top w:val="none" w:sz="0" w:space="0" w:color="auto"/>
                    <w:left w:val="none" w:sz="0" w:space="0" w:color="auto"/>
                    <w:bottom w:val="none" w:sz="0" w:space="0" w:color="auto"/>
                    <w:right w:val="none" w:sz="0" w:space="0" w:color="auto"/>
                  </w:divBdr>
                  <w:divsChild>
                    <w:div w:id="1033653234">
                      <w:marLeft w:val="0"/>
                      <w:marRight w:val="0"/>
                      <w:marTop w:val="0"/>
                      <w:marBottom w:val="0"/>
                      <w:divBdr>
                        <w:top w:val="none" w:sz="0" w:space="0" w:color="auto"/>
                        <w:left w:val="none" w:sz="0" w:space="0" w:color="auto"/>
                        <w:bottom w:val="none" w:sz="0" w:space="0" w:color="auto"/>
                        <w:right w:val="none" w:sz="0" w:space="0" w:color="auto"/>
                      </w:divBdr>
                    </w:div>
                  </w:divsChild>
                </w:div>
                <w:div w:id="540823000">
                  <w:marLeft w:val="0"/>
                  <w:marRight w:val="0"/>
                  <w:marTop w:val="0"/>
                  <w:marBottom w:val="0"/>
                  <w:divBdr>
                    <w:top w:val="none" w:sz="0" w:space="0" w:color="auto"/>
                    <w:left w:val="none" w:sz="0" w:space="0" w:color="auto"/>
                    <w:bottom w:val="none" w:sz="0" w:space="0" w:color="auto"/>
                    <w:right w:val="none" w:sz="0" w:space="0" w:color="auto"/>
                  </w:divBdr>
                  <w:divsChild>
                    <w:div w:id="1997176234">
                      <w:marLeft w:val="0"/>
                      <w:marRight w:val="0"/>
                      <w:marTop w:val="0"/>
                      <w:marBottom w:val="0"/>
                      <w:divBdr>
                        <w:top w:val="none" w:sz="0" w:space="0" w:color="auto"/>
                        <w:left w:val="none" w:sz="0" w:space="0" w:color="auto"/>
                        <w:bottom w:val="none" w:sz="0" w:space="0" w:color="auto"/>
                        <w:right w:val="none" w:sz="0" w:space="0" w:color="auto"/>
                      </w:divBdr>
                    </w:div>
                  </w:divsChild>
                </w:div>
                <w:div w:id="556474372">
                  <w:marLeft w:val="0"/>
                  <w:marRight w:val="0"/>
                  <w:marTop w:val="0"/>
                  <w:marBottom w:val="0"/>
                  <w:divBdr>
                    <w:top w:val="none" w:sz="0" w:space="0" w:color="auto"/>
                    <w:left w:val="none" w:sz="0" w:space="0" w:color="auto"/>
                    <w:bottom w:val="none" w:sz="0" w:space="0" w:color="auto"/>
                    <w:right w:val="none" w:sz="0" w:space="0" w:color="auto"/>
                  </w:divBdr>
                  <w:divsChild>
                    <w:div w:id="1174420201">
                      <w:marLeft w:val="0"/>
                      <w:marRight w:val="0"/>
                      <w:marTop w:val="0"/>
                      <w:marBottom w:val="0"/>
                      <w:divBdr>
                        <w:top w:val="none" w:sz="0" w:space="0" w:color="auto"/>
                        <w:left w:val="none" w:sz="0" w:space="0" w:color="auto"/>
                        <w:bottom w:val="none" w:sz="0" w:space="0" w:color="auto"/>
                        <w:right w:val="none" w:sz="0" w:space="0" w:color="auto"/>
                      </w:divBdr>
                    </w:div>
                  </w:divsChild>
                </w:div>
                <w:div w:id="568423526">
                  <w:marLeft w:val="0"/>
                  <w:marRight w:val="0"/>
                  <w:marTop w:val="0"/>
                  <w:marBottom w:val="0"/>
                  <w:divBdr>
                    <w:top w:val="none" w:sz="0" w:space="0" w:color="auto"/>
                    <w:left w:val="none" w:sz="0" w:space="0" w:color="auto"/>
                    <w:bottom w:val="none" w:sz="0" w:space="0" w:color="auto"/>
                    <w:right w:val="none" w:sz="0" w:space="0" w:color="auto"/>
                  </w:divBdr>
                  <w:divsChild>
                    <w:div w:id="1808668658">
                      <w:marLeft w:val="0"/>
                      <w:marRight w:val="0"/>
                      <w:marTop w:val="0"/>
                      <w:marBottom w:val="0"/>
                      <w:divBdr>
                        <w:top w:val="none" w:sz="0" w:space="0" w:color="auto"/>
                        <w:left w:val="none" w:sz="0" w:space="0" w:color="auto"/>
                        <w:bottom w:val="none" w:sz="0" w:space="0" w:color="auto"/>
                        <w:right w:val="none" w:sz="0" w:space="0" w:color="auto"/>
                      </w:divBdr>
                    </w:div>
                  </w:divsChild>
                </w:div>
                <w:div w:id="670108035">
                  <w:marLeft w:val="0"/>
                  <w:marRight w:val="0"/>
                  <w:marTop w:val="0"/>
                  <w:marBottom w:val="0"/>
                  <w:divBdr>
                    <w:top w:val="none" w:sz="0" w:space="0" w:color="auto"/>
                    <w:left w:val="none" w:sz="0" w:space="0" w:color="auto"/>
                    <w:bottom w:val="none" w:sz="0" w:space="0" w:color="auto"/>
                    <w:right w:val="none" w:sz="0" w:space="0" w:color="auto"/>
                  </w:divBdr>
                  <w:divsChild>
                    <w:div w:id="172765125">
                      <w:marLeft w:val="0"/>
                      <w:marRight w:val="0"/>
                      <w:marTop w:val="0"/>
                      <w:marBottom w:val="0"/>
                      <w:divBdr>
                        <w:top w:val="none" w:sz="0" w:space="0" w:color="auto"/>
                        <w:left w:val="none" w:sz="0" w:space="0" w:color="auto"/>
                        <w:bottom w:val="none" w:sz="0" w:space="0" w:color="auto"/>
                        <w:right w:val="none" w:sz="0" w:space="0" w:color="auto"/>
                      </w:divBdr>
                    </w:div>
                  </w:divsChild>
                </w:div>
                <w:div w:id="735737811">
                  <w:marLeft w:val="0"/>
                  <w:marRight w:val="0"/>
                  <w:marTop w:val="0"/>
                  <w:marBottom w:val="0"/>
                  <w:divBdr>
                    <w:top w:val="none" w:sz="0" w:space="0" w:color="auto"/>
                    <w:left w:val="none" w:sz="0" w:space="0" w:color="auto"/>
                    <w:bottom w:val="none" w:sz="0" w:space="0" w:color="auto"/>
                    <w:right w:val="none" w:sz="0" w:space="0" w:color="auto"/>
                  </w:divBdr>
                  <w:divsChild>
                    <w:div w:id="549540556">
                      <w:marLeft w:val="0"/>
                      <w:marRight w:val="0"/>
                      <w:marTop w:val="0"/>
                      <w:marBottom w:val="0"/>
                      <w:divBdr>
                        <w:top w:val="none" w:sz="0" w:space="0" w:color="auto"/>
                        <w:left w:val="none" w:sz="0" w:space="0" w:color="auto"/>
                        <w:bottom w:val="none" w:sz="0" w:space="0" w:color="auto"/>
                        <w:right w:val="none" w:sz="0" w:space="0" w:color="auto"/>
                      </w:divBdr>
                    </w:div>
                    <w:div w:id="2023898905">
                      <w:marLeft w:val="0"/>
                      <w:marRight w:val="0"/>
                      <w:marTop w:val="0"/>
                      <w:marBottom w:val="0"/>
                      <w:divBdr>
                        <w:top w:val="none" w:sz="0" w:space="0" w:color="auto"/>
                        <w:left w:val="none" w:sz="0" w:space="0" w:color="auto"/>
                        <w:bottom w:val="none" w:sz="0" w:space="0" w:color="auto"/>
                        <w:right w:val="none" w:sz="0" w:space="0" w:color="auto"/>
                      </w:divBdr>
                    </w:div>
                  </w:divsChild>
                </w:div>
                <w:div w:id="771825589">
                  <w:marLeft w:val="0"/>
                  <w:marRight w:val="0"/>
                  <w:marTop w:val="0"/>
                  <w:marBottom w:val="0"/>
                  <w:divBdr>
                    <w:top w:val="none" w:sz="0" w:space="0" w:color="auto"/>
                    <w:left w:val="none" w:sz="0" w:space="0" w:color="auto"/>
                    <w:bottom w:val="none" w:sz="0" w:space="0" w:color="auto"/>
                    <w:right w:val="none" w:sz="0" w:space="0" w:color="auto"/>
                  </w:divBdr>
                  <w:divsChild>
                    <w:div w:id="98793862">
                      <w:marLeft w:val="0"/>
                      <w:marRight w:val="0"/>
                      <w:marTop w:val="0"/>
                      <w:marBottom w:val="0"/>
                      <w:divBdr>
                        <w:top w:val="none" w:sz="0" w:space="0" w:color="auto"/>
                        <w:left w:val="none" w:sz="0" w:space="0" w:color="auto"/>
                        <w:bottom w:val="none" w:sz="0" w:space="0" w:color="auto"/>
                        <w:right w:val="none" w:sz="0" w:space="0" w:color="auto"/>
                      </w:divBdr>
                    </w:div>
                  </w:divsChild>
                </w:div>
                <w:div w:id="803431176">
                  <w:marLeft w:val="0"/>
                  <w:marRight w:val="0"/>
                  <w:marTop w:val="0"/>
                  <w:marBottom w:val="0"/>
                  <w:divBdr>
                    <w:top w:val="none" w:sz="0" w:space="0" w:color="auto"/>
                    <w:left w:val="none" w:sz="0" w:space="0" w:color="auto"/>
                    <w:bottom w:val="none" w:sz="0" w:space="0" w:color="auto"/>
                    <w:right w:val="none" w:sz="0" w:space="0" w:color="auto"/>
                  </w:divBdr>
                  <w:divsChild>
                    <w:div w:id="1046371672">
                      <w:marLeft w:val="0"/>
                      <w:marRight w:val="0"/>
                      <w:marTop w:val="0"/>
                      <w:marBottom w:val="0"/>
                      <w:divBdr>
                        <w:top w:val="none" w:sz="0" w:space="0" w:color="auto"/>
                        <w:left w:val="none" w:sz="0" w:space="0" w:color="auto"/>
                        <w:bottom w:val="none" w:sz="0" w:space="0" w:color="auto"/>
                        <w:right w:val="none" w:sz="0" w:space="0" w:color="auto"/>
                      </w:divBdr>
                    </w:div>
                  </w:divsChild>
                </w:div>
                <w:div w:id="820535867">
                  <w:marLeft w:val="0"/>
                  <w:marRight w:val="0"/>
                  <w:marTop w:val="0"/>
                  <w:marBottom w:val="0"/>
                  <w:divBdr>
                    <w:top w:val="none" w:sz="0" w:space="0" w:color="auto"/>
                    <w:left w:val="none" w:sz="0" w:space="0" w:color="auto"/>
                    <w:bottom w:val="none" w:sz="0" w:space="0" w:color="auto"/>
                    <w:right w:val="none" w:sz="0" w:space="0" w:color="auto"/>
                  </w:divBdr>
                  <w:divsChild>
                    <w:div w:id="1469475068">
                      <w:marLeft w:val="0"/>
                      <w:marRight w:val="0"/>
                      <w:marTop w:val="0"/>
                      <w:marBottom w:val="0"/>
                      <w:divBdr>
                        <w:top w:val="none" w:sz="0" w:space="0" w:color="auto"/>
                        <w:left w:val="none" w:sz="0" w:space="0" w:color="auto"/>
                        <w:bottom w:val="none" w:sz="0" w:space="0" w:color="auto"/>
                        <w:right w:val="none" w:sz="0" w:space="0" w:color="auto"/>
                      </w:divBdr>
                    </w:div>
                  </w:divsChild>
                </w:div>
                <w:div w:id="832918116">
                  <w:marLeft w:val="0"/>
                  <w:marRight w:val="0"/>
                  <w:marTop w:val="0"/>
                  <w:marBottom w:val="0"/>
                  <w:divBdr>
                    <w:top w:val="none" w:sz="0" w:space="0" w:color="auto"/>
                    <w:left w:val="none" w:sz="0" w:space="0" w:color="auto"/>
                    <w:bottom w:val="none" w:sz="0" w:space="0" w:color="auto"/>
                    <w:right w:val="none" w:sz="0" w:space="0" w:color="auto"/>
                  </w:divBdr>
                  <w:divsChild>
                    <w:div w:id="1014772777">
                      <w:marLeft w:val="0"/>
                      <w:marRight w:val="0"/>
                      <w:marTop w:val="0"/>
                      <w:marBottom w:val="0"/>
                      <w:divBdr>
                        <w:top w:val="none" w:sz="0" w:space="0" w:color="auto"/>
                        <w:left w:val="none" w:sz="0" w:space="0" w:color="auto"/>
                        <w:bottom w:val="none" w:sz="0" w:space="0" w:color="auto"/>
                        <w:right w:val="none" w:sz="0" w:space="0" w:color="auto"/>
                      </w:divBdr>
                    </w:div>
                  </w:divsChild>
                </w:div>
                <w:div w:id="865756510">
                  <w:marLeft w:val="0"/>
                  <w:marRight w:val="0"/>
                  <w:marTop w:val="0"/>
                  <w:marBottom w:val="0"/>
                  <w:divBdr>
                    <w:top w:val="none" w:sz="0" w:space="0" w:color="auto"/>
                    <w:left w:val="none" w:sz="0" w:space="0" w:color="auto"/>
                    <w:bottom w:val="none" w:sz="0" w:space="0" w:color="auto"/>
                    <w:right w:val="none" w:sz="0" w:space="0" w:color="auto"/>
                  </w:divBdr>
                  <w:divsChild>
                    <w:div w:id="580219726">
                      <w:marLeft w:val="0"/>
                      <w:marRight w:val="0"/>
                      <w:marTop w:val="0"/>
                      <w:marBottom w:val="0"/>
                      <w:divBdr>
                        <w:top w:val="none" w:sz="0" w:space="0" w:color="auto"/>
                        <w:left w:val="none" w:sz="0" w:space="0" w:color="auto"/>
                        <w:bottom w:val="none" w:sz="0" w:space="0" w:color="auto"/>
                        <w:right w:val="none" w:sz="0" w:space="0" w:color="auto"/>
                      </w:divBdr>
                    </w:div>
                  </w:divsChild>
                </w:div>
                <w:div w:id="881526521">
                  <w:marLeft w:val="0"/>
                  <w:marRight w:val="0"/>
                  <w:marTop w:val="0"/>
                  <w:marBottom w:val="0"/>
                  <w:divBdr>
                    <w:top w:val="none" w:sz="0" w:space="0" w:color="auto"/>
                    <w:left w:val="none" w:sz="0" w:space="0" w:color="auto"/>
                    <w:bottom w:val="none" w:sz="0" w:space="0" w:color="auto"/>
                    <w:right w:val="none" w:sz="0" w:space="0" w:color="auto"/>
                  </w:divBdr>
                  <w:divsChild>
                    <w:div w:id="537471797">
                      <w:marLeft w:val="0"/>
                      <w:marRight w:val="0"/>
                      <w:marTop w:val="0"/>
                      <w:marBottom w:val="0"/>
                      <w:divBdr>
                        <w:top w:val="none" w:sz="0" w:space="0" w:color="auto"/>
                        <w:left w:val="none" w:sz="0" w:space="0" w:color="auto"/>
                        <w:bottom w:val="none" w:sz="0" w:space="0" w:color="auto"/>
                        <w:right w:val="none" w:sz="0" w:space="0" w:color="auto"/>
                      </w:divBdr>
                    </w:div>
                  </w:divsChild>
                </w:div>
                <w:div w:id="955714310">
                  <w:marLeft w:val="0"/>
                  <w:marRight w:val="0"/>
                  <w:marTop w:val="0"/>
                  <w:marBottom w:val="0"/>
                  <w:divBdr>
                    <w:top w:val="none" w:sz="0" w:space="0" w:color="auto"/>
                    <w:left w:val="none" w:sz="0" w:space="0" w:color="auto"/>
                    <w:bottom w:val="none" w:sz="0" w:space="0" w:color="auto"/>
                    <w:right w:val="none" w:sz="0" w:space="0" w:color="auto"/>
                  </w:divBdr>
                  <w:divsChild>
                    <w:div w:id="1425688232">
                      <w:marLeft w:val="0"/>
                      <w:marRight w:val="0"/>
                      <w:marTop w:val="0"/>
                      <w:marBottom w:val="0"/>
                      <w:divBdr>
                        <w:top w:val="none" w:sz="0" w:space="0" w:color="auto"/>
                        <w:left w:val="none" w:sz="0" w:space="0" w:color="auto"/>
                        <w:bottom w:val="none" w:sz="0" w:space="0" w:color="auto"/>
                        <w:right w:val="none" w:sz="0" w:space="0" w:color="auto"/>
                      </w:divBdr>
                    </w:div>
                  </w:divsChild>
                </w:div>
                <w:div w:id="1045562369">
                  <w:marLeft w:val="0"/>
                  <w:marRight w:val="0"/>
                  <w:marTop w:val="0"/>
                  <w:marBottom w:val="0"/>
                  <w:divBdr>
                    <w:top w:val="none" w:sz="0" w:space="0" w:color="auto"/>
                    <w:left w:val="none" w:sz="0" w:space="0" w:color="auto"/>
                    <w:bottom w:val="none" w:sz="0" w:space="0" w:color="auto"/>
                    <w:right w:val="none" w:sz="0" w:space="0" w:color="auto"/>
                  </w:divBdr>
                  <w:divsChild>
                    <w:div w:id="683019947">
                      <w:marLeft w:val="0"/>
                      <w:marRight w:val="0"/>
                      <w:marTop w:val="0"/>
                      <w:marBottom w:val="0"/>
                      <w:divBdr>
                        <w:top w:val="none" w:sz="0" w:space="0" w:color="auto"/>
                        <w:left w:val="none" w:sz="0" w:space="0" w:color="auto"/>
                        <w:bottom w:val="none" w:sz="0" w:space="0" w:color="auto"/>
                        <w:right w:val="none" w:sz="0" w:space="0" w:color="auto"/>
                      </w:divBdr>
                    </w:div>
                  </w:divsChild>
                </w:div>
                <w:div w:id="1098981800">
                  <w:marLeft w:val="0"/>
                  <w:marRight w:val="0"/>
                  <w:marTop w:val="0"/>
                  <w:marBottom w:val="0"/>
                  <w:divBdr>
                    <w:top w:val="none" w:sz="0" w:space="0" w:color="auto"/>
                    <w:left w:val="none" w:sz="0" w:space="0" w:color="auto"/>
                    <w:bottom w:val="none" w:sz="0" w:space="0" w:color="auto"/>
                    <w:right w:val="none" w:sz="0" w:space="0" w:color="auto"/>
                  </w:divBdr>
                  <w:divsChild>
                    <w:div w:id="2009558035">
                      <w:marLeft w:val="0"/>
                      <w:marRight w:val="0"/>
                      <w:marTop w:val="0"/>
                      <w:marBottom w:val="0"/>
                      <w:divBdr>
                        <w:top w:val="none" w:sz="0" w:space="0" w:color="auto"/>
                        <w:left w:val="none" w:sz="0" w:space="0" w:color="auto"/>
                        <w:bottom w:val="none" w:sz="0" w:space="0" w:color="auto"/>
                        <w:right w:val="none" w:sz="0" w:space="0" w:color="auto"/>
                      </w:divBdr>
                    </w:div>
                  </w:divsChild>
                </w:div>
                <w:div w:id="1111047569">
                  <w:marLeft w:val="0"/>
                  <w:marRight w:val="0"/>
                  <w:marTop w:val="0"/>
                  <w:marBottom w:val="0"/>
                  <w:divBdr>
                    <w:top w:val="none" w:sz="0" w:space="0" w:color="auto"/>
                    <w:left w:val="none" w:sz="0" w:space="0" w:color="auto"/>
                    <w:bottom w:val="none" w:sz="0" w:space="0" w:color="auto"/>
                    <w:right w:val="none" w:sz="0" w:space="0" w:color="auto"/>
                  </w:divBdr>
                  <w:divsChild>
                    <w:div w:id="1220749783">
                      <w:marLeft w:val="0"/>
                      <w:marRight w:val="0"/>
                      <w:marTop w:val="0"/>
                      <w:marBottom w:val="0"/>
                      <w:divBdr>
                        <w:top w:val="none" w:sz="0" w:space="0" w:color="auto"/>
                        <w:left w:val="none" w:sz="0" w:space="0" w:color="auto"/>
                        <w:bottom w:val="none" w:sz="0" w:space="0" w:color="auto"/>
                        <w:right w:val="none" w:sz="0" w:space="0" w:color="auto"/>
                      </w:divBdr>
                    </w:div>
                  </w:divsChild>
                </w:div>
                <w:div w:id="1223827731">
                  <w:marLeft w:val="0"/>
                  <w:marRight w:val="0"/>
                  <w:marTop w:val="0"/>
                  <w:marBottom w:val="0"/>
                  <w:divBdr>
                    <w:top w:val="none" w:sz="0" w:space="0" w:color="auto"/>
                    <w:left w:val="none" w:sz="0" w:space="0" w:color="auto"/>
                    <w:bottom w:val="none" w:sz="0" w:space="0" w:color="auto"/>
                    <w:right w:val="none" w:sz="0" w:space="0" w:color="auto"/>
                  </w:divBdr>
                  <w:divsChild>
                    <w:div w:id="635986616">
                      <w:marLeft w:val="0"/>
                      <w:marRight w:val="0"/>
                      <w:marTop w:val="0"/>
                      <w:marBottom w:val="0"/>
                      <w:divBdr>
                        <w:top w:val="none" w:sz="0" w:space="0" w:color="auto"/>
                        <w:left w:val="none" w:sz="0" w:space="0" w:color="auto"/>
                        <w:bottom w:val="none" w:sz="0" w:space="0" w:color="auto"/>
                        <w:right w:val="none" w:sz="0" w:space="0" w:color="auto"/>
                      </w:divBdr>
                    </w:div>
                  </w:divsChild>
                </w:div>
                <w:div w:id="1230112256">
                  <w:marLeft w:val="0"/>
                  <w:marRight w:val="0"/>
                  <w:marTop w:val="0"/>
                  <w:marBottom w:val="0"/>
                  <w:divBdr>
                    <w:top w:val="none" w:sz="0" w:space="0" w:color="auto"/>
                    <w:left w:val="none" w:sz="0" w:space="0" w:color="auto"/>
                    <w:bottom w:val="none" w:sz="0" w:space="0" w:color="auto"/>
                    <w:right w:val="none" w:sz="0" w:space="0" w:color="auto"/>
                  </w:divBdr>
                  <w:divsChild>
                    <w:div w:id="1742217881">
                      <w:marLeft w:val="0"/>
                      <w:marRight w:val="0"/>
                      <w:marTop w:val="0"/>
                      <w:marBottom w:val="0"/>
                      <w:divBdr>
                        <w:top w:val="none" w:sz="0" w:space="0" w:color="auto"/>
                        <w:left w:val="none" w:sz="0" w:space="0" w:color="auto"/>
                        <w:bottom w:val="none" w:sz="0" w:space="0" w:color="auto"/>
                        <w:right w:val="none" w:sz="0" w:space="0" w:color="auto"/>
                      </w:divBdr>
                    </w:div>
                  </w:divsChild>
                </w:div>
                <w:div w:id="1296762892">
                  <w:marLeft w:val="0"/>
                  <w:marRight w:val="0"/>
                  <w:marTop w:val="0"/>
                  <w:marBottom w:val="0"/>
                  <w:divBdr>
                    <w:top w:val="none" w:sz="0" w:space="0" w:color="auto"/>
                    <w:left w:val="none" w:sz="0" w:space="0" w:color="auto"/>
                    <w:bottom w:val="none" w:sz="0" w:space="0" w:color="auto"/>
                    <w:right w:val="none" w:sz="0" w:space="0" w:color="auto"/>
                  </w:divBdr>
                  <w:divsChild>
                    <w:div w:id="1666854227">
                      <w:marLeft w:val="0"/>
                      <w:marRight w:val="0"/>
                      <w:marTop w:val="0"/>
                      <w:marBottom w:val="0"/>
                      <w:divBdr>
                        <w:top w:val="none" w:sz="0" w:space="0" w:color="auto"/>
                        <w:left w:val="none" w:sz="0" w:space="0" w:color="auto"/>
                        <w:bottom w:val="none" w:sz="0" w:space="0" w:color="auto"/>
                        <w:right w:val="none" w:sz="0" w:space="0" w:color="auto"/>
                      </w:divBdr>
                    </w:div>
                  </w:divsChild>
                </w:div>
                <w:div w:id="1305350640">
                  <w:marLeft w:val="0"/>
                  <w:marRight w:val="0"/>
                  <w:marTop w:val="0"/>
                  <w:marBottom w:val="0"/>
                  <w:divBdr>
                    <w:top w:val="none" w:sz="0" w:space="0" w:color="auto"/>
                    <w:left w:val="none" w:sz="0" w:space="0" w:color="auto"/>
                    <w:bottom w:val="none" w:sz="0" w:space="0" w:color="auto"/>
                    <w:right w:val="none" w:sz="0" w:space="0" w:color="auto"/>
                  </w:divBdr>
                  <w:divsChild>
                    <w:div w:id="1788038732">
                      <w:marLeft w:val="0"/>
                      <w:marRight w:val="0"/>
                      <w:marTop w:val="0"/>
                      <w:marBottom w:val="0"/>
                      <w:divBdr>
                        <w:top w:val="none" w:sz="0" w:space="0" w:color="auto"/>
                        <w:left w:val="none" w:sz="0" w:space="0" w:color="auto"/>
                        <w:bottom w:val="none" w:sz="0" w:space="0" w:color="auto"/>
                        <w:right w:val="none" w:sz="0" w:space="0" w:color="auto"/>
                      </w:divBdr>
                    </w:div>
                  </w:divsChild>
                </w:div>
                <w:div w:id="1359741328">
                  <w:marLeft w:val="0"/>
                  <w:marRight w:val="0"/>
                  <w:marTop w:val="0"/>
                  <w:marBottom w:val="0"/>
                  <w:divBdr>
                    <w:top w:val="none" w:sz="0" w:space="0" w:color="auto"/>
                    <w:left w:val="none" w:sz="0" w:space="0" w:color="auto"/>
                    <w:bottom w:val="none" w:sz="0" w:space="0" w:color="auto"/>
                    <w:right w:val="none" w:sz="0" w:space="0" w:color="auto"/>
                  </w:divBdr>
                  <w:divsChild>
                    <w:div w:id="1180199365">
                      <w:marLeft w:val="0"/>
                      <w:marRight w:val="0"/>
                      <w:marTop w:val="0"/>
                      <w:marBottom w:val="0"/>
                      <w:divBdr>
                        <w:top w:val="none" w:sz="0" w:space="0" w:color="auto"/>
                        <w:left w:val="none" w:sz="0" w:space="0" w:color="auto"/>
                        <w:bottom w:val="none" w:sz="0" w:space="0" w:color="auto"/>
                        <w:right w:val="none" w:sz="0" w:space="0" w:color="auto"/>
                      </w:divBdr>
                    </w:div>
                  </w:divsChild>
                </w:div>
                <w:div w:id="1361466432">
                  <w:marLeft w:val="0"/>
                  <w:marRight w:val="0"/>
                  <w:marTop w:val="0"/>
                  <w:marBottom w:val="0"/>
                  <w:divBdr>
                    <w:top w:val="none" w:sz="0" w:space="0" w:color="auto"/>
                    <w:left w:val="none" w:sz="0" w:space="0" w:color="auto"/>
                    <w:bottom w:val="none" w:sz="0" w:space="0" w:color="auto"/>
                    <w:right w:val="none" w:sz="0" w:space="0" w:color="auto"/>
                  </w:divBdr>
                  <w:divsChild>
                    <w:div w:id="1570965607">
                      <w:marLeft w:val="0"/>
                      <w:marRight w:val="0"/>
                      <w:marTop w:val="0"/>
                      <w:marBottom w:val="0"/>
                      <w:divBdr>
                        <w:top w:val="none" w:sz="0" w:space="0" w:color="auto"/>
                        <w:left w:val="none" w:sz="0" w:space="0" w:color="auto"/>
                        <w:bottom w:val="none" w:sz="0" w:space="0" w:color="auto"/>
                        <w:right w:val="none" w:sz="0" w:space="0" w:color="auto"/>
                      </w:divBdr>
                    </w:div>
                  </w:divsChild>
                </w:div>
                <w:div w:id="1433471090">
                  <w:marLeft w:val="0"/>
                  <w:marRight w:val="0"/>
                  <w:marTop w:val="0"/>
                  <w:marBottom w:val="0"/>
                  <w:divBdr>
                    <w:top w:val="none" w:sz="0" w:space="0" w:color="auto"/>
                    <w:left w:val="none" w:sz="0" w:space="0" w:color="auto"/>
                    <w:bottom w:val="none" w:sz="0" w:space="0" w:color="auto"/>
                    <w:right w:val="none" w:sz="0" w:space="0" w:color="auto"/>
                  </w:divBdr>
                  <w:divsChild>
                    <w:div w:id="1191988125">
                      <w:marLeft w:val="0"/>
                      <w:marRight w:val="0"/>
                      <w:marTop w:val="0"/>
                      <w:marBottom w:val="0"/>
                      <w:divBdr>
                        <w:top w:val="none" w:sz="0" w:space="0" w:color="auto"/>
                        <w:left w:val="none" w:sz="0" w:space="0" w:color="auto"/>
                        <w:bottom w:val="none" w:sz="0" w:space="0" w:color="auto"/>
                        <w:right w:val="none" w:sz="0" w:space="0" w:color="auto"/>
                      </w:divBdr>
                    </w:div>
                  </w:divsChild>
                </w:div>
                <w:div w:id="1456098680">
                  <w:marLeft w:val="0"/>
                  <w:marRight w:val="0"/>
                  <w:marTop w:val="0"/>
                  <w:marBottom w:val="0"/>
                  <w:divBdr>
                    <w:top w:val="none" w:sz="0" w:space="0" w:color="auto"/>
                    <w:left w:val="none" w:sz="0" w:space="0" w:color="auto"/>
                    <w:bottom w:val="none" w:sz="0" w:space="0" w:color="auto"/>
                    <w:right w:val="none" w:sz="0" w:space="0" w:color="auto"/>
                  </w:divBdr>
                  <w:divsChild>
                    <w:div w:id="1644650351">
                      <w:marLeft w:val="0"/>
                      <w:marRight w:val="0"/>
                      <w:marTop w:val="0"/>
                      <w:marBottom w:val="0"/>
                      <w:divBdr>
                        <w:top w:val="none" w:sz="0" w:space="0" w:color="auto"/>
                        <w:left w:val="none" w:sz="0" w:space="0" w:color="auto"/>
                        <w:bottom w:val="none" w:sz="0" w:space="0" w:color="auto"/>
                        <w:right w:val="none" w:sz="0" w:space="0" w:color="auto"/>
                      </w:divBdr>
                    </w:div>
                  </w:divsChild>
                </w:div>
                <w:div w:id="1498838667">
                  <w:marLeft w:val="0"/>
                  <w:marRight w:val="0"/>
                  <w:marTop w:val="0"/>
                  <w:marBottom w:val="0"/>
                  <w:divBdr>
                    <w:top w:val="none" w:sz="0" w:space="0" w:color="auto"/>
                    <w:left w:val="none" w:sz="0" w:space="0" w:color="auto"/>
                    <w:bottom w:val="none" w:sz="0" w:space="0" w:color="auto"/>
                    <w:right w:val="none" w:sz="0" w:space="0" w:color="auto"/>
                  </w:divBdr>
                  <w:divsChild>
                    <w:div w:id="1395350413">
                      <w:marLeft w:val="0"/>
                      <w:marRight w:val="0"/>
                      <w:marTop w:val="0"/>
                      <w:marBottom w:val="0"/>
                      <w:divBdr>
                        <w:top w:val="none" w:sz="0" w:space="0" w:color="auto"/>
                        <w:left w:val="none" w:sz="0" w:space="0" w:color="auto"/>
                        <w:bottom w:val="none" w:sz="0" w:space="0" w:color="auto"/>
                        <w:right w:val="none" w:sz="0" w:space="0" w:color="auto"/>
                      </w:divBdr>
                    </w:div>
                  </w:divsChild>
                </w:div>
                <w:div w:id="1672179765">
                  <w:marLeft w:val="0"/>
                  <w:marRight w:val="0"/>
                  <w:marTop w:val="0"/>
                  <w:marBottom w:val="0"/>
                  <w:divBdr>
                    <w:top w:val="none" w:sz="0" w:space="0" w:color="auto"/>
                    <w:left w:val="none" w:sz="0" w:space="0" w:color="auto"/>
                    <w:bottom w:val="none" w:sz="0" w:space="0" w:color="auto"/>
                    <w:right w:val="none" w:sz="0" w:space="0" w:color="auto"/>
                  </w:divBdr>
                  <w:divsChild>
                    <w:div w:id="231819495">
                      <w:marLeft w:val="0"/>
                      <w:marRight w:val="0"/>
                      <w:marTop w:val="0"/>
                      <w:marBottom w:val="0"/>
                      <w:divBdr>
                        <w:top w:val="none" w:sz="0" w:space="0" w:color="auto"/>
                        <w:left w:val="none" w:sz="0" w:space="0" w:color="auto"/>
                        <w:bottom w:val="none" w:sz="0" w:space="0" w:color="auto"/>
                        <w:right w:val="none" w:sz="0" w:space="0" w:color="auto"/>
                      </w:divBdr>
                    </w:div>
                  </w:divsChild>
                </w:div>
                <w:div w:id="1674334840">
                  <w:marLeft w:val="0"/>
                  <w:marRight w:val="0"/>
                  <w:marTop w:val="0"/>
                  <w:marBottom w:val="0"/>
                  <w:divBdr>
                    <w:top w:val="none" w:sz="0" w:space="0" w:color="auto"/>
                    <w:left w:val="none" w:sz="0" w:space="0" w:color="auto"/>
                    <w:bottom w:val="none" w:sz="0" w:space="0" w:color="auto"/>
                    <w:right w:val="none" w:sz="0" w:space="0" w:color="auto"/>
                  </w:divBdr>
                  <w:divsChild>
                    <w:div w:id="2054425960">
                      <w:marLeft w:val="0"/>
                      <w:marRight w:val="0"/>
                      <w:marTop w:val="0"/>
                      <w:marBottom w:val="0"/>
                      <w:divBdr>
                        <w:top w:val="none" w:sz="0" w:space="0" w:color="auto"/>
                        <w:left w:val="none" w:sz="0" w:space="0" w:color="auto"/>
                        <w:bottom w:val="none" w:sz="0" w:space="0" w:color="auto"/>
                        <w:right w:val="none" w:sz="0" w:space="0" w:color="auto"/>
                      </w:divBdr>
                    </w:div>
                  </w:divsChild>
                </w:div>
                <w:div w:id="1682514644">
                  <w:marLeft w:val="0"/>
                  <w:marRight w:val="0"/>
                  <w:marTop w:val="0"/>
                  <w:marBottom w:val="0"/>
                  <w:divBdr>
                    <w:top w:val="none" w:sz="0" w:space="0" w:color="auto"/>
                    <w:left w:val="none" w:sz="0" w:space="0" w:color="auto"/>
                    <w:bottom w:val="none" w:sz="0" w:space="0" w:color="auto"/>
                    <w:right w:val="none" w:sz="0" w:space="0" w:color="auto"/>
                  </w:divBdr>
                  <w:divsChild>
                    <w:div w:id="320160178">
                      <w:marLeft w:val="0"/>
                      <w:marRight w:val="0"/>
                      <w:marTop w:val="0"/>
                      <w:marBottom w:val="0"/>
                      <w:divBdr>
                        <w:top w:val="none" w:sz="0" w:space="0" w:color="auto"/>
                        <w:left w:val="none" w:sz="0" w:space="0" w:color="auto"/>
                        <w:bottom w:val="none" w:sz="0" w:space="0" w:color="auto"/>
                        <w:right w:val="none" w:sz="0" w:space="0" w:color="auto"/>
                      </w:divBdr>
                    </w:div>
                  </w:divsChild>
                </w:div>
                <w:div w:id="1707440920">
                  <w:marLeft w:val="0"/>
                  <w:marRight w:val="0"/>
                  <w:marTop w:val="0"/>
                  <w:marBottom w:val="0"/>
                  <w:divBdr>
                    <w:top w:val="none" w:sz="0" w:space="0" w:color="auto"/>
                    <w:left w:val="none" w:sz="0" w:space="0" w:color="auto"/>
                    <w:bottom w:val="none" w:sz="0" w:space="0" w:color="auto"/>
                    <w:right w:val="none" w:sz="0" w:space="0" w:color="auto"/>
                  </w:divBdr>
                  <w:divsChild>
                    <w:div w:id="630287283">
                      <w:marLeft w:val="0"/>
                      <w:marRight w:val="0"/>
                      <w:marTop w:val="0"/>
                      <w:marBottom w:val="0"/>
                      <w:divBdr>
                        <w:top w:val="none" w:sz="0" w:space="0" w:color="auto"/>
                        <w:left w:val="none" w:sz="0" w:space="0" w:color="auto"/>
                        <w:bottom w:val="none" w:sz="0" w:space="0" w:color="auto"/>
                        <w:right w:val="none" w:sz="0" w:space="0" w:color="auto"/>
                      </w:divBdr>
                    </w:div>
                  </w:divsChild>
                </w:div>
                <w:div w:id="1797989082">
                  <w:marLeft w:val="0"/>
                  <w:marRight w:val="0"/>
                  <w:marTop w:val="0"/>
                  <w:marBottom w:val="0"/>
                  <w:divBdr>
                    <w:top w:val="none" w:sz="0" w:space="0" w:color="auto"/>
                    <w:left w:val="none" w:sz="0" w:space="0" w:color="auto"/>
                    <w:bottom w:val="none" w:sz="0" w:space="0" w:color="auto"/>
                    <w:right w:val="none" w:sz="0" w:space="0" w:color="auto"/>
                  </w:divBdr>
                  <w:divsChild>
                    <w:div w:id="876041935">
                      <w:marLeft w:val="0"/>
                      <w:marRight w:val="0"/>
                      <w:marTop w:val="0"/>
                      <w:marBottom w:val="0"/>
                      <w:divBdr>
                        <w:top w:val="none" w:sz="0" w:space="0" w:color="auto"/>
                        <w:left w:val="none" w:sz="0" w:space="0" w:color="auto"/>
                        <w:bottom w:val="none" w:sz="0" w:space="0" w:color="auto"/>
                        <w:right w:val="none" w:sz="0" w:space="0" w:color="auto"/>
                      </w:divBdr>
                    </w:div>
                  </w:divsChild>
                </w:div>
                <w:div w:id="1843935157">
                  <w:marLeft w:val="0"/>
                  <w:marRight w:val="0"/>
                  <w:marTop w:val="0"/>
                  <w:marBottom w:val="0"/>
                  <w:divBdr>
                    <w:top w:val="none" w:sz="0" w:space="0" w:color="auto"/>
                    <w:left w:val="none" w:sz="0" w:space="0" w:color="auto"/>
                    <w:bottom w:val="none" w:sz="0" w:space="0" w:color="auto"/>
                    <w:right w:val="none" w:sz="0" w:space="0" w:color="auto"/>
                  </w:divBdr>
                  <w:divsChild>
                    <w:div w:id="760881033">
                      <w:marLeft w:val="0"/>
                      <w:marRight w:val="0"/>
                      <w:marTop w:val="0"/>
                      <w:marBottom w:val="0"/>
                      <w:divBdr>
                        <w:top w:val="none" w:sz="0" w:space="0" w:color="auto"/>
                        <w:left w:val="none" w:sz="0" w:space="0" w:color="auto"/>
                        <w:bottom w:val="none" w:sz="0" w:space="0" w:color="auto"/>
                        <w:right w:val="none" w:sz="0" w:space="0" w:color="auto"/>
                      </w:divBdr>
                    </w:div>
                  </w:divsChild>
                </w:div>
                <w:div w:id="2075347081">
                  <w:marLeft w:val="0"/>
                  <w:marRight w:val="0"/>
                  <w:marTop w:val="0"/>
                  <w:marBottom w:val="0"/>
                  <w:divBdr>
                    <w:top w:val="none" w:sz="0" w:space="0" w:color="auto"/>
                    <w:left w:val="none" w:sz="0" w:space="0" w:color="auto"/>
                    <w:bottom w:val="none" w:sz="0" w:space="0" w:color="auto"/>
                    <w:right w:val="none" w:sz="0" w:space="0" w:color="auto"/>
                  </w:divBdr>
                  <w:divsChild>
                    <w:div w:id="287274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1620792">
          <w:marLeft w:val="0"/>
          <w:marRight w:val="0"/>
          <w:marTop w:val="0"/>
          <w:marBottom w:val="0"/>
          <w:divBdr>
            <w:top w:val="none" w:sz="0" w:space="0" w:color="auto"/>
            <w:left w:val="none" w:sz="0" w:space="0" w:color="auto"/>
            <w:bottom w:val="none" w:sz="0" w:space="0" w:color="auto"/>
            <w:right w:val="none" w:sz="0" w:space="0" w:color="auto"/>
          </w:divBdr>
        </w:div>
        <w:div w:id="432089543">
          <w:marLeft w:val="0"/>
          <w:marRight w:val="0"/>
          <w:marTop w:val="0"/>
          <w:marBottom w:val="0"/>
          <w:divBdr>
            <w:top w:val="none" w:sz="0" w:space="0" w:color="auto"/>
            <w:left w:val="none" w:sz="0" w:space="0" w:color="auto"/>
            <w:bottom w:val="none" w:sz="0" w:space="0" w:color="auto"/>
            <w:right w:val="none" w:sz="0" w:space="0" w:color="auto"/>
          </w:divBdr>
        </w:div>
        <w:div w:id="1312370370">
          <w:marLeft w:val="0"/>
          <w:marRight w:val="0"/>
          <w:marTop w:val="0"/>
          <w:marBottom w:val="0"/>
          <w:divBdr>
            <w:top w:val="none" w:sz="0" w:space="0" w:color="auto"/>
            <w:left w:val="none" w:sz="0" w:space="0" w:color="auto"/>
            <w:bottom w:val="none" w:sz="0" w:space="0" w:color="auto"/>
            <w:right w:val="none" w:sz="0" w:space="0" w:color="auto"/>
          </w:divBdr>
        </w:div>
        <w:div w:id="1505898835">
          <w:marLeft w:val="0"/>
          <w:marRight w:val="0"/>
          <w:marTop w:val="0"/>
          <w:marBottom w:val="0"/>
          <w:divBdr>
            <w:top w:val="none" w:sz="0" w:space="0" w:color="auto"/>
            <w:left w:val="none" w:sz="0" w:space="0" w:color="auto"/>
            <w:bottom w:val="none" w:sz="0" w:space="0" w:color="auto"/>
            <w:right w:val="none" w:sz="0" w:space="0" w:color="auto"/>
          </w:divBdr>
          <w:divsChild>
            <w:div w:id="1531995329">
              <w:marLeft w:val="-75"/>
              <w:marRight w:val="0"/>
              <w:marTop w:val="30"/>
              <w:marBottom w:val="30"/>
              <w:divBdr>
                <w:top w:val="none" w:sz="0" w:space="0" w:color="auto"/>
                <w:left w:val="none" w:sz="0" w:space="0" w:color="auto"/>
                <w:bottom w:val="none" w:sz="0" w:space="0" w:color="auto"/>
                <w:right w:val="none" w:sz="0" w:space="0" w:color="auto"/>
              </w:divBdr>
              <w:divsChild>
                <w:div w:id="45960312">
                  <w:marLeft w:val="0"/>
                  <w:marRight w:val="0"/>
                  <w:marTop w:val="0"/>
                  <w:marBottom w:val="0"/>
                  <w:divBdr>
                    <w:top w:val="none" w:sz="0" w:space="0" w:color="auto"/>
                    <w:left w:val="none" w:sz="0" w:space="0" w:color="auto"/>
                    <w:bottom w:val="none" w:sz="0" w:space="0" w:color="auto"/>
                    <w:right w:val="none" w:sz="0" w:space="0" w:color="auto"/>
                  </w:divBdr>
                  <w:divsChild>
                    <w:div w:id="77560574">
                      <w:marLeft w:val="0"/>
                      <w:marRight w:val="0"/>
                      <w:marTop w:val="0"/>
                      <w:marBottom w:val="0"/>
                      <w:divBdr>
                        <w:top w:val="none" w:sz="0" w:space="0" w:color="auto"/>
                        <w:left w:val="none" w:sz="0" w:space="0" w:color="auto"/>
                        <w:bottom w:val="none" w:sz="0" w:space="0" w:color="auto"/>
                        <w:right w:val="none" w:sz="0" w:space="0" w:color="auto"/>
                      </w:divBdr>
                    </w:div>
                  </w:divsChild>
                </w:div>
                <w:div w:id="64425873">
                  <w:marLeft w:val="0"/>
                  <w:marRight w:val="0"/>
                  <w:marTop w:val="0"/>
                  <w:marBottom w:val="0"/>
                  <w:divBdr>
                    <w:top w:val="none" w:sz="0" w:space="0" w:color="auto"/>
                    <w:left w:val="none" w:sz="0" w:space="0" w:color="auto"/>
                    <w:bottom w:val="none" w:sz="0" w:space="0" w:color="auto"/>
                    <w:right w:val="none" w:sz="0" w:space="0" w:color="auto"/>
                  </w:divBdr>
                  <w:divsChild>
                    <w:div w:id="52971335">
                      <w:marLeft w:val="0"/>
                      <w:marRight w:val="0"/>
                      <w:marTop w:val="0"/>
                      <w:marBottom w:val="0"/>
                      <w:divBdr>
                        <w:top w:val="none" w:sz="0" w:space="0" w:color="auto"/>
                        <w:left w:val="none" w:sz="0" w:space="0" w:color="auto"/>
                        <w:bottom w:val="none" w:sz="0" w:space="0" w:color="auto"/>
                        <w:right w:val="none" w:sz="0" w:space="0" w:color="auto"/>
                      </w:divBdr>
                    </w:div>
                  </w:divsChild>
                </w:div>
                <w:div w:id="71397865">
                  <w:marLeft w:val="0"/>
                  <w:marRight w:val="0"/>
                  <w:marTop w:val="0"/>
                  <w:marBottom w:val="0"/>
                  <w:divBdr>
                    <w:top w:val="none" w:sz="0" w:space="0" w:color="auto"/>
                    <w:left w:val="none" w:sz="0" w:space="0" w:color="auto"/>
                    <w:bottom w:val="none" w:sz="0" w:space="0" w:color="auto"/>
                    <w:right w:val="none" w:sz="0" w:space="0" w:color="auto"/>
                  </w:divBdr>
                  <w:divsChild>
                    <w:div w:id="259993627">
                      <w:marLeft w:val="0"/>
                      <w:marRight w:val="0"/>
                      <w:marTop w:val="0"/>
                      <w:marBottom w:val="0"/>
                      <w:divBdr>
                        <w:top w:val="none" w:sz="0" w:space="0" w:color="auto"/>
                        <w:left w:val="none" w:sz="0" w:space="0" w:color="auto"/>
                        <w:bottom w:val="none" w:sz="0" w:space="0" w:color="auto"/>
                        <w:right w:val="none" w:sz="0" w:space="0" w:color="auto"/>
                      </w:divBdr>
                    </w:div>
                  </w:divsChild>
                </w:div>
                <w:div w:id="87585934">
                  <w:marLeft w:val="0"/>
                  <w:marRight w:val="0"/>
                  <w:marTop w:val="0"/>
                  <w:marBottom w:val="0"/>
                  <w:divBdr>
                    <w:top w:val="none" w:sz="0" w:space="0" w:color="auto"/>
                    <w:left w:val="none" w:sz="0" w:space="0" w:color="auto"/>
                    <w:bottom w:val="none" w:sz="0" w:space="0" w:color="auto"/>
                    <w:right w:val="none" w:sz="0" w:space="0" w:color="auto"/>
                  </w:divBdr>
                  <w:divsChild>
                    <w:div w:id="656689290">
                      <w:marLeft w:val="0"/>
                      <w:marRight w:val="0"/>
                      <w:marTop w:val="0"/>
                      <w:marBottom w:val="0"/>
                      <w:divBdr>
                        <w:top w:val="none" w:sz="0" w:space="0" w:color="auto"/>
                        <w:left w:val="none" w:sz="0" w:space="0" w:color="auto"/>
                        <w:bottom w:val="none" w:sz="0" w:space="0" w:color="auto"/>
                        <w:right w:val="none" w:sz="0" w:space="0" w:color="auto"/>
                      </w:divBdr>
                    </w:div>
                  </w:divsChild>
                </w:div>
                <w:div w:id="100030460">
                  <w:marLeft w:val="0"/>
                  <w:marRight w:val="0"/>
                  <w:marTop w:val="0"/>
                  <w:marBottom w:val="0"/>
                  <w:divBdr>
                    <w:top w:val="none" w:sz="0" w:space="0" w:color="auto"/>
                    <w:left w:val="none" w:sz="0" w:space="0" w:color="auto"/>
                    <w:bottom w:val="none" w:sz="0" w:space="0" w:color="auto"/>
                    <w:right w:val="none" w:sz="0" w:space="0" w:color="auto"/>
                  </w:divBdr>
                  <w:divsChild>
                    <w:div w:id="461726981">
                      <w:marLeft w:val="0"/>
                      <w:marRight w:val="0"/>
                      <w:marTop w:val="0"/>
                      <w:marBottom w:val="0"/>
                      <w:divBdr>
                        <w:top w:val="none" w:sz="0" w:space="0" w:color="auto"/>
                        <w:left w:val="none" w:sz="0" w:space="0" w:color="auto"/>
                        <w:bottom w:val="none" w:sz="0" w:space="0" w:color="auto"/>
                        <w:right w:val="none" w:sz="0" w:space="0" w:color="auto"/>
                      </w:divBdr>
                    </w:div>
                  </w:divsChild>
                </w:div>
                <w:div w:id="127018714">
                  <w:marLeft w:val="0"/>
                  <w:marRight w:val="0"/>
                  <w:marTop w:val="0"/>
                  <w:marBottom w:val="0"/>
                  <w:divBdr>
                    <w:top w:val="none" w:sz="0" w:space="0" w:color="auto"/>
                    <w:left w:val="none" w:sz="0" w:space="0" w:color="auto"/>
                    <w:bottom w:val="none" w:sz="0" w:space="0" w:color="auto"/>
                    <w:right w:val="none" w:sz="0" w:space="0" w:color="auto"/>
                  </w:divBdr>
                  <w:divsChild>
                    <w:div w:id="1036271497">
                      <w:marLeft w:val="0"/>
                      <w:marRight w:val="0"/>
                      <w:marTop w:val="0"/>
                      <w:marBottom w:val="0"/>
                      <w:divBdr>
                        <w:top w:val="none" w:sz="0" w:space="0" w:color="auto"/>
                        <w:left w:val="none" w:sz="0" w:space="0" w:color="auto"/>
                        <w:bottom w:val="none" w:sz="0" w:space="0" w:color="auto"/>
                        <w:right w:val="none" w:sz="0" w:space="0" w:color="auto"/>
                      </w:divBdr>
                    </w:div>
                  </w:divsChild>
                </w:div>
                <w:div w:id="162208660">
                  <w:marLeft w:val="0"/>
                  <w:marRight w:val="0"/>
                  <w:marTop w:val="0"/>
                  <w:marBottom w:val="0"/>
                  <w:divBdr>
                    <w:top w:val="none" w:sz="0" w:space="0" w:color="auto"/>
                    <w:left w:val="none" w:sz="0" w:space="0" w:color="auto"/>
                    <w:bottom w:val="none" w:sz="0" w:space="0" w:color="auto"/>
                    <w:right w:val="none" w:sz="0" w:space="0" w:color="auto"/>
                  </w:divBdr>
                  <w:divsChild>
                    <w:div w:id="756445152">
                      <w:marLeft w:val="0"/>
                      <w:marRight w:val="0"/>
                      <w:marTop w:val="0"/>
                      <w:marBottom w:val="0"/>
                      <w:divBdr>
                        <w:top w:val="none" w:sz="0" w:space="0" w:color="auto"/>
                        <w:left w:val="none" w:sz="0" w:space="0" w:color="auto"/>
                        <w:bottom w:val="none" w:sz="0" w:space="0" w:color="auto"/>
                        <w:right w:val="none" w:sz="0" w:space="0" w:color="auto"/>
                      </w:divBdr>
                    </w:div>
                  </w:divsChild>
                </w:div>
                <w:div w:id="187454203">
                  <w:marLeft w:val="0"/>
                  <w:marRight w:val="0"/>
                  <w:marTop w:val="0"/>
                  <w:marBottom w:val="0"/>
                  <w:divBdr>
                    <w:top w:val="none" w:sz="0" w:space="0" w:color="auto"/>
                    <w:left w:val="none" w:sz="0" w:space="0" w:color="auto"/>
                    <w:bottom w:val="none" w:sz="0" w:space="0" w:color="auto"/>
                    <w:right w:val="none" w:sz="0" w:space="0" w:color="auto"/>
                  </w:divBdr>
                  <w:divsChild>
                    <w:div w:id="613944231">
                      <w:marLeft w:val="0"/>
                      <w:marRight w:val="0"/>
                      <w:marTop w:val="0"/>
                      <w:marBottom w:val="0"/>
                      <w:divBdr>
                        <w:top w:val="none" w:sz="0" w:space="0" w:color="auto"/>
                        <w:left w:val="none" w:sz="0" w:space="0" w:color="auto"/>
                        <w:bottom w:val="none" w:sz="0" w:space="0" w:color="auto"/>
                        <w:right w:val="none" w:sz="0" w:space="0" w:color="auto"/>
                      </w:divBdr>
                    </w:div>
                  </w:divsChild>
                </w:div>
                <w:div w:id="341319939">
                  <w:marLeft w:val="0"/>
                  <w:marRight w:val="0"/>
                  <w:marTop w:val="0"/>
                  <w:marBottom w:val="0"/>
                  <w:divBdr>
                    <w:top w:val="none" w:sz="0" w:space="0" w:color="auto"/>
                    <w:left w:val="none" w:sz="0" w:space="0" w:color="auto"/>
                    <w:bottom w:val="none" w:sz="0" w:space="0" w:color="auto"/>
                    <w:right w:val="none" w:sz="0" w:space="0" w:color="auto"/>
                  </w:divBdr>
                  <w:divsChild>
                    <w:div w:id="1478837777">
                      <w:marLeft w:val="0"/>
                      <w:marRight w:val="0"/>
                      <w:marTop w:val="0"/>
                      <w:marBottom w:val="0"/>
                      <w:divBdr>
                        <w:top w:val="none" w:sz="0" w:space="0" w:color="auto"/>
                        <w:left w:val="none" w:sz="0" w:space="0" w:color="auto"/>
                        <w:bottom w:val="none" w:sz="0" w:space="0" w:color="auto"/>
                        <w:right w:val="none" w:sz="0" w:space="0" w:color="auto"/>
                      </w:divBdr>
                    </w:div>
                  </w:divsChild>
                </w:div>
                <w:div w:id="369886236">
                  <w:marLeft w:val="0"/>
                  <w:marRight w:val="0"/>
                  <w:marTop w:val="0"/>
                  <w:marBottom w:val="0"/>
                  <w:divBdr>
                    <w:top w:val="none" w:sz="0" w:space="0" w:color="auto"/>
                    <w:left w:val="none" w:sz="0" w:space="0" w:color="auto"/>
                    <w:bottom w:val="none" w:sz="0" w:space="0" w:color="auto"/>
                    <w:right w:val="none" w:sz="0" w:space="0" w:color="auto"/>
                  </w:divBdr>
                  <w:divsChild>
                    <w:div w:id="1191338835">
                      <w:marLeft w:val="0"/>
                      <w:marRight w:val="0"/>
                      <w:marTop w:val="0"/>
                      <w:marBottom w:val="0"/>
                      <w:divBdr>
                        <w:top w:val="none" w:sz="0" w:space="0" w:color="auto"/>
                        <w:left w:val="none" w:sz="0" w:space="0" w:color="auto"/>
                        <w:bottom w:val="none" w:sz="0" w:space="0" w:color="auto"/>
                        <w:right w:val="none" w:sz="0" w:space="0" w:color="auto"/>
                      </w:divBdr>
                    </w:div>
                  </w:divsChild>
                </w:div>
                <w:div w:id="402416939">
                  <w:marLeft w:val="0"/>
                  <w:marRight w:val="0"/>
                  <w:marTop w:val="0"/>
                  <w:marBottom w:val="0"/>
                  <w:divBdr>
                    <w:top w:val="none" w:sz="0" w:space="0" w:color="auto"/>
                    <w:left w:val="none" w:sz="0" w:space="0" w:color="auto"/>
                    <w:bottom w:val="none" w:sz="0" w:space="0" w:color="auto"/>
                    <w:right w:val="none" w:sz="0" w:space="0" w:color="auto"/>
                  </w:divBdr>
                  <w:divsChild>
                    <w:div w:id="1732313425">
                      <w:marLeft w:val="0"/>
                      <w:marRight w:val="0"/>
                      <w:marTop w:val="0"/>
                      <w:marBottom w:val="0"/>
                      <w:divBdr>
                        <w:top w:val="none" w:sz="0" w:space="0" w:color="auto"/>
                        <w:left w:val="none" w:sz="0" w:space="0" w:color="auto"/>
                        <w:bottom w:val="none" w:sz="0" w:space="0" w:color="auto"/>
                        <w:right w:val="none" w:sz="0" w:space="0" w:color="auto"/>
                      </w:divBdr>
                    </w:div>
                  </w:divsChild>
                </w:div>
                <w:div w:id="537815685">
                  <w:marLeft w:val="0"/>
                  <w:marRight w:val="0"/>
                  <w:marTop w:val="0"/>
                  <w:marBottom w:val="0"/>
                  <w:divBdr>
                    <w:top w:val="none" w:sz="0" w:space="0" w:color="auto"/>
                    <w:left w:val="none" w:sz="0" w:space="0" w:color="auto"/>
                    <w:bottom w:val="none" w:sz="0" w:space="0" w:color="auto"/>
                    <w:right w:val="none" w:sz="0" w:space="0" w:color="auto"/>
                  </w:divBdr>
                  <w:divsChild>
                    <w:div w:id="1642270448">
                      <w:marLeft w:val="0"/>
                      <w:marRight w:val="0"/>
                      <w:marTop w:val="0"/>
                      <w:marBottom w:val="0"/>
                      <w:divBdr>
                        <w:top w:val="none" w:sz="0" w:space="0" w:color="auto"/>
                        <w:left w:val="none" w:sz="0" w:space="0" w:color="auto"/>
                        <w:bottom w:val="none" w:sz="0" w:space="0" w:color="auto"/>
                        <w:right w:val="none" w:sz="0" w:space="0" w:color="auto"/>
                      </w:divBdr>
                    </w:div>
                  </w:divsChild>
                </w:div>
                <w:div w:id="599293435">
                  <w:marLeft w:val="0"/>
                  <w:marRight w:val="0"/>
                  <w:marTop w:val="0"/>
                  <w:marBottom w:val="0"/>
                  <w:divBdr>
                    <w:top w:val="none" w:sz="0" w:space="0" w:color="auto"/>
                    <w:left w:val="none" w:sz="0" w:space="0" w:color="auto"/>
                    <w:bottom w:val="none" w:sz="0" w:space="0" w:color="auto"/>
                    <w:right w:val="none" w:sz="0" w:space="0" w:color="auto"/>
                  </w:divBdr>
                  <w:divsChild>
                    <w:div w:id="158468434">
                      <w:marLeft w:val="0"/>
                      <w:marRight w:val="0"/>
                      <w:marTop w:val="0"/>
                      <w:marBottom w:val="0"/>
                      <w:divBdr>
                        <w:top w:val="none" w:sz="0" w:space="0" w:color="auto"/>
                        <w:left w:val="none" w:sz="0" w:space="0" w:color="auto"/>
                        <w:bottom w:val="none" w:sz="0" w:space="0" w:color="auto"/>
                        <w:right w:val="none" w:sz="0" w:space="0" w:color="auto"/>
                      </w:divBdr>
                    </w:div>
                  </w:divsChild>
                </w:div>
                <w:div w:id="628707354">
                  <w:marLeft w:val="0"/>
                  <w:marRight w:val="0"/>
                  <w:marTop w:val="0"/>
                  <w:marBottom w:val="0"/>
                  <w:divBdr>
                    <w:top w:val="none" w:sz="0" w:space="0" w:color="auto"/>
                    <w:left w:val="none" w:sz="0" w:space="0" w:color="auto"/>
                    <w:bottom w:val="none" w:sz="0" w:space="0" w:color="auto"/>
                    <w:right w:val="none" w:sz="0" w:space="0" w:color="auto"/>
                  </w:divBdr>
                  <w:divsChild>
                    <w:div w:id="461660244">
                      <w:marLeft w:val="0"/>
                      <w:marRight w:val="0"/>
                      <w:marTop w:val="0"/>
                      <w:marBottom w:val="0"/>
                      <w:divBdr>
                        <w:top w:val="none" w:sz="0" w:space="0" w:color="auto"/>
                        <w:left w:val="none" w:sz="0" w:space="0" w:color="auto"/>
                        <w:bottom w:val="none" w:sz="0" w:space="0" w:color="auto"/>
                        <w:right w:val="none" w:sz="0" w:space="0" w:color="auto"/>
                      </w:divBdr>
                    </w:div>
                  </w:divsChild>
                </w:div>
                <w:div w:id="679741550">
                  <w:marLeft w:val="0"/>
                  <w:marRight w:val="0"/>
                  <w:marTop w:val="0"/>
                  <w:marBottom w:val="0"/>
                  <w:divBdr>
                    <w:top w:val="none" w:sz="0" w:space="0" w:color="auto"/>
                    <w:left w:val="none" w:sz="0" w:space="0" w:color="auto"/>
                    <w:bottom w:val="none" w:sz="0" w:space="0" w:color="auto"/>
                    <w:right w:val="none" w:sz="0" w:space="0" w:color="auto"/>
                  </w:divBdr>
                  <w:divsChild>
                    <w:div w:id="1665474303">
                      <w:marLeft w:val="0"/>
                      <w:marRight w:val="0"/>
                      <w:marTop w:val="0"/>
                      <w:marBottom w:val="0"/>
                      <w:divBdr>
                        <w:top w:val="none" w:sz="0" w:space="0" w:color="auto"/>
                        <w:left w:val="none" w:sz="0" w:space="0" w:color="auto"/>
                        <w:bottom w:val="none" w:sz="0" w:space="0" w:color="auto"/>
                        <w:right w:val="none" w:sz="0" w:space="0" w:color="auto"/>
                      </w:divBdr>
                    </w:div>
                  </w:divsChild>
                </w:div>
                <w:div w:id="708990160">
                  <w:marLeft w:val="0"/>
                  <w:marRight w:val="0"/>
                  <w:marTop w:val="0"/>
                  <w:marBottom w:val="0"/>
                  <w:divBdr>
                    <w:top w:val="none" w:sz="0" w:space="0" w:color="auto"/>
                    <w:left w:val="none" w:sz="0" w:space="0" w:color="auto"/>
                    <w:bottom w:val="none" w:sz="0" w:space="0" w:color="auto"/>
                    <w:right w:val="none" w:sz="0" w:space="0" w:color="auto"/>
                  </w:divBdr>
                  <w:divsChild>
                    <w:div w:id="1948921220">
                      <w:marLeft w:val="0"/>
                      <w:marRight w:val="0"/>
                      <w:marTop w:val="0"/>
                      <w:marBottom w:val="0"/>
                      <w:divBdr>
                        <w:top w:val="none" w:sz="0" w:space="0" w:color="auto"/>
                        <w:left w:val="none" w:sz="0" w:space="0" w:color="auto"/>
                        <w:bottom w:val="none" w:sz="0" w:space="0" w:color="auto"/>
                        <w:right w:val="none" w:sz="0" w:space="0" w:color="auto"/>
                      </w:divBdr>
                    </w:div>
                  </w:divsChild>
                </w:div>
                <w:div w:id="716969805">
                  <w:marLeft w:val="0"/>
                  <w:marRight w:val="0"/>
                  <w:marTop w:val="0"/>
                  <w:marBottom w:val="0"/>
                  <w:divBdr>
                    <w:top w:val="none" w:sz="0" w:space="0" w:color="auto"/>
                    <w:left w:val="none" w:sz="0" w:space="0" w:color="auto"/>
                    <w:bottom w:val="none" w:sz="0" w:space="0" w:color="auto"/>
                    <w:right w:val="none" w:sz="0" w:space="0" w:color="auto"/>
                  </w:divBdr>
                  <w:divsChild>
                    <w:div w:id="664627595">
                      <w:marLeft w:val="0"/>
                      <w:marRight w:val="0"/>
                      <w:marTop w:val="0"/>
                      <w:marBottom w:val="0"/>
                      <w:divBdr>
                        <w:top w:val="none" w:sz="0" w:space="0" w:color="auto"/>
                        <w:left w:val="none" w:sz="0" w:space="0" w:color="auto"/>
                        <w:bottom w:val="none" w:sz="0" w:space="0" w:color="auto"/>
                        <w:right w:val="none" w:sz="0" w:space="0" w:color="auto"/>
                      </w:divBdr>
                    </w:div>
                  </w:divsChild>
                </w:div>
                <w:div w:id="744686008">
                  <w:marLeft w:val="0"/>
                  <w:marRight w:val="0"/>
                  <w:marTop w:val="0"/>
                  <w:marBottom w:val="0"/>
                  <w:divBdr>
                    <w:top w:val="none" w:sz="0" w:space="0" w:color="auto"/>
                    <w:left w:val="none" w:sz="0" w:space="0" w:color="auto"/>
                    <w:bottom w:val="none" w:sz="0" w:space="0" w:color="auto"/>
                    <w:right w:val="none" w:sz="0" w:space="0" w:color="auto"/>
                  </w:divBdr>
                  <w:divsChild>
                    <w:div w:id="1896044895">
                      <w:marLeft w:val="0"/>
                      <w:marRight w:val="0"/>
                      <w:marTop w:val="0"/>
                      <w:marBottom w:val="0"/>
                      <w:divBdr>
                        <w:top w:val="none" w:sz="0" w:space="0" w:color="auto"/>
                        <w:left w:val="none" w:sz="0" w:space="0" w:color="auto"/>
                        <w:bottom w:val="none" w:sz="0" w:space="0" w:color="auto"/>
                        <w:right w:val="none" w:sz="0" w:space="0" w:color="auto"/>
                      </w:divBdr>
                    </w:div>
                  </w:divsChild>
                </w:div>
                <w:div w:id="761878173">
                  <w:marLeft w:val="0"/>
                  <w:marRight w:val="0"/>
                  <w:marTop w:val="0"/>
                  <w:marBottom w:val="0"/>
                  <w:divBdr>
                    <w:top w:val="none" w:sz="0" w:space="0" w:color="auto"/>
                    <w:left w:val="none" w:sz="0" w:space="0" w:color="auto"/>
                    <w:bottom w:val="none" w:sz="0" w:space="0" w:color="auto"/>
                    <w:right w:val="none" w:sz="0" w:space="0" w:color="auto"/>
                  </w:divBdr>
                  <w:divsChild>
                    <w:div w:id="1840582294">
                      <w:marLeft w:val="0"/>
                      <w:marRight w:val="0"/>
                      <w:marTop w:val="0"/>
                      <w:marBottom w:val="0"/>
                      <w:divBdr>
                        <w:top w:val="none" w:sz="0" w:space="0" w:color="auto"/>
                        <w:left w:val="none" w:sz="0" w:space="0" w:color="auto"/>
                        <w:bottom w:val="none" w:sz="0" w:space="0" w:color="auto"/>
                        <w:right w:val="none" w:sz="0" w:space="0" w:color="auto"/>
                      </w:divBdr>
                    </w:div>
                  </w:divsChild>
                </w:div>
                <w:div w:id="810681493">
                  <w:marLeft w:val="0"/>
                  <w:marRight w:val="0"/>
                  <w:marTop w:val="0"/>
                  <w:marBottom w:val="0"/>
                  <w:divBdr>
                    <w:top w:val="none" w:sz="0" w:space="0" w:color="auto"/>
                    <w:left w:val="none" w:sz="0" w:space="0" w:color="auto"/>
                    <w:bottom w:val="none" w:sz="0" w:space="0" w:color="auto"/>
                    <w:right w:val="none" w:sz="0" w:space="0" w:color="auto"/>
                  </w:divBdr>
                  <w:divsChild>
                    <w:div w:id="1230264938">
                      <w:marLeft w:val="0"/>
                      <w:marRight w:val="0"/>
                      <w:marTop w:val="0"/>
                      <w:marBottom w:val="0"/>
                      <w:divBdr>
                        <w:top w:val="none" w:sz="0" w:space="0" w:color="auto"/>
                        <w:left w:val="none" w:sz="0" w:space="0" w:color="auto"/>
                        <w:bottom w:val="none" w:sz="0" w:space="0" w:color="auto"/>
                        <w:right w:val="none" w:sz="0" w:space="0" w:color="auto"/>
                      </w:divBdr>
                    </w:div>
                  </w:divsChild>
                </w:div>
                <w:div w:id="840124375">
                  <w:marLeft w:val="0"/>
                  <w:marRight w:val="0"/>
                  <w:marTop w:val="0"/>
                  <w:marBottom w:val="0"/>
                  <w:divBdr>
                    <w:top w:val="none" w:sz="0" w:space="0" w:color="auto"/>
                    <w:left w:val="none" w:sz="0" w:space="0" w:color="auto"/>
                    <w:bottom w:val="none" w:sz="0" w:space="0" w:color="auto"/>
                    <w:right w:val="none" w:sz="0" w:space="0" w:color="auto"/>
                  </w:divBdr>
                  <w:divsChild>
                    <w:div w:id="728071635">
                      <w:marLeft w:val="0"/>
                      <w:marRight w:val="0"/>
                      <w:marTop w:val="0"/>
                      <w:marBottom w:val="0"/>
                      <w:divBdr>
                        <w:top w:val="none" w:sz="0" w:space="0" w:color="auto"/>
                        <w:left w:val="none" w:sz="0" w:space="0" w:color="auto"/>
                        <w:bottom w:val="none" w:sz="0" w:space="0" w:color="auto"/>
                        <w:right w:val="none" w:sz="0" w:space="0" w:color="auto"/>
                      </w:divBdr>
                    </w:div>
                  </w:divsChild>
                </w:div>
                <w:div w:id="856499692">
                  <w:marLeft w:val="0"/>
                  <w:marRight w:val="0"/>
                  <w:marTop w:val="0"/>
                  <w:marBottom w:val="0"/>
                  <w:divBdr>
                    <w:top w:val="none" w:sz="0" w:space="0" w:color="auto"/>
                    <w:left w:val="none" w:sz="0" w:space="0" w:color="auto"/>
                    <w:bottom w:val="none" w:sz="0" w:space="0" w:color="auto"/>
                    <w:right w:val="none" w:sz="0" w:space="0" w:color="auto"/>
                  </w:divBdr>
                  <w:divsChild>
                    <w:div w:id="804935274">
                      <w:marLeft w:val="0"/>
                      <w:marRight w:val="0"/>
                      <w:marTop w:val="0"/>
                      <w:marBottom w:val="0"/>
                      <w:divBdr>
                        <w:top w:val="none" w:sz="0" w:space="0" w:color="auto"/>
                        <w:left w:val="none" w:sz="0" w:space="0" w:color="auto"/>
                        <w:bottom w:val="none" w:sz="0" w:space="0" w:color="auto"/>
                        <w:right w:val="none" w:sz="0" w:space="0" w:color="auto"/>
                      </w:divBdr>
                    </w:div>
                  </w:divsChild>
                </w:div>
                <w:div w:id="873690671">
                  <w:marLeft w:val="0"/>
                  <w:marRight w:val="0"/>
                  <w:marTop w:val="0"/>
                  <w:marBottom w:val="0"/>
                  <w:divBdr>
                    <w:top w:val="none" w:sz="0" w:space="0" w:color="auto"/>
                    <w:left w:val="none" w:sz="0" w:space="0" w:color="auto"/>
                    <w:bottom w:val="none" w:sz="0" w:space="0" w:color="auto"/>
                    <w:right w:val="none" w:sz="0" w:space="0" w:color="auto"/>
                  </w:divBdr>
                  <w:divsChild>
                    <w:div w:id="655837921">
                      <w:marLeft w:val="0"/>
                      <w:marRight w:val="0"/>
                      <w:marTop w:val="0"/>
                      <w:marBottom w:val="0"/>
                      <w:divBdr>
                        <w:top w:val="none" w:sz="0" w:space="0" w:color="auto"/>
                        <w:left w:val="none" w:sz="0" w:space="0" w:color="auto"/>
                        <w:bottom w:val="none" w:sz="0" w:space="0" w:color="auto"/>
                        <w:right w:val="none" w:sz="0" w:space="0" w:color="auto"/>
                      </w:divBdr>
                    </w:div>
                  </w:divsChild>
                </w:div>
                <w:div w:id="956064261">
                  <w:marLeft w:val="0"/>
                  <w:marRight w:val="0"/>
                  <w:marTop w:val="0"/>
                  <w:marBottom w:val="0"/>
                  <w:divBdr>
                    <w:top w:val="none" w:sz="0" w:space="0" w:color="auto"/>
                    <w:left w:val="none" w:sz="0" w:space="0" w:color="auto"/>
                    <w:bottom w:val="none" w:sz="0" w:space="0" w:color="auto"/>
                    <w:right w:val="none" w:sz="0" w:space="0" w:color="auto"/>
                  </w:divBdr>
                  <w:divsChild>
                    <w:div w:id="152794595">
                      <w:marLeft w:val="0"/>
                      <w:marRight w:val="0"/>
                      <w:marTop w:val="0"/>
                      <w:marBottom w:val="0"/>
                      <w:divBdr>
                        <w:top w:val="none" w:sz="0" w:space="0" w:color="auto"/>
                        <w:left w:val="none" w:sz="0" w:space="0" w:color="auto"/>
                        <w:bottom w:val="none" w:sz="0" w:space="0" w:color="auto"/>
                        <w:right w:val="none" w:sz="0" w:space="0" w:color="auto"/>
                      </w:divBdr>
                    </w:div>
                  </w:divsChild>
                </w:div>
                <w:div w:id="1215388683">
                  <w:marLeft w:val="0"/>
                  <w:marRight w:val="0"/>
                  <w:marTop w:val="0"/>
                  <w:marBottom w:val="0"/>
                  <w:divBdr>
                    <w:top w:val="none" w:sz="0" w:space="0" w:color="auto"/>
                    <w:left w:val="none" w:sz="0" w:space="0" w:color="auto"/>
                    <w:bottom w:val="none" w:sz="0" w:space="0" w:color="auto"/>
                    <w:right w:val="none" w:sz="0" w:space="0" w:color="auto"/>
                  </w:divBdr>
                  <w:divsChild>
                    <w:div w:id="1079837167">
                      <w:marLeft w:val="0"/>
                      <w:marRight w:val="0"/>
                      <w:marTop w:val="0"/>
                      <w:marBottom w:val="0"/>
                      <w:divBdr>
                        <w:top w:val="none" w:sz="0" w:space="0" w:color="auto"/>
                        <w:left w:val="none" w:sz="0" w:space="0" w:color="auto"/>
                        <w:bottom w:val="none" w:sz="0" w:space="0" w:color="auto"/>
                        <w:right w:val="none" w:sz="0" w:space="0" w:color="auto"/>
                      </w:divBdr>
                    </w:div>
                  </w:divsChild>
                </w:div>
                <w:div w:id="1216309767">
                  <w:marLeft w:val="0"/>
                  <w:marRight w:val="0"/>
                  <w:marTop w:val="0"/>
                  <w:marBottom w:val="0"/>
                  <w:divBdr>
                    <w:top w:val="none" w:sz="0" w:space="0" w:color="auto"/>
                    <w:left w:val="none" w:sz="0" w:space="0" w:color="auto"/>
                    <w:bottom w:val="none" w:sz="0" w:space="0" w:color="auto"/>
                    <w:right w:val="none" w:sz="0" w:space="0" w:color="auto"/>
                  </w:divBdr>
                  <w:divsChild>
                    <w:div w:id="247155729">
                      <w:marLeft w:val="0"/>
                      <w:marRight w:val="0"/>
                      <w:marTop w:val="0"/>
                      <w:marBottom w:val="0"/>
                      <w:divBdr>
                        <w:top w:val="none" w:sz="0" w:space="0" w:color="auto"/>
                        <w:left w:val="none" w:sz="0" w:space="0" w:color="auto"/>
                        <w:bottom w:val="none" w:sz="0" w:space="0" w:color="auto"/>
                        <w:right w:val="none" w:sz="0" w:space="0" w:color="auto"/>
                      </w:divBdr>
                    </w:div>
                  </w:divsChild>
                </w:div>
                <w:div w:id="1223520021">
                  <w:marLeft w:val="0"/>
                  <w:marRight w:val="0"/>
                  <w:marTop w:val="0"/>
                  <w:marBottom w:val="0"/>
                  <w:divBdr>
                    <w:top w:val="none" w:sz="0" w:space="0" w:color="auto"/>
                    <w:left w:val="none" w:sz="0" w:space="0" w:color="auto"/>
                    <w:bottom w:val="none" w:sz="0" w:space="0" w:color="auto"/>
                    <w:right w:val="none" w:sz="0" w:space="0" w:color="auto"/>
                  </w:divBdr>
                  <w:divsChild>
                    <w:div w:id="1088815329">
                      <w:marLeft w:val="0"/>
                      <w:marRight w:val="0"/>
                      <w:marTop w:val="0"/>
                      <w:marBottom w:val="0"/>
                      <w:divBdr>
                        <w:top w:val="none" w:sz="0" w:space="0" w:color="auto"/>
                        <w:left w:val="none" w:sz="0" w:space="0" w:color="auto"/>
                        <w:bottom w:val="none" w:sz="0" w:space="0" w:color="auto"/>
                        <w:right w:val="none" w:sz="0" w:space="0" w:color="auto"/>
                      </w:divBdr>
                    </w:div>
                  </w:divsChild>
                </w:div>
                <w:div w:id="1239751961">
                  <w:marLeft w:val="0"/>
                  <w:marRight w:val="0"/>
                  <w:marTop w:val="0"/>
                  <w:marBottom w:val="0"/>
                  <w:divBdr>
                    <w:top w:val="none" w:sz="0" w:space="0" w:color="auto"/>
                    <w:left w:val="none" w:sz="0" w:space="0" w:color="auto"/>
                    <w:bottom w:val="none" w:sz="0" w:space="0" w:color="auto"/>
                    <w:right w:val="none" w:sz="0" w:space="0" w:color="auto"/>
                  </w:divBdr>
                  <w:divsChild>
                    <w:div w:id="1683438685">
                      <w:marLeft w:val="0"/>
                      <w:marRight w:val="0"/>
                      <w:marTop w:val="0"/>
                      <w:marBottom w:val="0"/>
                      <w:divBdr>
                        <w:top w:val="none" w:sz="0" w:space="0" w:color="auto"/>
                        <w:left w:val="none" w:sz="0" w:space="0" w:color="auto"/>
                        <w:bottom w:val="none" w:sz="0" w:space="0" w:color="auto"/>
                        <w:right w:val="none" w:sz="0" w:space="0" w:color="auto"/>
                      </w:divBdr>
                    </w:div>
                  </w:divsChild>
                </w:div>
                <w:div w:id="1247031988">
                  <w:marLeft w:val="0"/>
                  <w:marRight w:val="0"/>
                  <w:marTop w:val="0"/>
                  <w:marBottom w:val="0"/>
                  <w:divBdr>
                    <w:top w:val="none" w:sz="0" w:space="0" w:color="auto"/>
                    <w:left w:val="none" w:sz="0" w:space="0" w:color="auto"/>
                    <w:bottom w:val="none" w:sz="0" w:space="0" w:color="auto"/>
                    <w:right w:val="none" w:sz="0" w:space="0" w:color="auto"/>
                  </w:divBdr>
                  <w:divsChild>
                    <w:div w:id="6181969">
                      <w:marLeft w:val="0"/>
                      <w:marRight w:val="0"/>
                      <w:marTop w:val="0"/>
                      <w:marBottom w:val="0"/>
                      <w:divBdr>
                        <w:top w:val="none" w:sz="0" w:space="0" w:color="auto"/>
                        <w:left w:val="none" w:sz="0" w:space="0" w:color="auto"/>
                        <w:bottom w:val="none" w:sz="0" w:space="0" w:color="auto"/>
                        <w:right w:val="none" w:sz="0" w:space="0" w:color="auto"/>
                      </w:divBdr>
                    </w:div>
                  </w:divsChild>
                </w:div>
                <w:div w:id="1381129721">
                  <w:marLeft w:val="0"/>
                  <w:marRight w:val="0"/>
                  <w:marTop w:val="0"/>
                  <w:marBottom w:val="0"/>
                  <w:divBdr>
                    <w:top w:val="none" w:sz="0" w:space="0" w:color="auto"/>
                    <w:left w:val="none" w:sz="0" w:space="0" w:color="auto"/>
                    <w:bottom w:val="none" w:sz="0" w:space="0" w:color="auto"/>
                    <w:right w:val="none" w:sz="0" w:space="0" w:color="auto"/>
                  </w:divBdr>
                  <w:divsChild>
                    <w:div w:id="179585644">
                      <w:marLeft w:val="0"/>
                      <w:marRight w:val="0"/>
                      <w:marTop w:val="0"/>
                      <w:marBottom w:val="0"/>
                      <w:divBdr>
                        <w:top w:val="none" w:sz="0" w:space="0" w:color="auto"/>
                        <w:left w:val="none" w:sz="0" w:space="0" w:color="auto"/>
                        <w:bottom w:val="none" w:sz="0" w:space="0" w:color="auto"/>
                        <w:right w:val="none" w:sz="0" w:space="0" w:color="auto"/>
                      </w:divBdr>
                    </w:div>
                  </w:divsChild>
                </w:div>
                <w:div w:id="1412389876">
                  <w:marLeft w:val="0"/>
                  <w:marRight w:val="0"/>
                  <w:marTop w:val="0"/>
                  <w:marBottom w:val="0"/>
                  <w:divBdr>
                    <w:top w:val="none" w:sz="0" w:space="0" w:color="auto"/>
                    <w:left w:val="none" w:sz="0" w:space="0" w:color="auto"/>
                    <w:bottom w:val="none" w:sz="0" w:space="0" w:color="auto"/>
                    <w:right w:val="none" w:sz="0" w:space="0" w:color="auto"/>
                  </w:divBdr>
                  <w:divsChild>
                    <w:div w:id="2109690257">
                      <w:marLeft w:val="0"/>
                      <w:marRight w:val="0"/>
                      <w:marTop w:val="0"/>
                      <w:marBottom w:val="0"/>
                      <w:divBdr>
                        <w:top w:val="none" w:sz="0" w:space="0" w:color="auto"/>
                        <w:left w:val="none" w:sz="0" w:space="0" w:color="auto"/>
                        <w:bottom w:val="none" w:sz="0" w:space="0" w:color="auto"/>
                        <w:right w:val="none" w:sz="0" w:space="0" w:color="auto"/>
                      </w:divBdr>
                    </w:div>
                  </w:divsChild>
                </w:div>
                <w:div w:id="1443111295">
                  <w:marLeft w:val="0"/>
                  <w:marRight w:val="0"/>
                  <w:marTop w:val="0"/>
                  <w:marBottom w:val="0"/>
                  <w:divBdr>
                    <w:top w:val="none" w:sz="0" w:space="0" w:color="auto"/>
                    <w:left w:val="none" w:sz="0" w:space="0" w:color="auto"/>
                    <w:bottom w:val="none" w:sz="0" w:space="0" w:color="auto"/>
                    <w:right w:val="none" w:sz="0" w:space="0" w:color="auto"/>
                  </w:divBdr>
                  <w:divsChild>
                    <w:div w:id="2073577219">
                      <w:marLeft w:val="0"/>
                      <w:marRight w:val="0"/>
                      <w:marTop w:val="0"/>
                      <w:marBottom w:val="0"/>
                      <w:divBdr>
                        <w:top w:val="none" w:sz="0" w:space="0" w:color="auto"/>
                        <w:left w:val="none" w:sz="0" w:space="0" w:color="auto"/>
                        <w:bottom w:val="none" w:sz="0" w:space="0" w:color="auto"/>
                        <w:right w:val="none" w:sz="0" w:space="0" w:color="auto"/>
                      </w:divBdr>
                    </w:div>
                  </w:divsChild>
                </w:div>
                <w:div w:id="1456213970">
                  <w:marLeft w:val="0"/>
                  <w:marRight w:val="0"/>
                  <w:marTop w:val="0"/>
                  <w:marBottom w:val="0"/>
                  <w:divBdr>
                    <w:top w:val="none" w:sz="0" w:space="0" w:color="auto"/>
                    <w:left w:val="none" w:sz="0" w:space="0" w:color="auto"/>
                    <w:bottom w:val="none" w:sz="0" w:space="0" w:color="auto"/>
                    <w:right w:val="none" w:sz="0" w:space="0" w:color="auto"/>
                  </w:divBdr>
                  <w:divsChild>
                    <w:div w:id="2003660720">
                      <w:marLeft w:val="0"/>
                      <w:marRight w:val="0"/>
                      <w:marTop w:val="0"/>
                      <w:marBottom w:val="0"/>
                      <w:divBdr>
                        <w:top w:val="none" w:sz="0" w:space="0" w:color="auto"/>
                        <w:left w:val="none" w:sz="0" w:space="0" w:color="auto"/>
                        <w:bottom w:val="none" w:sz="0" w:space="0" w:color="auto"/>
                        <w:right w:val="none" w:sz="0" w:space="0" w:color="auto"/>
                      </w:divBdr>
                    </w:div>
                  </w:divsChild>
                </w:div>
                <w:div w:id="1515535567">
                  <w:marLeft w:val="0"/>
                  <w:marRight w:val="0"/>
                  <w:marTop w:val="0"/>
                  <w:marBottom w:val="0"/>
                  <w:divBdr>
                    <w:top w:val="none" w:sz="0" w:space="0" w:color="auto"/>
                    <w:left w:val="none" w:sz="0" w:space="0" w:color="auto"/>
                    <w:bottom w:val="none" w:sz="0" w:space="0" w:color="auto"/>
                    <w:right w:val="none" w:sz="0" w:space="0" w:color="auto"/>
                  </w:divBdr>
                  <w:divsChild>
                    <w:div w:id="304550532">
                      <w:marLeft w:val="0"/>
                      <w:marRight w:val="0"/>
                      <w:marTop w:val="0"/>
                      <w:marBottom w:val="0"/>
                      <w:divBdr>
                        <w:top w:val="none" w:sz="0" w:space="0" w:color="auto"/>
                        <w:left w:val="none" w:sz="0" w:space="0" w:color="auto"/>
                        <w:bottom w:val="none" w:sz="0" w:space="0" w:color="auto"/>
                        <w:right w:val="none" w:sz="0" w:space="0" w:color="auto"/>
                      </w:divBdr>
                    </w:div>
                  </w:divsChild>
                </w:div>
                <w:div w:id="1543788562">
                  <w:marLeft w:val="0"/>
                  <w:marRight w:val="0"/>
                  <w:marTop w:val="0"/>
                  <w:marBottom w:val="0"/>
                  <w:divBdr>
                    <w:top w:val="none" w:sz="0" w:space="0" w:color="auto"/>
                    <w:left w:val="none" w:sz="0" w:space="0" w:color="auto"/>
                    <w:bottom w:val="none" w:sz="0" w:space="0" w:color="auto"/>
                    <w:right w:val="none" w:sz="0" w:space="0" w:color="auto"/>
                  </w:divBdr>
                  <w:divsChild>
                    <w:div w:id="108625588">
                      <w:marLeft w:val="0"/>
                      <w:marRight w:val="0"/>
                      <w:marTop w:val="0"/>
                      <w:marBottom w:val="0"/>
                      <w:divBdr>
                        <w:top w:val="none" w:sz="0" w:space="0" w:color="auto"/>
                        <w:left w:val="none" w:sz="0" w:space="0" w:color="auto"/>
                        <w:bottom w:val="none" w:sz="0" w:space="0" w:color="auto"/>
                        <w:right w:val="none" w:sz="0" w:space="0" w:color="auto"/>
                      </w:divBdr>
                    </w:div>
                  </w:divsChild>
                </w:div>
                <w:div w:id="1550730483">
                  <w:marLeft w:val="0"/>
                  <w:marRight w:val="0"/>
                  <w:marTop w:val="0"/>
                  <w:marBottom w:val="0"/>
                  <w:divBdr>
                    <w:top w:val="none" w:sz="0" w:space="0" w:color="auto"/>
                    <w:left w:val="none" w:sz="0" w:space="0" w:color="auto"/>
                    <w:bottom w:val="none" w:sz="0" w:space="0" w:color="auto"/>
                    <w:right w:val="none" w:sz="0" w:space="0" w:color="auto"/>
                  </w:divBdr>
                  <w:divsChild>
                    <w:div w:id="299383571">
                      <w:marLeft w:val="0"/>
                      <w:marRight w:val="0"/>
                      <w:marTop w:val="0"/>
                      <w:marBottom w:val="0"/>
                      <w:divBdr>
                        <w:top w:val="none" w:sz="0" w:space="0" w:color="auto"/>
                        <w:left w:val="none" w:sz="0" w:space="0" w:color="auto"/>
                        <w:bottom w:val="none" w:sz="0" w:space="0" w:color="auto"/>
                        <w:right w:val="none" w:sz="0" w:space="0" w:color="auto"/>
                      </w:divBdr>
                    </w:div>
                  </w:divsChild>
                </w:div>
                <w:div w:id="1608538846">
                  <w:marLeft w:val="0"/>
                  <w:marRight w:val="0"/>
                  <w:marTop w:val="0"/>
                  <w:marBottom w:val="0"/>
                  <w:divBdr>
                    <w:top w:val="none" w:sz="0" w:space="0" w:color="auto"/>
                    <w:left w:val="none" w:sz="0" w:space="0" w:color="auto"/>
                    <w:bottom w:val="none" w:sz="0" w:space="0" w:color="auto"/>
                    <w:right w:val="none" w:sz="0" w:space="0" w:color="auto"/>
                  </w:divBdr>
                  <w:divsChild>
                    <w:div w:id="1078020644">
                      <w:marLeft w:val="0"/>
                      <w:marRight w:val="0"/>
                      <w:marTop w:val="0"/>
                      <w:marBottom w:val="0"/>
                      <w:divBdr>
                        <w:top w:val="none" w:sz="0" w:space="0" w:color="auto"/>
                        <w:left w:val="none" w:sz="0" w:space="0" w:color="auto"/>
                        <w:bottom w:val="none" w:sz="0" w:space="0" w:color="auto"/>
                        <w:right w:val="none" w:sz="0" w:space="0" w:color="auto"/>
                      </w:divBdr>
                    </w:div>
                  </w:divsChild>
                </w:div>
                <w:div w:id="1620914291">
                  <w:marLeft w:val="0"/>
                  <w:marRight w:val="0"/>
                  <w:marTop w:val="0"/>
                  <w:marBottom w:val="0"/>
                  <w:divBdr>
                    <w:top w:val="none" w:sz="0" w:space="0" w:color="auto"/>
                    <w:left w:val="none" w:sz="0" w:space="0" w:color="auto"/>
                    <w:bottom w:val="none" w:sz="0" w:space="0" w:color="auto"/>
                    <w:right w:val="none" w:sz="0" w:space="0" w:color="auto"/>
                  </w:divBdr>
                  <w:divsChild>
                    <w:div w:id="136344863">
                      <w:marLeft w:val="0"/>
                      <w:marRight w:val="0"/>
                      <w:marTop w:val="0"/>
                      <w:marBottom w:val="0"/>
                      <w:divBdr>
                        <w:top w:val="none" w:sz="0" w:space="0" w:color="auto"/>
                        <w:left w:val="none" w:sz="0" w:space="0" w:color="auto"/>
                        <w:bottom w:val="none" w:sz="0" w:space="0" w:color="auto"/>
                        <w:right w:val="none" w:sz="0" w:space="0" w:color="auto"/>
                      </w:divBdr>
                    </w:div>
                  </w:divsChild>
                </w:div>
                <w:div w:id="1627852602">
                  <w:marLeft w:val="0"/>
                  <w:marRight w:val="0"/>
                  <w:marTop w:val="0"/>
                  <w:marBottom w:val="0"/>
                  <w:divBdr>
                    <w:top w:val="none" w:sz="0" w:space="0" w:color="auto"/>
                    <w:left w:val="none" w:sz="0" w:space="0" w:color="auto"/>
                    <w:bottom w:val="none" w:sz="0" w:space="0" w:color="auto"/>
                    <w:right w:val="none" w:sz="0" w:space="0" w:color="auto"/>
                  </w:divBdr>
                  <w:divsChild>
                    <w:div w:id="731579698">
                      <w:marLeft w:val="0"/>
                      <w:marRight w:val="0"/>
                      <w:marTop w:val="0"/>
                      <w:marBottom w:val="0"/>
                      <w:divBdr>
                        <w:top w:val="none" w:sz="0" w:space="0" w:color="auto"/>
                        <w:left w:val="none" w:sz="0" w:space="0" w:color="auto"/>
                        <w:bottom w:val="none" w:sz="0" w:space="0" w:color="auto"/>
                        <w:right w:val="none" w:sz="0" w:space="0" w:color="auto"/>
                      </w:divBdr>
                    </w:div>
                  </w:divsChild>
                </w:div>
                <w:div w:id="1634753567">
                  <w:marLeft w:val="0"/>
                  <w:marRight w:val="0"/>
                  <w:marTop w:val="0"/>
                  <w:marBottom w:val="0"/>
                  <w:divBdr>
                    <w:top w:val="none" w:sz="0" w:space="0" w:color="auto"/>
                    <w:left w:val="none" w:sz="0" w:space="0" w:color="auto"/>
                    <w:bottom w:val="none" w:sz="0" w:space="0" w:color="auto"/>
                    <w:right w:val="none" w:sz="0" w:space="0" w:color="auto"/>
                  </w:divBdr>
                  <w:divsChild>
                    <w:div w:id="268972455">
                      <w:marLeft w:val="0"/>
                      <w:marRight w:val="0"/>
                      <w:marTop w:val="0"/>
                      <w:marBottom w:val="0"/>
                      <w:divBdr>
                        <w:top w:val="none" w:sz="0" w:space="0" w:color="auto"/>
                        <w:left w:val="none" w:sz="0" w:space="0" w:color="auto"/>
                        <w:bottom w:val="none" w:sz="0" w:space="0" w:color="auto"/>
                        <w:right w:val="none" w:sz="0" w:space="0" w:color="auto"/>
                      </w:divBdr>
                    </w:div>
                  </w:divsChild>
                </w:div>
                <w:div w:id="1651638302">
                  <w:marLeft w:val="0"/>
                  <w:marRight w:val="0"/>
                  <w:marTop w:val="0"/>
                  <w:marBottom w:val="0"/>
                  <w:divBdr>
                    <w:top w:val="none" w:sz="0" w:space="0" w:color="auto"/>
                    <w:left w:val="none" w:sz="0" w:space="0" w:color="auto"/>
                    <w:bottom w:val="none" w:sz="0" w:space="0" w:color="auto"/>
                    <w:right w:val="none" w:sz="0" w:space="0" w:color="auto"/>
                  </w:divBdr>
                  <w:divsChild>
                    <w:div w:id="795220976">
                      <w:marLeft w:val="0"/>
                      <w:marRight w:val="0"/>
                      <w:marTop w:val="0"/>
                      <w:marBottom w:val="0"/>
                      <w:divBdr>
                        <w:top w:val="none" w:sz="0" w:space="0" w:color="auto"/>
                        <w:left w:val="none" w:sz="0" w:space="0" w:color="auto"/>
                        <w:bottom w:val="none" w:sz="0" w:space="0" w:color="auto"/>
                        <w:right w:val="none" w:sz="0" w:space="0" w:color="auto"/>
                      </w:divBdr>
                    </w:div>
                  </w:divsChild>
                </w:div>
                <w:div w:id="1678269876">
                  <w:marLeft w:val="0"/>
                  <w:marRight w:val="0"/>
                  <w:marTop w:val="0"/>
                  <w:marBottom w:val="0"/>
                  <w:divBdr>
                    <w:top w:val="none" w:sz="0" w:space="0" w:color="auto"/>
                    <w:left w:val="none" w:sz="0" w:space="0" w:color="auto"/>
                    <w:bottom w:val="none" w:sz="0" w:space="0" w:color="auto"/>
                    <w:right w:val="none" w:sz="0" w:space="0" w:color="auto"/>
                  </w:divBdr>
                  <w:divsChild>
                    <w:div w:id="875200453">
                      <w:marLeft w:val="0"/>
                      <w:marRight w:val="0"/>
                      <w:marTop w:val="0"/>
                      <w:marBottom w:val="0"/>
                      <w:divBdr>
                        <w:top w:val="none" w:sz="0" w:space="0" w:color="auto"/>
                        <w:left w:val="none" w:sz="0" w:space="0" w:color="auto"/>
                        <w:bottom w:val="none" w:sz="0" w:space="0" w:color="auto"/>
                        <w:right w:val="none" w:sz="0" w:space="0" w:color="auto"/>
                      </w:divBdr>
                    </w:div>
                  </w:divsChild>
                </w:div>
                <w:div w:id="1682508994">
                  <w:marLeft w:val="0"/>
                  <w:marRight w:val="0"/>
                  <w:marTop w:val="0"/>
                  <w:marBottom w:val="0"/>
                  <w:divBdr>
                    <w:top w:val="none" w:sz="0" w:space="0" w:color="auto"/>
                    <w:left w:val="none" w:sz="0" w:space="0" w:color="auto"/>
                    <w:bottom w:val="none" w:sz="0" w:space="0" w:color="auto"/>
                    <w:right w:val="none" w:sz="0" w:space="0" w:color="auto"/>
                  </w:divBdr>
                  <w:divsChild>
                    <w:div w:id="1199899344">
                      <w:marLeft w:val="0"/>
                      <w:marRight w:val="0"/>
                      <w:marTop w:val="0"/>
                      <w:marBottom w:val="0"/>
                      <w:divBdr>
                        <w:top w:val="none" w:sz="0" w:space="0" w:color="auto"/>
                        <w:left w:val="none" w:sz="0" w:space="0" w:color="auto"/>
                        <w:bottom w:val="none" w:sz="0" w:space="0" w:color="auto"/>
                        <w:right w:val="none" w:sz="0" w:space="0" w:color="auto"/>
                      </w:divBdr>
                    </w:div>
                  </w:divsChild>
                </w:div>
                <w:div w:id="1683431549">
                  <w:marLeft w:val="0"/>
                  <w:marRight w:val="0"/>
                  <w:marTop w:val="0"/>
                  <w:marBottom w:val="0"/>
                  <w:divBdr>
                    <w:top w:val="none" w:sz="0" w:space="0" w:color="auto"/>
                    <w:left w:val="none" w:sz="0" w:space="0" w:color="auto"/>
                    <w:bottom w:val="none" w:sz="0" w:space="0" w:color="auto"/>
                    <w:right w:val="none" w:sz="0" w:space="0" w:color="auto"/>
                  </w:divBdr>
                  <w:divsChild>
                    <w:div w:id="1189217476">
                      <w:marLeft w:val="0"/>
                      <w:marRight w:val="0"/>
                      <w:marTop w:val="0"/>
                      <w:marBottom w:val="0"/>
                      <w:divBdr>
                        <w:top w:val="none" w:sz="0" w:space="0" w:color="auto"/>
                        <w:left w:val="none" w:sz="0" w:space="0" w:color="auto"/>
                        <w:bottom w:val="none" w:sz="0" w:space="0" w:color="auto"/>
                        <w:right w:val="none" w:sz="0" w:space="0" w:color="auto"/>
                      </w:divBdr>
                    </w:div>
                  </w:divsChild>
                </w:div>
                <w:div w:id="1729762038">
                  <w:marLeft w:val="0"/>
                  <w:marRight w:val="0"/>
                  <w:marTop w:val="0"/>
                  <w:marBottom w:val="0"/>
                  <w:divBdr>
                    <w:top w:val="none" w:sz="0" w:space="0" w:color="auto"/>
                    <w:left w:val="none" w:sz="0" w:space="0" w:color="auto"/>
                    <w:bottom w:val="none" w:sz="0" w:space="0" w:color="auto"/>
                    <w:right w:val="none" w:sz="0" w:space="0" w:color="auto"/>
                  </w:divBdr>
                  <w:divsChild>
                    <w:div w:id="380176070">
                      <w:marLeft w:val="0"/>
                      <w:marRight w:val="0"/>
                      <w:marTop w:val="0"/>
                      <w:marBottom w:val="0"/>
                      <w:divBdr>
                        <w:top w:val="none" w:sz="0" w:space="0" w:color="auto"/>
                        <w:left w:val="none" w:sz="0" w:space="0" w:color="auto"/>
                        <w:bottom w:val="none" w:sz="0" w:space="0" w:color="auto"/>
                        <w:right w:val="none" w:sz="0" w:space="0" w:color="auto"/>
                      </w:divBdr>
                    </w:div>
                  </w:divsChild>
                </w:div>
                <w:div w:id="1771315498">
                  <w:marLeft w:val="0"/>
                  <w:marRight w:val="0"/>
                  <w:marTop w:val="0"/>
                  <w:marBottom w:val="0"/>
                  <w:divBdr>
                    <w:top w:val="none" w:sz="0" w:space="0" w:color="auto"/>
                    <w:left w:val="none" w:sz="0" w:space="0" w:color="auto"/>
                    <w:bottom w:val="none" w:sz="0" w:space="0" w:color="auto"/>
                    <w:right w:val="none" w:sz="0" w:space="0" w:color="auto"/>
                  </w:divBdr>
                  <w:divsChild>
                    <w:div w:id="181282691">
                      <w:marLeft w:val="0"/>
                      <w:marRight w:val="0"/>
                      <w:marTop w:val="0"/>
                      <w:marBottom w:val="0"/>
                      <w:divBdr>
                        <w:top w:val="none" w:sz="0" w:space="0" w:color="auto"/>
                        <w:left w:val="none" w:sz="0" w:space="0" w:color="auto"/>
                        <w:bottom w:val="none" w:sz="0" w:space="0" w:color="auto"/>
                        <w:right w:val="none" w:sz="0" w:space="0" w:color="auto"/>
                      </w:divBdr>
                    </w:div>
                    <w:div w:id="1114249231">
                      <w:marLeft w:val="0"/>
                      <w:marRight w:val="0"/>
                      <w:marTop w:val="0"/>
                      <w:marBottom w:val="0"/>
                      <w:divBdr>
                        <w:top w:val="none" w:sz="0" w:space="0" w:color="auto"/>
                        <w:left w:val="none" w:sz="0" w:space="0" w:color="auto"/>
                        <w:bottom w:val="none" w:sz="0" w:space="0" w:color="auto"/>
                        <w:right w:val="none" w:sz="0" w:space="0" w:color="auto"/>
                      </w:divBdr>
                    </w:div>
                  </w:divsChild>
                </w:div>
                <w:div w:id="1874926491">
                  <w:marLeft w:val="0"/>
                  <w:marRight w:val="0"/>
                  <w:marTop w:val="0"/>
                  <w:marBottom w:val="0"/>
                  <w:divBdr>
                    <w:top w:val="none" w:sz="0" w:space="0" w:color="auto"/>
                    <w:left w:val="none" w:sz="0" w:space="0" w:color="auto"/>
                    <w:bottom w:val="none" w:sz="0" w:space="0" w:color="auto"/>
                    <w:right w:val="none" w:sz="0" w:space="0" w:color="auto"/>
                  </w:divBdr>
                  <w:divsChild>
                    <w:div w:id="1413621208">
                      <w:marLeft w:val="0"/>
                      <w:marRight w:val="0"/>
                      <w:marTop w:val="0"/>
                      <w:marBottom w:val="0"/>
                      <w:divBdr>
                        <w:top w:val="none" w:sz="0" w:space="0" w:color="auto"/>
                        <w:left w:val="none" w:sz="0" w:space="0" w:color="auto"/>
                        <w:bottom w:val="none" w:sz="0" w:space="0" w:color="auto"/>
                        <w:right w:val="none" w:sz="0" w:space="0" w:color="auto"/>
                      </w:divBdr>
                    </w:div>
                  </w:divsChild>
                </w:div>
                <w:div w:id="1958371973">
                  <w:marLeft w:val="0"/>
                  <w:marRight w:val="0"/>
                  <w:marTop w:val="0"/>
                  <w:marBottom w:val="0"/>
                  <w:divBdr>
                    <w:top w:val="none" w:sz="0" w:space="0" w:color="auto"/>
                    <w:left w:val="none" w:sz="0" w:space="0" w:color="auto"/>
                    <w:bottom w:val="none" w:sz="0" w:space="0" w:color="auto"/>
                    <w:right w:val="none" w:sz="0" w:space="0" w:color="auto"/>
                  </w:divBdr>
                  <w:divsChild>
                    <w:div w:id="758065571">
                      <w:marLeft w:val="0"/>
                      <w:marRight w:val="0"/>
                      <w:marTop w:val="0"/>
                      <w:marBottom w:val="0"/>
                      <w:divBdr>
                        <w:top w:val="none" w:sz="0" w:space="0" w:color="auto"/>
                        <w:left w:val="none" w:sz="0" w:space="0" w:color="auto"/>
                        <w:bottom w:val="none" w:sz="0" w:space="0" w:color="auto"/>
                        <w:right w:val="none" w:sz="0" w:space="0" w:color="auto"/>
                      </w:divBdr>
                    </w:div>
                  </w:divsChild>
                </w:div>
                <w:div w:id="2124226094">
                  <w:marLeft w:val="0"/>
                  <w:marRight w:val="0"/>
                  <w:marTop w:val="0"/>
                  <w:marBottom w:val="0"/>
                  <w:divBdr>
                    <w:top w:val="none" w:sz="0" w:space="0" w:color="auto"/>
                    <w:left w:val="none" w:sz="0" w:space="0" w:color="auto"/>
                    <w:bottom w:val="none" w:sz="0" w:space="0" w:color="auto"/>
                    <w:right w:val="none" w:sz="0" w:space="0" w:color="auto"/>
                  </w:divBdr>
                  <w:divsChild>
                    <w:div w:id="2138838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675515">
          <w:marLeft w:val="0"/>
          <w:marRight w:val="0"/>
          <w:marTop w:val="0"/>
          <w:marBottom w:val="0"/>
          <w:divBdr>
            <w:top w:val="none" w:sz="0" w:space="0" w:color="auto"/>
            <w:left w:val="none" w:sz="0" w:space="0" w:color="auto"/>
            <w:bottom w:val="none" w:sz="0" w:space="0" w:color="auto"/>
            <w:right w:val="none" w:sz="0" w:space="0" w:color="auto"/>
          </w:divBdr>
        </w:div>
      </w:divsChild>
    </w:div>
    <w:div w:id="737046975">
      <w:bodyDiv w:val="1"/>
      <w:marLeft w:val="0"/>
      <w:marRight w:val="0"/>
      <w:marTop w:val="0"/>
      <w:marBottom w:val="0"/>
      <w:divBdr>
        <w:top w:val="none" w:sz="0" w:space="0" w:color="auto"/>
        <w:left w:val="none" w:sz="0" w:space="0" w:color="auto"/>
        <w:bottom w:val="none" w:sz="0" w:space="0" w:color="auto"/>
        <w:right w:val="none" w:sz="0" w:space="0" w:color="auto"/>
      </w:divBdr>
      <w:divsChild>
        <w:div w:id="383917045">
          <w:marLeft w:val="0"/>
          <w:marRight w:val="0"/>
          <w:marTop w:val="0"/>
          <w:marBottom w:val="0"/>
          <w:divBdr>
            <w:top w:val="none" w:sz="0" w:space="0" w:color="auto"/>
            <w:left w:val="none" w:sz="0" w:space="0" w:color="auto"/>
            <w:bottom w:val="none" w:sz="0" w:space="0" w:color="auto"/>
            <w:right w:val="none" w:sz="0" w:space="0" w:color="auto"/>
          </w:divBdr>
        </w:div>
        <w:div w:id="525143058">
          <w:marLeft w:val="0"/>
          <w:marRight w:val="0"/>
          <w:marTop w:val="0"/>
          <w:marBottom w:val="0"/>
          <w:divBdr>
            <w:top w:val="none" w:sz="0" w:space="0" w:color="auto"/>
            <w:left w:val="none" w:sz="0" w:space="0" w:color="auto"/>
            <w:bottom w:val="none" w:sz="0" w:space="0" w:color="auto"/>
            <w:right w:val="none" w:sz="0" w:space="0" w:color="auto"/>
          </w:divBdr>
          <w:divsChild>
            <w:div w:id="241765297">
              <w:marLeft w:val="-75"/>
              <w:marRight w:val="0"/>
              <w:marTop w:val="30"/>
              <w:marBottom w:val="30"/>
              <w:divBdr>
                <w:top w:val="none" w:sz="0" w:space="0" w:color="auto"/>
                <w:left w:val="none" w:sz="0" w:space="0" w:color="auto"/>
                <w:bottom w:val="none" w:sz="0" w:space="0" w:color="auto"/>
                <w:right w:val="none" w:sz="0" w:space="0" w:color="auto"/>
              </w:divBdr>
              <w:divsChild>
                <w:div w:id="100884045">
                  <w:marLeft w:val="0"/>
                  <w:marRight w:val="0"/>
                  <w:marTop w:val="0"/>
                  <w:marBottom w:val="0"/>
                  <w:divBdr>
                    <w:top w:val="none" w:sz="0" w:space="0" w:color="auto"/>
                    <w:left w:val="none" w:sz="0" w:space="0" w:color="auto"/>
                    <w:bottom w:val="none" w:sz="0" w:space="0" w:color="auto"/>
                    <w:right w:val="none" w:sz="0" w:space="0" w:color="auto"/>
                  </w:divBdr>
                  <w:divsChild>
                    <w:div w:id="460390904">
                      <w:marLeft w:val="0"/>
                      <w:marRight w:val="0"/>
                      <w:marTop w:val="0"/>
                      <w:marBottom w:val="0"/>
                      <w:divBdr>
                        <w:top w:val="none" w:sz="0" w:space="0" w:color="auto"/>
                        <w:left w:val="none" w:sz="0" w:space="0" w:color="auto"/>
                        <w:bottom w:val="none" w:sz="0" w:space="0" w:color="auto"/>
                        <w:right w:val="none" w:sz="0" w:space="0" w:color="auto"/>
                      </w:divBdr>
                    </w:div>
                  </w:divsChild>
                </w:div>
                <w:div w:id="101002106">
                  <w:marLeft w:val="0"/>
                  <w:marRight w:val="0"/>
                  <w:marTop w:val="0"/>
                  <w:marBottom w:val="0"/>
                  <w:divBdr>
                    <w:top w:val="none" w:sz="0" w:space="0" w:color="auto"/>
                    <w:left w:val="none" w:sz="0" w:space="0" w:color="auto"/>
                    <w:bottom w:val="none" w:sz="0" w:space="0" w:color="auto"/>
                    <w:right w:val="none" w:sz="0" w:space="0" w:color="auto"/>
                  </w:divBdr>
                  <w:divsChild>
                    <w:div w:id="509297745">
                      <w:marLeft w:val="0"/>
                      <w:marRight w:val="0"/>
                      <w:marTop w:val="0"/>
                      <w:marBottom w:val="0"/>
                      <w:divBdr>
                        <w:top w:val="none" w:sz="0" w:space="0" w:color="auto"/>
                        <w:left w:val="none" w:sz="0" w:space="0" w:color="auto"/>
                        <w:bottom w:val="none" w:sz="0" w:space="0" w:color="auto"/>
                        <w:right w:val="none" w:sz="0" w:space="0" w:color="auto"/>
                      </w:divBdr>
                    </w:div>
                  </w:divsChild>
                </w:div>
                <w:div w:id="215632958">
                  <w:marLeft w:val="0"/>
                  <w:marRight w:val="0"/>
                  <w:marTop w:val="0"/>
                  <w:marBottom w:val="0"/>
                  <w:divBdr>
                    <w:top w:val="none" w:sz="0" w:space="0" w:color="auto"/>
                    <w:left w:val="none" w:sz="0" w:space="0" w:color="auto"/>
                    <w:bottom w:val="none" w:sz="0" w:space="0" w:color="auto"/>
                    <w:right w:val="none" w:sz="0" w:space="0" w:color="auto"/>
                  </w:divBdr>
                  <w:divsChild>
                    <w:div w:id="755978906">
                      <w:marLeft w:val="0"/>
                      <w:marRight w:val="0"/>
                      <w:marTop w:val="0"/>
                      <w:marBottom w:val="0"/>
                      <w:divBdr>
                        <w:top w:val="none" w:sz="0" w:space="0" w:color="auto"/>
                        <w:left w:val="none" w:sz="0" w:space="0" w:color="auto"/>
                        <w:bottom w:val="none" w:sz="0" w:space="0" w:color="auto"/>
                        <w:right w:val="none" w:sz="0" w:space="0" w:color="auto"/>
                      </w:divBdr>
                    </w:div>
                  </w:divsChild>
                </w:div>
                <w:div w:id="229733091">
                  <w:marLeft w:val="0"/>
                  <w:marRight w:val="0"/>
                  <w:marTop w:val="0"/>
                  <w:marBottom w:val="0"/>
                  <w:divBdr>
                    <w:top w:val="none" w:sz="0" w:space="0" w:color="auto"/>
                    <w:left w:val="none" w:sz="0" w:space="0" w:color="auto"/>
                    <w:bottom w:val="none" w:sz="0" w:space="0" w:color="auto"/>
                    <w:right w:val="none" w:sz="0" w:space="0" w:color="auto"/>
                  </w:divBdr>
                  <w:divsChild>
                    <w:div w:id="77755447">
                      <w:marLeft w:val="0"/>
                      <w:marRight w:val="0"/>
                      <w:marTop w:val="0"/>
                      <w:marBottom w:val="0"/>
                      <w:divBdr>
                        <w:top w:val="none" w:sz="0" w:space="0" w:color="auto"/>
                        <w:left w:val="none" w:sz="0" w:space="0" w:color="auto"/>
                        <w:bottom w:val="none" w:sz="0" w:space="0" w:color="auto"/>
                        <w:right w:val="none" w:sz="0" w:space="0" w:color="auto"/>
                      </w:divBdr>
                    </w:div>
                  </w:divsChild>
                </w:div>
                <w:div w:id="271476854">
                  <w:marLeft w:val="0"/>
                  <w:marRight w:val="0"/>
                  <w:marTop w:val="0"/>
                  <w:marBottom w:val="0"/>
                  <w:divBdr>
                    <w:top w:val="none" w:sz="0" w:space="0" w:color="auto"/>
                    <w:left w:val="none" w:sz="0" w:space="0" w:color="auto"/>
                    <w:bottom w:val="none" w:sz="0" w:space="0" w:color="auto"/>
                    <w:right w:val="none" w:sz="0" w:space="0" w:color="auto"/>
                  </w:divBdr>
                  <w:divsChild>
                    <w:div w:id="1077245073">
                      <w:marLeft w:val="0"/>
                      <w:marRight w:val="0"/>
                      <w:marTop w:val="0"/>
                      <w:marBottom w:val="0"/>
                      <w:divBdr>
                        <w:top w:val="none" w:sz="0" w:space="0" w:color="auto"/>
                        <w:left w:val="none" w:sz="0" w:space="0" w:color="auto"/>
                        <w:bottom w:val="none" w:sz="0" w:space="0" w:color="auto"/>
                        <w:right w:val="none" w:sz="0" w:space="0" w:color="auto"/>
                      </w:divBdr>
                    </w:div>
                  </w:divsChild>
                </w:div>
                <w:div w:id="323969200">
                  <w:marLeft w:val="0"/>
                  <w:marRight w:val="0"/>
                  <w:marTop w:val="0"/>
                  <w:marBottom w:val="0"/>
                  <w:divBdr>
                    <w:top w:val="none" w:sz="0" w:space="0" w:color="auto"/>
                    <w:left w:val="none" w:sz="0" w:space="0" w:color="auto"/>
                    <w:bottom w:val="none" w:sz="0" w:space="0" w:color="auto"/>
                    <w:right w:val="none" w:sz="0" w:space="0" w:color="auto"/>
                  </w:divBdr>
                  <w:divsChild>
                    <w:div w:id="637104673">
                      <w:marLeft w:val="0"/>
                      <w:marRight w:val="0"/>
                      <w:marTop w:val="0"/>
                      <w:marBottom w:val="0"/>
                      <w:divBdr>
                        <w:top w:val="none" w:sz="0" w:space="0" w:color="auto"/>
                        <w:left w:val="none" w:sz="0" w:space="0" w:color="auto"/>
                        <w:bottom w:val="none" w:sz="0" w:space="0" w:color="auto"/>
                        <w:right w:val="none" w:sz="0" w:space="0" w:color="auto"/>
                      </w:divBdr>
                    </w:div>
                  </w:divsChild>
                </w:div>
                <w:div w:id="373386319">
                  <w:marLeft w:val="0"/>
                  <w:marRight w:val="0"/>
                  <w:marTop w:val="0"/>
                  <w:marBottom w:val="0"/>
                  <w:divBdr>
                    <w:top w:val="none" w:sz="0" w:space="0" w:color="auto"/>
                    <w:left w:val="none" w:sz="0" w:space="0" w:color="auto"/>
                    <w:bottom w:val="none" w:sz="0" w:space="0" w:color="auto"/>
                    <w:right w:val="none" w:sz="0" w:space="0" w:color="auto"/>
                  </w:divBdr>
                  <w:divsChild>
                    <w:div w:id="559707225">
                      <w:marLeft w:val="0"/>
                      <w:marRight w:val="0"/>
                      <w:marTop w:val="0"/>
                      <w:marBottom w:val="0"/>
                      <w:divBdr>
                        <w:top w:val="none" w:sz="0" w:space="0" w:color="auto"/>
                        <w:left w:val="none" w:sz="0" w:space="0" w:color="auto"/>
                        <w:bottom w:val="none" w:sz="0" w:space="0" w:color="auto"/>
                        <w:right w:val="none" w:sz="0" w:space="0" w:color="auto"/>
                      </w:divBdr>
                    </w:div>
                  </w:divsChild>
                </w:div>
                <w:div w:id="408775285">
                  <w:marLeft w:val="0"/>
                  <w:marRight w:val="0"/>
                  <w:marTop w:val="0"/>
                  <w:marBottom w:val="0"/>
                  <w:divBdr>
                    <w:top w:val="none" w:sz="0" w:space="0" w:color="auto"/>
                    <w:left w:val="none" w:sz="0" w:space="0" w:color="auto"/>
                    <w:bottom w:val="none" w:sz="0" w:space="0" w:color="auto"/>
                    <w:right w:val="none" w:sz="0" w:space="0" w:color="auto"/>
                  </w:divBdr>
                  <w:divsChild>
                    <w:div w:id="1148550173">
                      <w:marLeft w:val="0"/>
                      <w:marRight w:val="0"/>
                      <w:marTop w:val="0"/>
                      <w:marBottom w:val="0"/>
                      <w:divBdr>
                        <w:top w:val="none" w:sz="0" w:space="0" w:color="auto"/>
                        <w:left w:val="none" w:sz="0" w:space="0" w:color="auto"/>
                        <w:bottom w:val="none" w:sz="0" w:space="0" w:color="auto"/>
                        <w:right w:val="none" w:sz="0" w:space="0" w:color="auto"/>
                      </w:divBdr>
                    </w:div>
                  </w:divsChild>
                </w:div>
                <w:div w:id="410808708">
                  <w:marLeft w:val="0"/>
                  <w:marRight w:val="0"/>
                  <w:marTop w:val="0"/>
                  <w:marBottom w:val="0"/>
                  <w:divBdr>
                    <w:top w:val="none" w:sz="0" w:space="0" w:color="auto"/>
                    <w:left w:val="none" w:sz="0" w:space="0" w:color="auto"/>
                    <w:bottom w:val="none" w:sz="0" w:space="0" w:color="auto"/>
                    <w:right w:val="none" w:sz="0" w:space="0" w:color="auto"/>
                  </w:divBdr>
                  <w:divsChild>
                    <w:div w:id="1602645601">
                      <w:marLeft w:val="0"/>
                      <w:marRight w:val="0"/>
                      <w:marTop w:val="0"/>
                      <w:marBottom w:val="0"/>
                      <w:divBdr>
                        <w:top w:val="none" w:sz="0" w:space="0" w:color="auto"/>
                        <w:left w:val="none" w:sz="0" w:space="0" w:color="auto"/>
                        <w:bottom w:val="none" w:sz="0" w:space="0" w:color="auto"/>
                        <w:right w:val="none" w:sz="0" w:space="0" w:color="auto"/>
                      </w:divBdr>
                    </w:div>
                  </w:divsChild>
                </w:div>
                <w:div w:id="550964225">
                  <w:marLeft w:val="0"/>
                  <w:marRight w:val="0"/>
                  <w:marTop w:val="0"/>
                  <w:marBottom w:val="0"/>
                  <w:divBdr>
                    <w:top w:val="none" w:sz="0" w:space="0" w:color="auto"/>
                    <w:left w:val="none" w:sz="0" w:space="0" w:color="auto"/>
                    <w:bottom w:val="none" w:sz="0" w:space="0" w:color="auto"/>
                    <w:right w:val="none" w:sz="0" w:space="0" w:color="auto"/>
                  </w:divBdr>
                  <w:divsChild>
                    <w:div w:id="334646905">
                      <w:marLeft w:val="0"/>
                      <w:marRight w:val="0"/>
                      <w:marTop w:val="0"/>
                      <w:marBottom w:val="0"/>
                      <w:divBdr>
                        <w:top w:val="none" w:sz="0" w:space="0" w:color="auto"/>
                        <w:left w:val="none" w:sz="0" w:space="0" w:color="auto"/>
                        <w:bottom w:val="none" w:sz="0" w:space="0" w:color="auto"/>
                        <w:right w:val="none" w:sz="0" w:space="0" w:color="auto"/>
                      </w:divBdr>
                    </w:div>
                  </w:divsChild>
                </w:div>
                <w:div w:id="586161178">
                  <w:marLeft w:val="0"/>
                  <w:marRight w:val="0"/>
                  <w:marTop w:val="0"/>
                  <w:marBottom w:val="0"/>
                  <w:divBdr>
                    <w:top w:val="none" w:sz="0" w:space="0" w:color="auto"/>
                    <w:left w:val="none" w:sz="0" w:space="0" w:color="auto"/>
                    <w:bottom w:val="none" w:sz="0" w:space="0" w:color="auto"/>
                    <w:right w:val="none" w:sz="0" w:space="0" w:color="auto"/>
                  </w:divBdr>
                  <w:divsChild>
                    <w:div w:id="775369656">
                      <w:marLeft w:val="0"/>
                      <w:marRight w:val="0"/>
                      <w:marTop w:val="0"/>
                      <w:marBottom w:val="0"/>
                      <w:divBdr>
                        <w:top w:val="none" w:sz="0" w:space="0" w:color="auto"/>
                        <w:left w:val="none" w:sz="0" w:space="0" w:color="auto"/>
                        <w:bottom w:val="none" w:sz="0" w:space="0" w:color="auto"/>
                        <w:right w:val="none" w:sz="0" w:space="0" w:color="auto"/>
                      </w:divBdr>
                    </w:div>
                  </w:divsChild>
                </w:div>
                <w:div w:id="609167164">
                  <w:marLeft w:val="0"/>
                  <w:marRight w:val="0"/>
                  <w:marTop w:val="0"/>
                  <w:marBottom w:val="0"/>
                  <w:divBdr>
                    <w:top w:val="none" w:sz="0" w:space="0" w:color="auto"/>
                    <w:left w:val="none" w:sz="0" w:space="0" w:color="auto"/>
                    <w:bottom w:val="none" w:sz="0" w:space="0" w:color="auto"/>
                    <w:right w:val="none" w:sz="0" w:space="0" w:color="auto"/>
                  </w:divBdr>
                  <w:divsChild>
                    <w:div w:id="1887599615">
                      <w:marLeft w:val="0"/>
                      <w:marRight w:val="0"/>
                      <w:marTop w:val="0"/>
                      <w:marBottom w:val="0"/>
                      <w:divBdr>
                        <w:top w:val="none" w:sz="0" w:space="0" w:color="auto"/>
                        <w:left w:val="none" w:sz="0" w:space="0" w:color="auto"/>
                        <w:bottom w:val="none" w:sz="0" w:space="0" w:color="auto"/>
                        <w:right w:val="none" w:sz="0" w:space="0" w:color="auto"/>
                      </w:divBdr>
                    </w:div>
                  </w:divsChild>
                </w:div>
                <w:div w:id="706838510">
                  <w:marLeft w:val="0"/>
                  <w:marRight w:val="0"/>
                  <w:marTop w:val="0"/>
                  <w:marBottom w:val="0"/>
                  <w:divBdr>
                    <w:top w:val="none" w:sz="0" w:space="0" w:color="auto"/>
                    <w:left w:val="none" w:sz="0" w:space="0" w:color="auto"/>
                    <w:bottom w:val="none" w:sz="0" w:space="0" w:color="auto"/>
                    <w:right w:val="none" w:sz="0" w:space="0" w:color="auto"/>
                  </w:divBdr>
                  <w:divsChild>
                    <w:div w:id="1962178916">
                      <w:marLeft w:val="0"/>
                      <w:marRight w:val="0"/>
                      <w:marTop w:val="0"/>
                      <w:marBottom w:val="0"/>
                      <w:divBdr>
                        <w:top w:val="none" w:sz="0" w:space="0" w:color="auto"/>
                        <w:left w:val="none" w:sz="0" w:space="0" w:color="auto"/>
                        <w:bottom w:val="none" w:sz="0" w:space="0" w:color="auto"/>
                        <w:right w:val="none" w:sz="0" w:space="0" w:color="auto"/>
                      </w:divBdr>
                    </w:div>
                  </w:divsChild>
                </w:div>
                <w:div w:id="756947415">
                  <w:marLeft w:val="0"/>
                  <w:marRight w:val="0"/>
                  <w:marTop w:val="0"/>
                  <w:marBottom w:val="0"/>
                  <w:divBdr>
                    <w:top w:val="none" w:sz="0" w:space="0" w:color="auto"/>
                    <w:left w:val="none" w:sz="0" w:space="0" w:color="auto"/>
                    <w:bottom w:val="none" w:sz="0" w:space="0" w:color="auto"/>
                    <w:right w:val="none" w:sz="0" w:space="0" w:color="auto"/>
                  </w:divBdr>
                  <w:divsChild>
                    <w:div w:id="1592544596">
                      <w:marLeft w:val="0"/>
                      <w:marRight w:val="0"/>
                      <w:marTop w:val="0"/>
                      <w:marBottom w:val="0"/>
                      <w:divBdr>
                        <w:top w:val="none" w:sz="0" w:space="0" w:color="auto"/>
                        <w:left w:val="none" w:sz="0" w:space="0" w:color="auto"/>
                        <w:bottom w:val="none" w:sz="0" w:space="0" w:color="auto"/>
                        <w:right w:val="none" w:sz="0" w:space="0" w:color="auto"/>
                      </w:divBdr>
                    </w:div>
                  </w:divsChild>
                </w:div>
                <w:div w:id="798302619">
                  <w:marLeft w:val="0"/>
                  <w:marRight w:val="0"/>
                  <w:marTop w:val="0"/>
                  <w:marBottom w:val="0"/>
                  <w:divBdr>
                    <w:top w:val="none" w:sz="0" w:space="0" w:color="auto"/>
                    <w:left w:val="none" w:sz="0" w:space="0" w:color="auto"/>
                    <w:bottom w:val="none" w:sz="0" w:space="0" w:color="auto"/>
                    <w:right w:val="none" w:sz="0" w:space="0" w:color="auto"/>
                  </w:divBdr>
                  <w:divsChild>
                    <w:div w:id="1965690038">
                      <w:marLeft w:val="0"/>
                      <w:marRight w:val="0"/>
                      <w:marTop w:val="0"/>
                      <w:marBottom w:val="0"/>
                      <w:divBdr>
                        <w:top w:val="none" w:sz="0" w:space="0" w:color="auto"/>
                        <w:left w:val="none" w:sz="0" w:space="0" w:color="auto"/>
                        <w:bottom w:val="none" w:sz="0" w:space="0" w:color="auto"/>
                        <w:right w:val="none" w:sz="0" w:space="0" w:color="auto"/>
                      </w:divBdr>
                    </w:div>
                  </w:divsChild>
                </w:div>
                <w:div w:id="833767697">
                  <w:marLeft w:val="0"/>
                  <w:marRight w:val="0"/>
                  <w:marTop w:val="0"/>
                  <w:marBottom w:val="0"/>
                  <w:divBdr>
                    <w:top w:val="none" w:sz="0" w:space="0" w:color="auto"/>
                    <w:left w:val="none" w:sz="0" w:space="0" w:color="auto"/>
                    <w:bottom w:val="none" w:sz="0" w:space="0" w:color="auto"/>
                    <w:right w:val="none" w:sz="0" w:space="0" w:color="auto"/>
                  </w:divBdr>
                  <w:divsChild>
                    <w:div w:id="329719945">
                      <w:marLeft w:val="0"/>
                      <w:marRight w:val="0"/>
                      <w:marTop w:val="0"/>
                      <w:marBottom w:val="0"/>
                      <w:divBdr>
                        <w:top w:val="none" w:sz="0" w:space="0" w:color="auto"/>
                        <w:left w:val="none" w:sz="0" w:space="0" w:color="auto"/>
                        <w:bottom w:val="none" w:sz="0" w:space="0" w:color="auto"/>
                        <w:right w:val="none" w:sz="0" w:space="0" w:color="auto"/>
                      </w:divBdr>
                    </w:div>
                  </w:divsChild>
                </w:div>
                <w:div w:id="952782437">
                  <w:marLeft w:val="0"/>
                  <w:marRight w:val="0"/>
                  <w:marTop w:val="0"/>
                  <w:marBottom w:val="0"/>
                  <w:divBdr>
                    <w:top w:val="none" w:sz="0" w:space="0" w:color="auto"/>
                    <w:left w:val="none" w:sz="0" w:space="0" w:color="auto"/>
                    <w:bottom w:val="none" w:sz="0" w:space="0" w:color="auto"/>
                    <w:right w:val="none" w:sz="0" w:space="0" w:color="auto"/>
                  </w:divBdr>
                  <w:divsChild>
                    <w:div w:id="197864369">
                      <w:marLeft w:val="0"/>
                      <w:marRight w:val="0"/>
                      <w:marTop w:val="0"/>
                      <w:marBottom w:val="0"/>
                      <w:divBdr>
                        <w:top w:val="none" w:sz="0" w:space="0" w:color="auto"/>
                        <w:left w:val="none" w:sz="0" w:space="0" w:color="auto"/>
                        <w:bottom w:val="none" w:sz="0" w:space="0" w:color="auto"/>
                        <w:right w:val="none" w:sz="0" w:space="0" w:color="auto"/>
                      </w:divBdr>
                    </w:div>
                  </w:divsChild>
                </w:div>
                <w:div w:id="1097138760">
                  <w:marLeft w:val="0"/>
                  <w:marRight w:val="0"/>
                  <w:marTop w:val="0"/>
                  <w:marBottom w:val="0"/>
                  <w:divBdr>
                    <w:top w:val="none" w:sz="0" w:space="0" w:color="auto"/>
                    <w:left w:val="none" w:sz="0" w:space="0" w:color="auto"/>
                    <w:bottom w:val="none" w:sz="0" w:space="0" w:color="auto"/>
                    <w:right w:val="none" w:sz="0" w:space="0" w:color="auto"/>
                  </w:divBdr>
                  <w:divsChild>
                    <w:div w:id="1141730510">
                      <w:marLeft w:val="0"/>
                      <w:marRight w:val="0"/>
                      <w:marTop w:val="0"/>
                      <w:marBottom w:val="0"/>
                      <w:divBdr>
                        <w:top w:val="none" w:sz="0" w:space="0" w:color="auto"/>
                        <w:left w:val="none" w:sz="0" w:space="0" w:color="auto"/>
                        <w:bottom w:val="none" w:sz="0" w:space="0" w:color="auto"/>
                        <w:right w:val="none" w:sz="0" w:space="0" w:color="auto"/>
                      </w:divBdr>
                    </w:div>
                  </w:divsChild>
                </w:div>
                <w:div w:id="1108476066">
                  <w:marLeft w:val="0"/>
                  <w:marRight w:val="0"/>
                  <w:marTop w:val="0"/>
                  <w:marBottom w:val="0"/>
                  <w:divBdr>
                    <w:top w:val="none" w:sz="0" w:space="0" w:color="auto"/>
                    <w:left w:val="none" w:sz="0" w:space="0" w:color="auto"/>
                    <w:bottom w:val="none" w:sz="0" w:space="0" w:color="auto"/>
                    <w:right w:val="none" w:sz="0" w:space="0" w:color="auto"/>
                  </w:divBdr>
                  <w:divsChild>
                    <w:div w:id="53163180">
                      <w:marLeft w:val="0"/>
                      <w:marRight w:val="0"/>
                      <w:marTop w:val="0"/>
                      <w:marBottom w:val="0"/>
                      <w:divBdr>
                        <w:top w:val="none" w:sz="0" w:space="0" w:color="auto"/>
                        <w:left w:val="none" w:sz="0" w:space="0" w:color="auto"/>
                        <w:bottom w:val="none" w:sz="0" w:space="0" w:color="auto"/>
                        <w:right w:val="none" w:sz="0" w:space="0" w:color="auto"/>
                      </w:divBdr>
                    </w:div>
                  </w:divsChild>
                </w:div>
                <w:div w:id="1113935667">
                  <w:marLeft w:val="0"/>
                  <w:marRight w:val="0"/>
                  <w:marTop w:val="0"/>
                  <w:marBottom w:val="0"/>
                  <w:divBdr>
                    <w:top w:val="none" w:sz="0" w:space="0" w:color="auto"/>
                    <w:left w:val="none" w:sz="0" w:space="0" w:color="auto"/>
                    <w:bottom w:val="none" w:sz="0" w:space="0" w:color="auto"/>
                    <w:right w:val="none" w:sz="0" w:space="0" w:color="auto"/>
                  </w:divBdr>
                  <w:divsChild>
                    <w:div w:id="689449315">
                      <w:marLeft w:val="0"/>
                      <w:marRight w:val="0"/>
                      <w:marTop w:val="0"/>
                      <w:marBottom w:val="0"/>
                      <w:divBdr>
                        <w:top w:val="none" w:sz="0" w:space="0" w:color="auto"/>
                        <w:left w:val="none" w:sz="0" w:space="0" w:color="auto"/>
                        <w:bottom w:val="none" w:sz="0" w:space="0" w:color="auto"/>
                        <w:right w:val="none" w:sz="0" w:space="0" w:color="auto"/>
                      </w:divBdr>
                    </w:div>
                  </w:divsChild>
                </w:div>
                <w:div w:id="1135102607">
                  <w:marLeft w:val="0"/>
                  <w:marRight w:val="0"/>
                  <w:marTop w:val="0"/>
                  <w:marBottom w:val="0"/>
                  <w:divBdr>
                    <w:top w:val="none" w:sz="0" w:space="0" w:color="auto"/>
                    <w:left w:val="none" w:sz="0" w:space="0" w:color="auto"/>
                    <w:bottom w:val="none" w:sz="0" w:space="0" w:color="auto"/>
                    <w:right w:val="none" w:sz="0" w:space="0" w:color="auto"/>
                  </w:divBdr>
                  <w:divsChild>
                    <w:div w:id="998195316">
                      <w:marLeft w:val="0"/>
                      <w:marRight w:val="0"/>
                      <w:marTop w:val="0"/>
                      <w:marBottom w:val="0"/>
                      <w:divBdr>
                        <w:top w:val="none" w:sz="0" w:space="0" w:color="auto"/>
                        <w:left w:val="none" w:sz="0" w:space="0" w:color="auto"/>
                        <w:bottom w:val="none" w:sz="0" w:space="0" w:color="auto"/>
                        <w:right w:val="none" w:sz="0" w:space="0" w:color="auto"/>
                      </w:divBdr>
                    </w:div>
                  </w:divsChild>
                </w:div>
                <w:div w:id="1182432041">
                  <w:marLeft w:val="0"/>
                  <w:marRight w:val="0"/>
                  <w:marTop w:val="0"/>
                  <w:marBottom w:val="0"/>
                  <w:divBdr>
                    <w:top w:val="none" w:sz="0" w:space="0" w:color="auto"/>
                    <w:left w:val="none" w:sz="0" w:space="0" w:color="auto"/>
                    <w:bottom w:val="none" w:sz="0" w:space="0" w:color="auto"/>
                    <w:right w:val="none" w:sz="0" w:space="0" w:color="auto"/>
                  </w:divBdr>
                  <w:divsChild>
                    <w:div w:id="329908916">
                      <w:marLeft w:val="0"/>
                      <w:marRight w:val="0"/>
                      <w:marTop w:val="0"/>
                      <w:marBottom w:val="0"/>
                      <w:divBdr>
                        <w:top w:val="none" w:sz="0" w:space="0" w:color="auto"/>
                        <w:left w:val="none" w:sz="0" w:space="0" w:color="auto"/>
                        <w:bottom w:val="none" w:sz="0" w:space="0" w:color="auto"/>
                        <w:right w:val="none" w:sz="0" w:space="0" w:color="auto"/>
                      </w:divBdr>
                    </w:div>
                  </w:divsChild>
                </w:div>
                <w:div w:id="1264144213">
                  <w:marLeft w:val="0"/>
                  <w:marRight w:val="0"/>
                  <w:marTop w:val="0"/>
                  <w:marBottom w:val="0"/>
                  <w:divBdr>
                    <w:top w:val="none" w:sz="0" w:space="0" w:color="auto"/>
                    <w:left w:val="none" w:sz="0" w:space="0" w:color="auto"/>
                    <w:bottom w:val="none" w:sz="0" w:space="0" w:color="auto"/>
                    <w:right w:val="none" w:sz="0" w:space="0" w:color="auto"/>
                  </w:divBdr>
                  <w:divsChild>
                    <w:div w:id="1849708238">
                      <w:marLeft w:val="0"/>
                      <w:marRight w:val="0"/>
                      <w:marTop w:val="0"/>
                      <w:marBottom w:val="0"/>
                      <w:divBdr>
                        <w:top w:val="none" w:sz="0" w:space="0" w:color="auto"/>
                        <w:left w:val="none" w:sz="0" w:space="0" w:color="auto"/>
                        <w:bottom w:val="none" w:sz="0" w:space="0" w:color="auto"/>
                        <w:right w:val="none" w:sz="0" w:space="0" w:color="auto"/>
                      </w:divBdr>
                    </w:div>
                  </w:divsChild>
                </w:div>
                <w:div w:id="1271202860">
                  <w:marLeft w:val="0"/>
                  <w:marRight w:val="0"/>
                  <w:marTop w:val="0"/>
                  <w:marBottom w:val="0"/>
                  <w:divBdr>
                    <w:top w:val="none" w:sz="0" w:space="0" w:color="auto"/>
                    <w:left w:val="none" w:sz="0" w:space="0" w:color="auto"/>
                    <w:bottom w:val="none" w:sz="0" w:space="0" w:color="auto"/>
                    <w:right w:val="none" w:sz="0" w:space="0" w:color="auto"/>
                  </w:divBdr>
                  <w:divsChild>
                    <w:div w:id="2086486983">
                      <w:marLeft w:val="0"/>
                      <w:marRight w:val="0"/>
                      <w:marTop w:val="0"/>
                      <w:marBottom w:val="0"/>
                      <w:divBdr>
                        <w:top w:val="none" w:sz="0" w:space="0" w:color="auto"/>
                        <w:left w:val="none" w:sz="0" w:space="0" w:color="auto"/>
                        <w:bottom w:val="none" w:sz="0" w:space="0" w:color="auto"/>
                        <w:right w:val="none" w:sz="0" w:space="0" w:color="auto"/>
                      </w:divBdr>
                    </w:div>
                  </w:divsChild>
                </w:div>
                <w:div w:id="1356881655">
                  <w:marLeft w:val="0"/>
                  <w:marRight w:val="0"/>
                  <w:marTop w:val="0"/>
                  <w:marBottom w:val="0"/>
                  <w:divBdr>
                    <w:top w:val="none" w:sz="0" w:space="0" w:color="auto"/>
                    <w:left w:val="none" w:sz="0" w:space="0" w:color="auto"/>
                    <w:bottom w:val="none" w:sz="0" w:space="0" w:color="auto"/>
                    <w:right w:val="none" w:sz="0" w:space="0" w:color="auto"/>
                  </w:divBdr>
                  <w:divsChild>
                    <w:div w:id="398213503">
                      <w:marLeft w:val="0"/>
                      <w:marRight w:val="0"/>
                      <w:marTop w:val="0"/>
                      <w:marBottom w:val="0"/>
                      <w:divBdr>
                        <w:top w:val="none" w:sz="0" w:space="0" w:color="auto"/>
                        <w:left w:val="none" w:sz="0" w:space="0" w:color="auto"/>
                        <w:bottom w:val="none" w:sz="0" w:space="0" w:color="auto"/>
                        <w:right w:val="none" w:sz="0" w:space="0" w:color="auto"/>
                      </w:divBdr>
                    </w:div>
                  </w:divsChild>
                </w:div>
                <w:div w:id="1377123797">
                  <w:marLeft w:val="0"/>
                  <w:marRight w:val="0"/>
                  <w:marTop w:val="0"/>
                  <w:marBottom w:val="0"/>
                  <w:divBdr>
                    <w:top w:val="none" w:sz="0" w:space="0" w:color="auto"/>
                    <w:left w:val="none" w:sz="0" w:space="0" w:color="auto"/>
                    <w:bottom w:val="none" w:sz="0" w:space="0" w:color="auto"/>
                    <w:right w:val="none" w:sz="0" w:space="0" w:color="auto"/>
                  </w:divBdr>
                  <w:divsChild>
                    <w:div w:id="610015162">
                      <w:marLeft w:val="0"/>
                      <w:marRight w:val="0"/>
                      <w:marTop w:val="0"/>
                      <w:marBottom w:val="0"/>
                      <w:divBdr>
                        <w:top w:val="none" w:sz="0" w:space="0" w:color="auto"/>
                        <w:left w:val="none" w:sz="0" w:space="0" w:color="auto"/>
                        <w:bottom w:val="none" w:sz="0" w:space="0" w:color="auto"/>
                        <w:right w:val="none" w:sz="0" w:space="0" w:color="auto"/>
                      </w:divBdr>
                    </w:div>
                  </w:divsChild>
                </w:div>
                <w:div w:id="1393195315">
                  <w:marLeft w:val="0"/>
                  <w:marRight w:val="0"/>
                  <w:marTop w:val="0"/>
                  <w:marBottom w:val="0"/>
                  <w:divBdr>
                    <w:top w:val="none" w:sz="0" w:space="0" w:color="auto"/>
                    <w:left w:val="none" w:sz="0" w:space="0" w:color="auto"/>
                    <w:bottom w:val="none" w:sz="0" w:space="0" w:color="auto"/>
                    <w:right w:val="none" w:sz="0" w:space="0" w:color="auto"/>
                  </w:divBdr>
                  <w:divsChild>
                    <w:div w:id="108820207">
                      <w:marLeft w:val="0"/>
                      <w:marRight w:val="0"/>
                      <w:marTop w:val="0"/>
                      <w:marBottom w:val="0"/>
                      <w:divBdr>
                        <w:top w:val="none" w:sz="0" w:space="0" w:color="auto"/>
                        <w:left w:val="none" w:sz="0" w:space="0" w:color="auto"/>
                        <w:bottom w:val="none" w:sz="0" w:space="0" w:color="auto"/>
                        <w:right w:val="none" w:sz="0" w:space="0" w:color="auto"/>
                      </w:divBdr>
                    </w:div>
                  </w:divsChild>
                </w:div>
                <w:div w:id="1428845519">
                  <w:marLeft w:val="0"/>
                  <w:marRight w:val="0"/>
                  <w:marTop w:val="0"/>
                  <w:marBottom w:val="0"/>
                  <w:divBdr>
                    <w:top w:val="none" w:sz="0" w:space="0" w:color="auto"/>
                    <w:left w:val="none" w:sz="0" w:space="0" w:color="auto"/>
                    <w:bottom w:val="none" w:sz="0" w:space="0" w:color="auto"/>
                    <w:right w:val="none" w:sz="0" w:space="0" w:color="auto"/>
                  </w:divBdr>
                  <w:divsChild>
                    <w:div w:id="1195575192">
                      <w:marLeft w:val="0"/>
                      <w:marRight w:val="0"/>
                      <w:marTop w:val="0"/>
                      <w:marBottom w:val="0"/>
                      <w:divBdr>
                        <w:top w:val="none" w:sz="0" w:space="0" w:color="auto"/>
                        <w:left w:val="none" w:sz="0" w:space="0" w:color="auto"/>
                        <w:bottom w:val="none" w:sz="0" w:space="0" w:color="auto"/>
                        <w:right w:val="none" w:sz="0" w:space="0" w:color="auto"/>
                      </w:divBdr>
                    </w:div>
                  </w:divsChild>
                </w:div>
                <w:div w:id="1461728854">
                  <w:marLeft w:val="0"/>
                  <w:marRight w:val="0"/>
                  <w:marTop w:val="0"/>
                  <w:marBottom w:val="0"/>
                  <w:divBdr>
                    <w:top w:val="none" w:sz="0" w:space="0" w:color="auto"/>
                    <w:left w:val="none" w:sz="0" w:space="0" w:color="auto"/>
                    <w:bottom w:val="none" w:sz="0" w:space="0" w:color="auto"/>
                    <w:right w:val="none" w:sz="0" w:space="0" w:color="auto"/>
                  </w:divBdr>
                  <w:divsChild>
                    <w:div w:id="1383669878">
                      <w:marLeft w:val="0"/>
                      <w:marRight w:val="0"/>
                      <w:marTop w:val="0"/>
                      <w:marBottom w:val="0"/>
                      <w:divBdr>
                        <w:top w:val="none" w:sz="0" w:space="0" w:color="auto"/>
                        <w:left w:val="none" w:sz="0" w:space="0" w:color="auto"/>
                        <w:bottom w:val="none" w:sz="0" w:space="0" w:color="auto"/>
                        <w:right w:val="none" w:sz="0" w:space="0" w:color="auto"/>
                      </w:divBdr>
                    </w:div>
                  </w:divsChild>
                </w:div>
                <w:div w:id="1486237523">
                  <w:marLeft w:val="0"/>
                  <w:marRight w:val="0"/>
                  <w:marTop w:val="0"/>
                  <w:marBottom w:val="0"/>
                  <w:divBdr>
                    <w:top w:val="none" w:sz="0" w:space="0" w:color="auto"/>
                    <w:left w:val="none" w:sz="0" w:space="0" w:color="auto"/>
                    <w:bottom w:val="none" w:sz="0" w:space="0" w:color="auto"/>
                    <w:right w:val="none" w:sz="0" w:space="0" w:color="auto"/>
                  </w:divBdr>
                  <w:divsChild>
                    <w:div w:id="1852379927">
                      <w:marLeft w:val="0"/>
                      <w:marRight w:val="0"/>
                      <w:marTop w:val="0"/>
                      <w:marBottom w:val="0"/>
                      <w:divBdr>
                        <w:top w:val="none" w:sz="0" w:space="0" w:color="auto"/>
                        <w:left w:val="none" w:sz="0" w:space="0" w:color="auto"/>
                        <w:bottom w:val="none" w:sz="0" w:space="0" w:color="auto"/>
                        <w:right w:val="none" w:sz="0" w:space="0" w:color="auto"/>
                      </w:divBdr>
                    </w:div>
                  </w:divsChild>
                </w:div>
                <w:div w:id="1519196034">
                  <w:marLeft w:val="0"/>
                  <w:marRight w:val="0"/>
                  <w:marTop w:val="0"/>
                  <w:marBottom w:val="0"/>
                  <w:divBdr>
                    <w:top w:val="none" w:sz="0" w:space="0" w:color="auto"/>
                    <w:left w:val="none" w:sz="0" w:space="0" w:color="auto"/>
                    <w:bottom w:val="none" w:sz="0" w:space="0" w:color="auto"/>
                    <w:right w:val="none" w:sz="0" w:space="0" w:color="auto"/>
                  </w:divBdr>
                  <w:divsChild>
                    <w:div w:id="1004163473">
                      <w:marLeft w:val="0"/>
                      <w:marRight w:val="0"/>
                      <w:marTop w:val="0"/>
                      <w:marBottom w:val="0"/>
                      <w:divBdr>
                        <w:top w:val="none" w:sz="0" w:space="0" w:color="auto"/>
                        <w:left w:val="none" w:sz="0" w:space="0" w:color="auto"/>
                        <w:bottom w:val="none" w:sz="0" w:space="0" w:color="auto"/>
                        <w:right w:val="none" w:sz="0" w:space="0" w:color="auto"/>
                      </w:divBdr>
                    </w:div>
                  </w:divsChild>
                </w:div>
                <w:div w:id="1523740669">
                  <w:marLeft w:val="0"/>
                  <w:marRight w:val="0"/>
                  <w:marTop w:val="0"/>
                  <w:marBottom w:val="0"/>
                  <w:divBdr>
                    <w:top w:val="none" w:sz="0" w:space="0" w:color="auto"/>
                    <w:left w:val="none" w:sz="0" w:space="0" w:color="auto"/>
                    <w:bottom w:val="none" w:sz="0" w:space="0" w:color="auto"/>
                    <w:right w:val="none" w:sz="0" w:space="0" w:color="auto"/>
                  </w:divBdr>
                  <w:divsChild>
                    <w:div w:id="1565409667">
                      <w:marLeft w:val="0"/>
                      <w:marRight w:val="0"/>
                      <w:marTop w:val="0"/>
                      <w:marBottom w:val="0"/>
                      <w:divBdr>
                        <w:top w:val="none" w:sz="0" w:space="0" w:color="auto"/>
                        <w:left w:val="none" w:sz="0" w:space="0" w:color="auto"/>
                        <w:bottom w:val="none" w:sz="0" w:space="0" w:color="auto"/>
                        <w:right w:val="none" w:sz="0" w:space="0" w:color="auto"/>
                      </w:divBdr>
                    </w:div>
                  </w:divsChild>
                </w:div>
                <w:div w:id="1544753344">
                  <w:marLeft w:val="0"/>
                  <w:marRight w:val="0"/>
                  <w:marTop w:val="0"/>
                  <w:marBottom w:val="0"/>
                  <w:divBdr>
                    <w:top w:val="none" w:sz="0" w:space="0" w:color="auto"/>
                    <w:left w:val="none" w:sz="0" w:space="0" w:color="auto"/>
                    <w:bottom w:val="none" w:sz="0" w:space="0" w:color="auto"/>
                    <w:right w:val="none" w:sz="0" w:space="0" w:color="auto"/>
                  </w:divBdr>
                  <w:divsChild>
                    <w:div w:id="2141607988">
                      <w:marLeft w:val="0"/>
                      <w:marRight w:val="0"/>
                      <w:marTop w:val="0"/>
                      <w:marBottom w:val="0"/>
                      <w:divBdr>
                        <w:top w:val="none" w:sz="0" w:space="0" w:color="auto"/>
                        <w:left w:val="none" w:sz="0" w:space="0" w:color="auto"/>
                        <w:bottom w:val="none" w:sz="0" w:space="0" w:color="auto"/>
                        <w:right w:val="none" w:sz="0" w:space="0" w:color="auto"/>
                      </w:divBdr>
                    </w:div>
                  </w:divsChild>
                </w:div>
                <w:div w:id="1618366729">
                  <w:marLeft w:val="0"/>
                  <w:marRight w:val="0"/>
                  <w:marTop w:val="0"/>
                  <w:marBottom w:val="0"/>
                  <w:divBdr>
                    <w:top w:val="none" w:sz="0" w:space="0" w:color="auto"/>
                    <w:left w:val="none" w:sz="0" w:space="0" w:color="auto"/>
                    <w:bottom w:val="none" w:sz="0" w:space="0" w:color="auto"/>
                    <w:right w:val="none" w:sz="0" w:space="0" w:color="auto"/>
                  </w:divBdr>
                  <w:divsChild>
                    <w:div w:id="1622615092">
                      <w:marLeft w:val="0"/>
                      <w:marRight w:val="0"/>
                      <w:marTop w:val="0"/>
                      <w:marBottom w:val="0"/>
                      <w:divBdr>
                        <w:top w:val="none" w:sz="0" w:space="0" w:color="auto"/>
                        <w:left w:val="none" w:sz="0" w:space="0" w:color="auto"/>
                        <w:bottom w:val="none" w:sz="0" w:space="0" w:color="auto"/>
                        <w:right w:val="none" w:sz="0" w:space="0" w:color="auto"/>
                      </w:divBdr>
                    </w:div>
                  </w:divsChild>
                </w:div>
                <w:div w:id="1761874811">
                  <w:marLeft w:val="0"/>
                  <w:marRight w:val="0"/>
                  <w:marTop w:val="0"/>
                  <w:marBottom w:val="0"/>
                  <w:divBdr>
                    <w:top w:val="none" w:sz="0" w:space="0" w:color="auto"/>
                    <w:left w:val="none" w:sz="0" w:space="0" w:color="auto"/>
                    <w:bottom w:val="none" w:sz="0" w:space="0" w:color="auto"/>
                    <w:right w:val="none" w:sz="0" w:space="0" w:color="auto"/>
                  </w:divBdr>
                  <w:divsChild>
                    <w:div w:id="79526133">
                      <w:marLeft w:val="0"/>
                      <w:marRight w:val="0"/>
                      <w:marTop w:val="0"/>
                      <w:marBottom w:val="0"/>
                      <w:divBdr>
                        <w:top w:val="none" w:sz="0" w:space="0" w:color="auto"/>
                        <w:left w:val="none" w:sz="0" w:space="0" w:color="auto"/>
                        <w:bottom w:val="none" w:sz="0" w:space="0" w:color="auto"/>
                        <w:right w:val="none" w:sz="0" w:space="0" w:color="auto"/>
                      </w:divBdr>
                    </w:div>
                    <w:div w:id="1680623154">
                      <w:marLeft w:val="0"/>
                      <w:marRight w:val="0"/>
                      <w:marTop w:val="0"/>
                      <w:marBottom w:val="0"/>
                      <w:divBdr>
                        <w:top w:val="none" w:sz="0" w:space="0" w:color="auto"/>
                        <w:left w:val="none" w:sz="0" w:space="0" w:color="auto"/>
                        <w:bottom w:val="none" w:sz="0" w:space="0" w:color="auto"/>
                        <w:right w:val="none" w:sz="0" w:space="0" w:color="auto"/>
                      </w:divBdr>
                    </w:div>
                  </w:divsChild>
                </w:div>
                <w:div w:id="1870531653">
                  <w:marLeft w:val="0"/>
                  <w:marRight w:val="0"/>
                  <w:marTop w:val="0"/>
                  <w:marBottom w:val="0"/>
                  <w:divBdr>
                    <w:top w:val="none" w:sz="0" w:space="0" w:color="auto"/>
                    <w:left w:val="none" w:sz="0" w:space="0" w:color="auto"/>
                    <w:bottom w:val="none" w:sz="0" w:space="0" w:color="auto"/>
                    <w:right w:val="none" w:sz="0" w:space="0" w:color="auto"/>
                  </w:divBdr>
                  <w:divsChild>
                    <w:div w:id="72048266">
                      <w:marLeft w:val="0"/>
                      <w:marRight w:val="0"/>
                      <w:marTop w:val="0"/>
                      <w:marBottom w:val="0"/>
                      <w:divBdr>
                        <w:top w:val="none" w:sz="0" w:space="0" w:color="auto"/>
                        <w:left w:val="none" w:sz="0" w:space="0" w:color="auto"/>
                        <w:bottom w:val="none" w:sz="0" w:space="0" w:color="auto"/>
                        <w:right w:val="none" w:sz="0" w:space="0" w:color="auto"/>
                      </w:divBdr>
                    </w:div>
                  </w:divsChild>
                </w:div>
                <w:div w:id="1979915691">
                  <w:marLeft w:val="0"/>
                  <w:marRight w:val="0"/>
                  <w:marTop w:val="0"/>
                  <w:marBottom w:val="0"/>
                  <w:divBdr>
                    <w:top w:val="none" w:sz="0" w:space="0" w:color="auto"/>
                    <w:left w:val="none" w:sz="0" w:space="0" w:color="auto"/>
                    <w:bottom w:val="none" w:sz="0" w:space="0" w:color="auto"/>
                    <w:right w:val="none" w:sz="0" w:space="0" w:color="auto"/>
                  </w:divBdr>
                  <w:divsChild>
                    <w:div w:id="1336113497">
                      <w:marLeft w:val="0"/>
                      <w:marRight w:val="0"/>
                      <w:marTop w:val="0"/>
                      <w:marBottom w:val="0"/>
                      <w:divBdr>
                        <w:top w:val="none" w:sz="0" w:space="0" w:color="auto"/>
                        <w:left w:val="none" w:sz="0" w:space="0" w:color="auto"/>
                        <w:bottom w:val="none" w:sz="0" w:space="0" w:color="auto"/>
                        <w:right w:val="none" w:sz="0" w:space="0" w:color="auto"/>
                      </w:divBdr>
                    </w:div>
                  </w:divsChild>
                </w:div>
                <w:div w:id="2003389120">
                  <w:marLeft w:val="0"/>
                  <w:marRight w:val="0"/>
                  <w:marTop w:val="0"/>
                  <w:marBottom w:val="0"/>
                  <w:divBdr>
                    <w:top w:val="none" w:sz="0" w:space="0" w:color="auto"/>
                    <w:left w:val="none" w:sz="0" w:space="0" w:color="auto"/>
                    <w:bottom w:val="none" w:sz="0" w:space="0" w:color="auto"/>
                    <w:right w:val="none" w:sz="0" w:space="0" w:color="auto"/>
                  </w:divBdr>
                  <w:divsChild>
                    <w:div w:id="1061834207">
                      <w:marLeft w:val="0"/>
                      <w:marRight w:val="0"/>
                      <w:marTop w:val="0"/>
                      <w:marBottom w:val="0"/>
                      <w:divBdr>
                        <w:top w:val="none" w:sz="0" w:space="0" w:color="auto"/>
                        <w:left w:val="none" w:sz="0" w:space="0" w:color="auto"/>
                        <w:bottom w:val="none" w:sz="0" w:space="0" w:color="auto"/>
                        <w:right w:val="none" w:sz="0" w:space="0" w:color="auto"/>
                      </w:divBdr>
                    </w:div>
                  </w:divsChild>
                </w:div>
                <w:div w:id="2089498888">
                  <w:marLeft w:val="0"/>
                  <w:marRight w:val="0"/>
                  <w:marTop w:val="0"/>
                  <w:marBottom w:val="0"/>
                  <w:divBdr>
                    <w:top w:val="none" w:sz="0" w:space="0" w:color="auto"/>
                    <w:left w:val="none" w:sz="0" w:space="0" w:color="auto"/>
                    <w:bottom w:val="none" w:sz="0" w:space="0" w:color="auto"/>
                    <w:right w:val="none" w:sz="0" w:space="0" w:color="auto"/>
                  </w:divBdr>
                  <w:divsChild>
                    <w:div w:id="188228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728719">
          <w:marLeft w:val="0"/>
          <w:marRight w:val="0"/>
          <w:marTop w:val="0"/>
          <w:marBottom w:val="0"/>
          <w:divBdr>
            <w:top w:val="none" w:sz="0" w:space="0" w:color="auto"/>
            <w:left w:val="none" w:sz="0" w:space="0" w:color="auto"/>
            <w:bottom w:val="none" w:sz="0" w:space="0" w:color="auto"/>
            <w:right w:val="none" w:sz="0" w:space="0" w:color="auto"/>
          </w:divBdr>
        </w:div>
        <w:div w:id="939606572">
          <w:marLeft w:val="0"/>
          <w:marRight w:val="0"/>
          <w:marTop w:val="0"/>
          <w:marBottom w:val="0"/>
          <w:divBdr>
            <w:top w:val="none" w:sz="0" w:space="0" w:color="auto"/>
            <w:left w:val="none" w:sz="0" w:space="0" w:color="auto"/>
            <w:bottom w:val="none" w:sz="0" w:space="0" w:color="auto"/>
            <w:right w:val="none" w:sz="0" w:space="0" w:color="auto"/>
          </w:divBdr>
          <w:divsChild>
            <w:div w:id="108166961">
              <w:marLeft w:val="-75"/>
              <w:marRight w:val="0"/>
              <w:marTop w:val="30"/>
              <w:marBottom w:val="30"/>
              <w:divBdr>
                <w:top w:val="none" w:sz="0" w:space="0" w:color="auto"/>
                <w:left w:val="none" w:sz="0" w:space="0" w:color="auto"/>
                <w:bottom w:val="none" w:sz="0" w:space="0" w:color="auto"/>
                <w:right w:val="none" w:sz="0" w:space="0" w:color="auto"/>
              </w:divBdr>
              <w:divsChild>
                <w:div w:id="56173212">
                  <w:marLeft w:val="0"/>
                  <w:marRight w:val="0"/>
                  <w:marTop w:val="0"/>
                  <w:marBottom w:val="0"/>
                  <w:divBdr>
                    <w:top w:val="none" w:sz="0" w:space="0" w:color="auto"/>
                    <w:left w:val="none" w:sz="0" w:space="0" w:color="auto"/>
                    <w:bottom w:val="none" w:sz="0" w:space="0" w:color="auto"/>
                    <w:right w:val="none" w:sz="0" w:space="0" w:color="auto"/>
                  </w:divBdr>
                  <w:divsChild>
                    <w:div w:id="1002196227">
                      <w:marLeft w:val="0"/>
                      <w:marRight w:val="0"/>
                      <w:marTop w:val="0"/>
                      <w:marBottom w:val="0"/>
                      <w:divBdr>
                        <w:top w:val="none" w:sz="0" w:space="0" w:color="auto"/>
                        <w:left w:val="none" w:sz="0" w:space="0" w:color="auto"/>
                        <w:bottom w:val="none" w:sz="0" w:space="0" w:color="auto"/>
                        <w:right w:val="none" w:sz="0" w:space="0" w:color="auto"/>
                      </w:divBdr>
                    </w:div>
                  </w:divsChild>
                </w:div>
                <w:div w:id="166214211">
                  <w:marLeft w:val="0"/>
                  <w:marRight w:val="0"/>
                  <w:marTop w:val="0"/>
                  <w:marBottom w:val="0"/>
                  <w:divBdr>
                    <w:top w:val="none" w:sz="0" w:space="0" w:color="auto"/>
                    <w:left w:val="none" w:sz="0" w:space="0" w:color="auto"/>
                    <w:bottom w:val="none" w:sz="0" w:space="0" w:color="auto"/>
                    <w:right w:val="none" w:sz="0" w:space="0" w:color="auto"/>
                  </w:divBdr>
                  <w:divsChild>
                    <w:div w:id="1405251505">
                      <w:marLeft w:val="0"/>
                      <w:marRight w:val="0"/>
                      <w:marTop w:val="0"/>
                      <w:marBottom w:val="0"/>
                      <w:divBdr>
                        <w:top w:val="none" w:sz="0" w:space="0" w:color="auto"/>
                        <w:left w:val="none" w:sz="0" w:space="0" w:color="auto"/>
                        <w:bottom w:val="none" w:sz="0" w:space="0" w:color="auto"/>
                        <w:right w:val="none" w:sz="0" w:space="0" w:color="auto"/>
                      </w:divBdr>
                    </w:div>
                  </w:divsChild>
                </w:div>
                <w:div w:id="338118428">
                  <w:marLeft w:val="0"/>
                  <w:marRight w:val="0"/>
                  <w:marTop w:val="0"/>
                  <w:marBottom w:val="0"/>
                  <w:divBdr>
                    <w:top w:val="none" w:sz="0" w:space="0" w:color="auto"/>
                    <w:left w:val="none" w:sz="0" w:space="0" w:color="auto"/>
                    <w:bottom w:val="none" w:sz="0" w:space="0" w:color="auto"/>
                    <w:right w:val="none" w:sz="0" w:space="0" w:color="auto"/>
                  </w:divBdr>
                  <w:divsChild>
                    <w:div w:id="6103703">
                      <w:marLeft w:val="0"/>
                      <w:marRight w:val="0"/>
                      <w:marTop w:val="0"/>
                      <w:marBottom w:val="0"/>
                      <w:divBdr>
                        <w:top w:val="none" w:sz="0" w:space="0" w:color="auto"/>
                        <w:left w:val="none" w:sz="0" w:space="0" w:color="auto"/>
                        <w:bottom w:val="none" w:sz="0" w:space="0" w:color="auto"/>
                        <w:right w:val="none" w:sz="0" w:space="0" w:color="auto"/>
                      </w:divBdr>
                    </w:div>
                  </w:divsChild>
                </w:div>
                <w:div w:id="354120041">
                  <w:marLeft w:val="0"/>
                  <w:marRight w:val="0"/>
                  <w:marTop w:val="0"/>
                  <w:marBottom w:val="0"/>
                  <w:divBdr>
                    <w:top w:val="none" w:sz="0" w:space="0" w:color="auto"/>
                    <w:left w:val="none" w:sz="0" w:space="0" w:color="auto"/>
                    <w:bottom w:val="none" w:sz="0" w:space="0" w:color="auto"/>
                    <w:right w:val="none" w:sz="0" w:space="0" w:color="auto"/>
                  </w:divBdr>
                  <w:divsChild>
                    <w:div w:id="624383680">
                      <w:marLeft w:val="0"/>
                      <w:marRight w:val="0"/>
                      <w:marTop w:val="0"/>
                      <w:marBottom w:val="0"/>
                      <w:divBdr>
                        <w:top w:val="none" w:sz="0" w:space="0" w:color="auto"/>
                        <w:left w:val="none" w:sz="0" w:space="0" w:color="auto"/>
                        <w:bottom w:val="none" w:sz="0" w:space="0" w:color="auto"/>
                        <w:right w:val="none" w:sz="0" w:space="0" w:color="auto"/>
                      </w:divBdr>
                    </w:div>
                  </w:divsChild>
                </w:div>
                <w:div w:id="356584174">
                  <w:marLeft w:val="0"/>
                  <w:marRight w:val="0"/>
                  <w:marTop w:val="0"/>
                  <w:marBottom w:val="0"/>
                  <w:divBdr>
                    <w:top w:val="none" w:sz="0" w:space="0" w:color="auto"/>
                    <w:left w:val="none" w:sz="0" w:space="0" w:color="auto"/>
                    <w:bottom w:val="none" w:sz="0" w:space="0" w:color="auto"/>
                    <w:right w:val="none" w:sz="0" w:space="0" w:color="auto"/>
                  </w:divBdr>
                  <w:divsChild>
                    <w:div w:id="439222810">
                      <w:marLeft w:val="0"/>
                      <w:marRight w:val="0"/>
                      <w:marTop w:val="0"/>
                      <w:marBottom w:val="0"/>
                      <w:divBdr>
                        <w:top w:val="none" w:sz="0" w:space="0" w:color="auto"/>
                        <w:left w:val="none" w:sz="0" w:space="0" w:color="auto"/>
                        <w:bottom w:val="none" w:sz="0" w:space="0" w:color="auto"/>
                        <w:right w:val="none" w:sz="0" w:space="0" w:color="auto"/>
                      </w:divBdr>
                    </w:div>
                  </w:divsChild>
                </w:div>
                <w:div w:id="362287757">
                  <w:marLeft w:val="0"/>
                  <w:marRight w:val="0"/>
                  <w:marTop w:val="0"/>
                  <w:marBottom w:val="0"/>
                  <w:divBdr>
                    <w:top w:val="none" w:sz="0" w:space="0" w:color="auto"/>
                    <w:left w:val="none" w:sz="0" w:space="0" w:color="auto"/>
                    <w:bottom w:val="none" w:sz="0" w:space="0" w:color="auto"/>
                    <w:right w:val="none" w:sz="0" w:space="0" w:color="auto"/>
                  </w:divBdr>
                  <w:divsChild>
                    <w:div w:id="490950879">
                      <w:marLeft w:val="0"/>
                      <w:marRight w:val="0"/>
                      <w:marTop w:val="0"/>
                      <w:marBottom w:val="0"/>
                      <w:divBdr>
                        <w:top w:val="none" w:sz="0" w:space="0" w:color="auto"/>
                        <w:left w:val="none" w:sz="0" w:space="0" w:color="auto"/>
                        <w:bottom w:val="none" w:sz="0" w:space="0" w:color="auto"/>
                        <w:right w:val="none" w:sz="0" w:space="0" w:color="auto"/>
                      </w:divBdr>
                    </w:div>
                  </w:divsChild>
                </w:div>
                <w:div w:id="367684869">
                  <w:marLeft w:val="0"/>
                  <w:marRight w:val="0"/>
                  <w:marTop w:val="0"/>
                  <w:marBottom w:val="0"/>
                  <w:divBdr>
                    <w:top w:val="none" w:sz="0" w:space="0" w:color="auto"/>
                    <w:left w:val="none" w:sz="0" w:space="0" w:color="auto"/>
                    <w:bottom w:val="none" w:sz="0" w:space="0" w:color="auto"/>
                    <w:right w:val="none" w:sz="0" w:space="0" w:color="auto"/>
                  </w:divBdr>
                  <w:divsChild>
                    <w:div w:id="1547837289">
                      <w:marLeft w:val="0"/>
                      <w:marRight w:val="0"/>
                      <w:marTop w:val="0"/>
                      <w:marBottom w:val="0"/>
                      <w:divBdr>
                        <w:top w:val="none" w:sz="0" w:space="0" w:color="auto"/>
                        <w:left w:val="none" w:sz="0" w:space="0" w:color="auto"/>
                        <w:bottom w:val="none" w:sz="0" w:space="0" w:color="auto"/>
                        <w:right w:val="none" w:sz="0" w:space="0" w:color="auto"/>
                      </w:divBdr>
                    </w:div>
                  </w:divsChild>
                </w:div>
                <w:div w:id="387651046">
                  <w:marLeft w:val="0"/>
                  <w:marRight w:val="0"/>
                  <w:marTop w:val="0"/>
                  <w:marBottom w:val="0"/>
                  <w:divBdr>
                    <w:top w:val="none" w:sz="0" w:space="0" w:color="auto"/>
                    <w:left w:val="none" w:sz="0" w:space="0" w:color="auto"/>
                    <w:bottom w:val="none" w:sz="0" w:space="0" w:color="auto"/>
                    <w:right w:val="none" w:sz="0" w:space="0" w:color="auto"/>
                  </w:divBdr>
                  <w:divsChild>
                    <w:div w:id="204223078">
                      <w:marLeft w:val="0"/>
                      <w:marRight w:val="0"/>
                      <w:marTop w:val="0"/>
                      <w:marBottom w:val="0"/>
                      <w:divBdr>
                        <w:top w:val="none" w:sz="0" w:space="0" w:color="auto"/>
                        <w:left w:val="none" w:sz="0" w:space="0" w:color="auto"/>
                        <w:bottom w:val="none" w:sz="0" w:space="0" w:color="auto"/>
                        <w:right w:val="none" w:sz="0" w:space="0" w:color="auto"/>
                      </w:divBdr>
                    </w:div>
                  </w:divsChild>
                </w:div>
                <w:div w:id="431514497">
                  <w:marLeft w:val="0"/>
                  <w:marRight w:val="0"/>
                  <w:marTop w:val="0"/>
                  <w:marBottom w:val="0"/>
                  <w:divBdr>
                    <w:top w:val="none" w:sz="0" w:space="0" w:color="auto"/>
                    <w:left w:val="none" w:sz="0" w:space="0" w:color="auto"/>
                    <w:bottom w:val="none" w:sz="0" w:space="0" w:color="auto"/>
                    <w:right w:val="none" w:sz="0" w:space="0" w:color="auto"/>
                  </w:divBdr>
                  <w:divsChild>
                    <w:div w:id="886456762">
                      <w:marLeft w:val="0"/>
                      <w:marRight w:val="0"/>
                      <w:marTop w:val="0"/>
                      <w:marBottom w:val="0"/>
                      <w:divBdr>
                        <w:top w:val="none" w:sz="0" w:space="0" w:color="auto"/>
                        <w:left w:val="none" w:sz="0" w:space="0" w:color="auto"/>
                        <w:bottom w:val="none" w:sz="0" w:space="0" w:color="auto"/>
                        <w:right w:val="none" w:sz="0" w:space="0" w:color="auto"/>
                      </w:divBdr>
                    </w:div>
                  </w:divsChild>
                </w:div>
                <w:div w:id="506098605">
                  <w:marLeft w:val="0"/>
                  <w:marRight w:val="0"/>
                  <w:marTop w:val="0"/>
                  <w:marBottom w:val="0"/>
                  <w:divBdr>
                    <w:top w:val="none" w:sz="0" w:space="0" w:color="auto"/>
                    <w:left w:val="none" w:sz="0" w:space="0" w:color="auto"/>
                    <w:bottom w:val="none" w:sz="0" w:space="0" w:color="auto"/>
                    <w:right w:val="none" w:sz="0" w:space="0" w:color="auto"/>
                  </w:divBdr>
                  <w:divsChild>
                    <w:div w:id="1610235188">
                      <w:marLeft w:val="0"/>
                      <w:marRight w:val="0"/>
                      <w:marTop w:val="0"/>
                      <w:marBottom w:val="0"/>
                      <w:divBdr>
                        <w:top w:val="none" w:sz="0" w:space="0" w:color="auto"/>
                        <w:left w:val="none" w:sz="0" w:space="0" w:color="auto"/>
                        <w:bottom w:val="none" w:sz="0" w:space="0" w:color="auto"/>
                        <w:right w:val="none" w:sz="0" w:space="0" w:color="auto"/>
                      </w:divBdr>
                    </w:div>
                  </w:divsChild>
                </w:div>
                <w:div w:id="579338791">
                  <w:marLeft w:val="0"/>
                  <w:marRight w:val="0"/>
                  <w:marTop w:val="0"/>
                  <w:marBottom w:val="0"/>
                  <w:divBdr>
                    <w:top w:val="none" w:sz="0" w:space="0" w:color="auto"/>
                    <w:left w:val="none" w:sz="0" w:space="0" w:color="auto"/>
                    <w:bottom w:val="none" w:sz="0" w:space="0" w:color="auto"/>
                    <w:right w:val="none" w:sz="0" w:space="0" w:color="auto"/>
                  </w:divBdr>
                  <w:divsChild>
                    <w:div w:id="1754162854">
                      <w:marLeft w:val="0"/>
                      <w:marRight w:val="0"/>
                      <w:marTop w:val="0"/>
                      <w:marBottom w:val="0"/>
                      <w:divBdr>
                        <w:top w:val="none" w:sz="0" w:space="0" w:color="auto"/>
                        <w:left w:val="none" w:sz="0" w:space="0" w:color="auto"/>
                        <w:bottom w:val="none" w:sz="0" w:space="0" w:color="auto"/>
                        <w:right w:val="none" w:sz="0" w:space="0" w:color="auto"/>
                      </w:divBdr>
                    </w:div>
                  </w:divsChild>
                </w:div>
                <w:div w:id="701827000">
                  <w:marLeft w:val="0"/>
                  <w:marRight w:val="0"/>
                  <w:marTop w:val="0"/>
                  <w:marBottom w:val="0"/>
                  <w:divBdr>
                    <w:top w:val="none" w:sz="0" w:space="0" w:color="auto"/>
                    <w:left w:val="none" w:sz="0" w:space="0" w:color="auto"/>
                    <w:bottom w:val="none" w:sz="0" w:space="0" w:color="auto"/>
                    <w:right w:val="none" w:sz="0" w:space="0" w:color="auto"/>
                  </w:divBdr>
                  <w:divsChild>
                    <w:div w:id="1652707988">
                      <w:marLeft w:val="0"/>
                      <w:marRight w:val="0"/>
                      <w:marTop w:val="0"/>
                      <w:marBottom w:val="0"/>
                      <w:divBdr>
                        <w:top w:val="none" w:sz="0" w:space="0" w:color="auto"/>
                        <w:left w:val="none" w:sz="0" w:space="0" w:color="auto"/>
                        <w:bottom w:val="none" w:sz="0" w:space="0" w:color="auto"/>
                        <w:right w:val="none" w:sz="0" w:space="0" w:color="auto"/>
                      </w:divBdr>
                    </w:div>
                  </w:divsChild>
                </w:div>
                <w:div w:id="744105652">
                  <w:marLeft w:val="0"/>
                  <w:marRight w:val="0"/>
                  <w:marTop w:val="0"/>
                  <w:marBottom w:val="0"/>
                  <w:divBdr>
                    <w:top w:val="none" w:sz="0" w:space="0" w:color="auto"/>
                    <w:left w:val="none" w:sz="0" w:space="0" w:color="auto"/>
                    <w:bottom w:val="none" w:sz="0" w:space="0" w:color="auto"/>
                    <w:right w:val="none" w:sz="0" w:space="0" w:color="auto"/>
                  </w:divBdr>
                  <w:divsChild>
                    <w:div w:id="407070445">
                      <w:marLeft w:val="0"/>
                      <w:marRight w:val="0"/>
                      <w:marTop w:val="0"/>
                      <w:marBottom w:val="0"/>
                      <w:divBdr>
                        <w:top w:val="none" w:sz="0" w:space="0" w:color="auto"/>
                        <w:left w:val="none" w:sz="0" w:space="0" w:color="auto"/>
                        <w:bottom w:val="none" w:sz="0" w:space="0" w:color="auto"/>
                        <w:right w:val="none" w:sz="0" w:space="0" w:color="auto"/>
                      </w:divBdr>
                    </w:div>
                  </w:divsChild>
                </w:div>
                <w:div w:id="755516588">
                  <w:marLeft w:val="0"/>
                  <w:marRight w:val="0"/>
                  <w:marTop w:val="0"/>
                  <w:marBottom w:val="0"/>
                  <w:divBdr>
                    <w:top w:val="none" w:sz="0" w:space="0" w:color="auto"/>
                    <w:left w:val="none" w:sz="0" w:space="0" w:color="auto"/>
                    <w:bottom w:val="none" w:sz="0" w:space="0" w:color="auto"/>
                    <w:right w:val="none" w:sz="0" w:space="0" w:color="auto"/>
                  </w:divBdr>
                  <w:divsChild>
                    <w:div w:id="1728602734">
                      <w:marLeft w:val="0"/>
                      <w:marRight w:val="0"/>
                      <w:marTop w:val="0"/>
                      <w:marBottom w:val="0"/>
                      <w:divBdr>
                        <w:top w:val="none" w:sz="0" w:space="0" w:color="auto"/>
                        <w:left w:val="none" w:sz="0" w:space="0" w:color="auto"/>
                        <w:bottom w:val="none" w:sz="0" w:space="0" w:color="auto"/>
                        <w:right w:val="none" w:sz="0" w:space="0" w:color="auto"/>
                      </w:divBdr>
                    </w:div>
                  </w:divsChild>
                </w:div>
                <w:div w:id="793792851">
                  <w:marLeft w:val="0"/>
                  <w:marRight w:val="0"/>
                  <w:marTop w:val="0"/>
                  <w:marBottom w:val="0"/>
                  <w:divBdr>
                    <w:top w:val="none" w:sz="0" w:space="0" w:color="auto"/>
                    <w:left w:val="none" w:sz="0" w:space="0" w:color="auto"/>
                    <w:bottom w:val="none" w:sz="0" w:space="0" w:color="auto"/>
                    <w:right w:val="none" w:sz="0" w:space="0" w:color="auto"/>
                  </w:divBdr>
                  <w:divsChild>
                    <w:div w:id="1475871038">
                      <w:marLeft w:val="0"/>
                      <w:marRight w:val="0"/>
                      <w:marTop w:val="0"/>
                      <w:marBottom w:val="0"/>
                      <w:divBdr>
                        <w:top w:val="none" w:sz="0" w:space="0" w:color="auto"/>
                        <w:left w:val="none" w:sz="0" w:space="0" w:color="auto"/>
                        <w:bottom w:val="none" w:sz="0" w:space="0" w:color="auto"/>
                        <w:right w:val="none" w:sz="0" w:space="0" w:color="auto"/>
                      </w:divBdr>
                    </w:div>
                  </w:divsChild>
                </w:div>
                <w:div w:id="828139108">
                  <w:marLeft w:val="0"/>
                  <w:marRight w:val="0"/>
                  <w:marTop w:val="0"/>
                  <w:marBottom w:val="0"/>
                  <w:divBdr>
                    <w:top w:val="none" w:sz="0" w:space="0" w:color="auto"/>
                    <w:left w:val="none" w:sz="0" w:space="0" w:color="auto"/>
                    <w:bottom w:val="none" w:sz="0" w:space="0" w:color="auto"/>
                    <w:right w:val="none" w:sz="0" w:space="0" w:color="auto"/>
                  </w:divBdr>
                  <w:divsChild>
                    <w:div w:id="1907060788">
                      <w:marLeft w:val="0"/>
                      <w:marRight w:val="0"/>
                      <w:marTop w:val="0"/>
                      <w:marBottom w:val="0"/>
                      <w:divBdr>
                        <w:top w:val="none" w:sz="0" w:space="0" w:color="auto"/>
                        <w:left w:val="none" w:sz="0" w:space="0" w:color="auto"/>
                        <w:bottom w:val="none" w:sz="0" w:space="0" w:color="auto"/>
                        <w:right w:val="none" w:sz="0" w:space="0" w:color="auto"/>
                      </w:divBdr>
                    </w:div>
                  </w:divsChild>
                </w:div>
                <w:div w:id="865556968">
                  <w:marLeft w:val="0"/>
                  <w:marRight w:val="0"/>
                  <w:marTop w:val="0"/>
                  <w:marBottom w:val="0"/>
                  <w:divBdr>
                    <w:top w:val="none" w:sz="0" w:space="0" w:color="auto"/>
                    <w:left w:val="none" w:sz="0" w:space="0" w:color="auto"/>
                    <w:bottom w:val="none" w:sz="0" w:space="0" w:color="auto"/>
                    <w:right w:val="none" w:sz="0" w:space="0" w:color="auto"/>
                  </w:divBdr>
                  <w:divsChild>
                    <w:div w:id="192696063">
                      <w:marLeft w:val="0"/>
                      <w:marRight w:val="0"/>
                      <w:marTop w:val="0"/>
                      <w:marBottom w:val="0"/>
                      <w:divBdr>
                        <w:top w:val="none" w:sz="0" w:space="0" w:color="auto"/>
                        <w:left w:val="none" w:sz="0" w:space="0" w:color="auto"/>
                        <w:bottom w:val="none" w:sz="0" w:space="0" w:color="auto"/>
                        <w:right w:val="none" w:sz="0" w:space="0" w:color="auto"/>
                      </w:divBdr>
                    </w:div>
                  </w:divsChild>
                </w:div>
                <w:div w:id="953946419">
                  <w:marLeft w:val="0"/>
                  <w:marRight w:val="0"/>
                  <w:marTop w:val="0"/>
                  <w:marBottom w:val="0"/>
                  <w:divBdr>
                    <w:top w:val="none" w:sz="0" w:space="0" w:color="auto"/>
                    <w:left w:val="none" w:sz="0" w:space="0" w:color="auto"/>
                    <w:bottom w:val="none" w:sz="0" w:space="0" w:color="auto"/>
                    <w:right w:val="none" w:sz="0" w:space="0" w:color="auto"/>
                  </w:divBdr>
                  <w:divsChild>
                    <w:div w:id="1322078091">
                      <w:marLeft w:val="0"/>
                      <w:marRight w:val="0"/>
                      <w:marTop w:val="0"/>
                      <w:marBottom w:val="0"/>
                      <w:divBdr>
                        <w:top w:val="none" w:sz="0" w:space="0" w:color="auto"/>
                        <w:left w:val="none" w:sz="0" w:space="0" w:color="auto"/>
                        <w:bottom w:val="none" w:sz="0" w:space="0" w:color="auto"/>
                        <w:right w:val="none" w:sz="0" w:space="0" w:color="auto"/>
                      </w:divBdr>
                    </w:div>
                  </w:divsChild>
                </w:div>
                <w:div w:id="975794767">
                  <w:marLeft w:val="0"/>
                  <w:marRight w:val="0"/>
                  <w:marTop w:val="0"/>
                  <w:marBottom w:val="0"/>
                  <w:divBdr>
                    <w:top w:val="none" w:sz="0" w:space="0" w:color="auto"/>
                    <w:left w:val="none" w:sz="0" w:space="0" w:color="auto"/>
                    <w:bottom w:val="none" w:sz="0" w:space="0" w:color="auto"/>
                    <w:right w:val="none" w:sz="0" w:space="0" w:color="auto"/>
                  </w:divBdr>
                  <w:divsChild>
                    <w:div w:id="742482712">
                      <w:marLeft w:val="0"/>
                      <w:marRight w:val="0"/>
                      <w:marTop w:val="0"/>
                      <w:marBottom w:val="0"/>
                      <w:divBdr>
                        <w:top w:val="none" w:sz="0" w:space="0" w:color="auto"/>
                        <w:left w:val="none" w:sz="0" w:space="0" w:color="auto"/>
                        <w:bottom w:val="none" w:sz="0" w:space="0" w:color="auto"/>
                        <w:right w:val="none" w:sz="0" w:space="0" w:color="auto"/>
                      </w:divBdr>
                    </w:div>
                  </w:divsChild>
                </w:div>
                <w:div w:id="981806678">
                  <w:marLeft w:val="0"/>
                  <w:marRight w:val="0"/>
                  <w:marTop w:val="0"/>
                  <w:marBottom w:val="0"/>
                  <w:divBdr>
                    <w:top w:val="none" w:sz="0" w:space="0" w:color="auto"/>
                    <w:left w:val="none" w:sz="0" w:space="0" w:color="auto"/>
                    <w:bottom w:val="none" w:sz="0" w:space="0" w:color="auto"/>
                    <w:right w:val="none" w:sz="0" w:space="0" w:color="auto"/>
                  </w:divBdr>
                  <w:divsChild>
                    <w:div w:id="939332761">
                      <w:marLeft w:val="0"/>
                      <w:marRight w:val="0"/>
                      <w:marTop w:val="0"/>
                      <w:marBottom w:val="0"/>
                      <w:divBdr>
                        <w:top w:val="none" w:sz="0" w:space="0" w:color="auto"/>
                        <w:left w:val="none" w:sz="0" w:space="0" w:color="auto"/>
                        <w:bottom w:val="none" w:sz="0" w:space="0" w:color="auto"/>
                        <w:right w:val="none" w:sz="0" w:space="0" w:color="auto"/>
                      </w:divBdr>
                    </w:div>
                  </w:divsChild>
                </w:div>
                <w:div w:id="985234387">
                  <w:marLeft w:val="0"/>
                  <w:marRight w:val="0"/>
                  <w:marTop w:val="0"/>
                  <w:marBottom w:val="0"/>
                  <w:divBdr>
                    <w:top w:val="none" w:sz="0" w:space="0" w:color="auto"/>
                    <w:left w:val="none" w:sz="0" w:space="0" w:color="auto"/>
                    <w:bottom w:val="none" w:sz="0" w:space="0" w:color="auto"/>
                    <w:right w:val="none" w:sz="0" w:space="0" w:color="auto"/>
                  </w:divBdr>
                  <w:divsChild>
                    <w:div w:id="236986185">
                      <w:marLeft w:val="0"/>
                      <w:marRight w:val="0"/>
                      <w:marTop w:val="0"/>
                      <w:marBottom w:val="0"/>
                      <w:divBdr>
                        <w:top w:val="none" w:sz="0" w:space="0" w:color="auto"/>
                        <w:left w:val="none" w:sz="0" w:space="0" w:color="auto"/>
                        <w:bottom w:val="none" w:sz="0" w:space="0" w:color="auto"/>
                        <w:right w:val="none" w:sz="0" w:space="0" w:color="auto"/>
                      </w:divBdr>
                    </w:div>
                  </w:divsChild>
                </w:div>
                <w:div w:id="1021273445">
                  <w:marLeft w:val="0"/>
                  <w:marRight w:val="0"/>
                  <w:marTop w:val="0"/>
                  <w:marBottom w:val="0"/>
                  <w:divBdr>
                    <w:top w:val="none" w:sz="0" w:space="0" w:color="auto"/>
                    <w:left w:val="none" w:sz="0" w:space="0" w:color="auto"/>
                    <w:bottom w:val="none" w:sz="0" w:space="0" w:color="auto"/>
                    <w:right w:val="none" w:sz="0" w:space="0" w:color="auto"/>
                  </w:divBdr>
                  <w:divsChild>
                    <w:div w:id="846363585">
                      <w:marLeft w:val="0"/>
                      <w:marRight w:val="0"/>
                      <w:marTop w:val="0"/>
                      <w:marBottom w:val="0"/>
                      <w:divBdr>
                        <w:top w:val="none" w:sz="0" w:space="0" w:color="auto"/>
                        <w:left w:val="none" w:sz="0" w:space="0" w:color="auto"/>
                        <w:bottom w:val="none" w:sz="0" w:space="0" w:color="auto"/>
                        <w:right w:val="none" w:sz="0" w:space="0" w:color="auto"/>
                      </w:divBdr>
                    </w:div>
                  </w:divsChild>
                </w:div>
                <w:div w:id="1036276025">
                  <w:marLeft w:val="0"/>
                  <w:marRight w:val="0"/>
                  <w:marTop w:val="0"/>
                  <w:marBottom w:val="0"/>
                  <w:divBdr>
                    <w:top w:val="none" w:sz="0" w:space="0" w:color="auto"/>
                    <w:left w:val="none" w:sz="0" w:space="0" w:color="auto"/>
                    <w:bottom w:val="none" w:sz="0" w:space="0" w:color="auto"/>
                    <w:right w:val="none" w:sz="0" w:space="0" w:color="auto"/>
                  </w:divBdr>
                  <w:divsChild>
                    <w:div w:id="826555104">
                      <w:marLeft w:val="0"/>
                      <w:marRight w:val="0"/>
                      <w:marTop w:val="0"/>
                      <w:marBottom w:val="0"/>
                      <w:divBdr>
                        <w:top w:val="none" w:sz="0" w:space="0" w:color="auto"/>
                        <w:left w:val="none" w:sz="0" w:space="0" w:color="auto"/>
                        <w:bottom w:val="none" w:sz="0" w:space="0" w:color="auto"/>
                        <w:right w:val="none" w:sz="0" w:space="0" w:color="auto"/>
                      </w:divBdr>
                    </w:div>
                  </w:divsChild>
                </w:div>
                <w:div w:id="1047335054">
                  <w:marLeft w:val="0"/>
                  <w:marRight w:val="0"/>
                  <w:marTop w:val="0"/>
                  <w:marBottom w:val="0"/>
                  <w:divBdr>
                    <w:top w:val="none" w:sz="0" w:space="0" w:color="auto"/>
                    <w:left w:val="none" w:sz="0" w:space="0" w:color="auto"/>
                    <w:bottom w:val="none" w:sz="0" w:space="0" w:color="auto"/>
                    <w:right w:val="none" w:sz="0" w:space="0" w:color="auto"/>
                  </w:divBdr>
                  <w:divsChild>
                    <w:div w:id="1157725398">
                      <w:marLeft w:val="0"/>
                      <w:marRight w:val="0"/>
                      <w:marTop w:val="0"/>
                      <w:marBottom w:val="0"/>
                      <w:divBdr>
                        <w:top w:val="none" w:sz="0" w:space="0" w:color="auto"/>
                        <w:left w:val="none" w:sz="0" w:space="0" w:color="auto"/>
                        <w:bottom w:val="none" w:sz="0" w:space="0" w:color="auto"/>
                        <w:right w:val="none" w:sz="0" w:space="0" w:color="auto"/>
                      </w:divBdr>
                    </w:div>
                  </w:divsChild>
                </w:div>
                <w:div w:id="1171263831">
                  <w:marLeft w:val="0"/>
                  <w:marRight w:val="0"/>
                  <w:marTop w:val="0"/>
                  <w:marBottom w:val="0"/>
                  <w:divBdr>
                    <w:top w:val="none" w:sz="0" w:space="0" w:color="auto"/>
                    <w:left w:val="none" w:sz="0" w:space="0" w:color="auto"/>
                    <w:bottom w:val="none" w:sz="0" w:space="0" w:color="auto"/>
                    <w:right w:val="none" w:sz="0" w:space="0" w:color="auto"/>
                  </w:divBdr>
                  <w:divsChild>
                    <w:div w:id="1859545074">
                      <w:marLeft w:val="0"/>
                      <w:marRight w:val="0"/>
                      <w:marTop w:val="0"/>
                      <w:marBottom w:val="0"/>
                      <w:divBdr>
                        <w:top w:val="none" w:sz="0" w:space="0" w:color="auto"/>
                        <w:left w:val="none" w:sz="0" w:space="0" w:color="auto"/>
                        <w:bottom w:val="none" w:sz="0" w:space="0" w:color="auto"/>
                        <w:right w:val="none" w:sz="0" w:space="0" w:color="auto"/>
                      </w:divBdr>
                    </w:div>
                  </w:divsChild>
                </w:div>
                <w:div w:id="1209487454">
                  <w:marLeft w:val="0"/>
                  <w:marRight w:val="0"/>
                  <w:marTop w:val="0"/>
                  <w:marBottom w:val="0"/>
                  <w:divBdr>
                    <w:top w:val="none" w:sz="0" w:space="0" w:color="auto"/>
                    <w:left w:val="none" w:sz="0" w:space="0" w:color="auto"/>
                    <w:bottom w:val="none" w:sz="0" w:space="0" w:color="auto"/>
                    <w:right w:val="none" w:sz="0" w:space="0" w:color="auto"/>
                  </w:divBdr>
                  <w:divsChild>
                    <w:div w:id="1733577211">
                      <w:marLeft w:val="0"/>
                      <w:marRight w:val="0"/>
                      <w:marTop w:val="0"/>
                      <w:marBottom w:val="0"/>
                      <w:divBdr>
                        <w:top w:val="none" w:sz="0" w:space="0" w:color="auto"/>
                        <w:left w:val="none" w:sz="0" w:space="0" w:color="auto"/>
                        <w:bottom w:val="none" w:sz="0" w:space="0" w:color="auto"/>
                        <w:right w:val="none" w:sz="0" w:space="0" w:color="auto"/>
                      </w:divBdr>
                    </w:div>
                  </w:divsChild>
                </w:div>
                <w:div w:id="1238902771">
                  <w:marLeft w:val="0"/>
                  <w:marRight w:val="0"/>
                  <w:marTop w:val="0"/>
                  <w:marBottom w:val="0"/>
                  <w:divBdr>
                    <w:top w:val="none" w:sz="0" w:space="0" w:color="auto"/>
                    <w:left w:val="none" w:sz="0" w:space="0" w:color="auto"/>
                    <w:bottom w:val="none" w:sz="0" w:space="0" w:color="auto"/>
                    <w:right w:val="none" w:sz="0" w:space="0" w:color="auto"/>
                  </w:divBdr>
                  <w:divsChild>
                    <w:div w:id="403259058">
                      <w:marLeft w:val="0"/>
                      <w:marRight w:val="0"/>
                      <w:marTop w:val="0"/>
                      <w:marBottom w:val="0"/>
                      <w:divBdr>
                        <w:top w:val="none" w:sz="0" w:space="0" w:color="auto"/>
                        <w:left w:val="none" w:sz="0" w:space="0" w:color="auto"/>
                        <w:bottom w:val="none" w:sz="0" w:space="0" w:color="auto"/>
                        <w:right w:val="none" w:sz="0" w:space="0" w:color="auto"/>
                      </w:divBdr>
                    </w:div>
                  </w:divsChild>
                </w:div>
                <w:div w:id="1328363230">
                  <w:marLeft w:val="0"/>
                  <w:marRight w:val="0"/>
                  <w:marTop w:val="0"/>
                  <w:marBottom w:val="0"/>
                  <w:divBdr>
                    <w:top w:val="none" w:sz="0" w:space="0" w:color="auto"/>
                    <w:left w:val="none" w:sz="0" w:space="0" w:color="auto"/>
                    <w:bottom w:val="none" w:sz="0" w:space="0" w:color="auto"/>
                    <w:right w:val="none" w:sz="0" w:space="0" w:color="auto"/>
                  </w:divBdr>
                  <w:divsChild>
                    <w:div w:id="971056620">
                      <w:marLeft w:val="0"/>
                      <w:marRight w:val="0"/>
                      <w:marTop w:val="0"/>
                      <w:marBottom w:val="0"/>
                      <w:divBdr>
                        <w:top w:val="none" w:sz="0" w:space="0" w:color="auto"/>
                        <w:left w:val="none" w:sz="0" w:space="0" w:color="auto"/>
                        <w:bottom w:val="none" w:sz="0" w:space="0" w:color="auto"/>
                        <w:right w:val="none" w:sz="0" w:space="0" w:color="auto"/>
                      </w:divBdr>
                    </w:div>
                  </w:divsChild>
                </w:div>
                <w:div w:id="1420180222">
                  <w:marLeft w:val="0"/>
                  <w:marRight w:val="0"/>
                  <w:marTop w:val="0"/>
                  <w:marBottom w:val="0"/>
                  <w:divBdr>
                    <w:top w:val="none" w:sz="0" w:space="0" w:color="auto"/>
                    <w:left w:val="none" w:sz="0" w:space="0" w:color="auto"/>
                    <w:bottom w:val="none" w:sz="0" w:space="0" w:color="auto"/>
                    <w:right w:val="none" w:sz="0" w:space="0" w:color="auto"/>
                  </w:divBdr>
                  <w:divsChild>
                    <w:div w:id="1649170894">
                      <w:marLeft w:val="0"/>
                      <w:marRight w:val="0"/>
                      <w:marTop w:val="0"/>
                      <w:marBottom w:val="0"/>
                      <w:divBdr>
                        <w:top w:val="none" w:sz="0" w:space="0" w:color="auto"/>
                        <w:left w:val="none" w:sz="0" w:space="0" w:color="auto"/>
                        <w:bottom w:val="none" w:sz="0" w:space="0" w:color="auto"/>
                        <w:right w:val="none" w:sz="0" w:space="0" w:color="auto"/>
                      </w:divBdr>
                    </w:div>
                  </w:divsChild>
                </w:div>
                <w:div w:id="1423405408">
                  <w:marLeft w:val="0"/>
                  <w:marRight w:val="0"/>
                  <w:marTop w:val="0"/>
                  <w:marBottom w:val="0"/>
                  <w:divBdr>
                    <w:top w:val="none" w:sz="0" w:space="0" w:color="auto"/>
                    <w:left w:val="none" w:sz="0" w:space="0" w:color="auto"/>
                    <w:bottom w:val="none" w:sz="0" w:space="0" w:color="auto"/>
                    <w:right w:val="none" w:sz="0" w:space="0" w:color="auto"/>
                  </w:divBdr>
                  <w:divsChild>
                    <w:div w:id="725179444">
                      <w:marLeft w:val="0"/>
                      <w:marRight w:val="0"/>
                      <w:marTop w:val="0"/>
                      <w:marBottom w:val="0"/>
                      <w:divBdr>
                        <w:top w:val="none" w:sz="0" w:space="0" w:color="auto"/>
                        <w:left w:val="none" w:sz="0" w:space="0" w:color="auto"/>
                        <w:bottom w:val="none" w:sz="0" w:space="0" w:color="auto"/>
                        <w:right w:val="none" w:sz="0" w:space="0" w:color="auto"/>
                      </w:divBdr>
                    </w:div>
                  </w:divsChild>
                </w:div>
                <w:div w:id="1502962858">
                  <w:marLeft w:val="0"/>
                  <w:marRight w:val="0"/>
                  <w:marTop w:val="0"/>
                  <w:marBottom w:val="0"/>
                  <w:divBdr>
                    <w:top w:val="none" w:sz="0" w:space="0" w:color="auto"/>
                    <w:left w:val="none" w:sz="0" w:space="0" w:color="auto"/>
                    <w:bottom w:val="none" w:sz="0" w:space="0" w:color="auto"/>
                    <w:right w:val="none" w:sz="0" w:space="0" w:color="auto"/>
                  </w:divBdr>
                  <w:divsChild>
                    <w:div w:id="628634396">
                      <w:marLeft w:val="0"/>
                      <w:marRight w:val="0"/>
                      <w:marTop w:val="0"/>
                      <w:marBottom w:val="0"/>
                      <w:divBdr>
                        <w:top w:val="none" w:sz="0" w:space="0" w:color="auto"/>
                        <w:left w:val="none" w:sz="0" w:space="0" w:color="auto"/>
                        <w:bottom w:val="none" w:sz="0" w:space="0" w:color="auto"/>
                        <w:right w:val="none" w:sz="0" w:space="0" w:color="auto"/>
                      </w:divBdr>
                    </w:div>
                  </w:divsChild>
                </w:div>
                <w:div w:id="1529904206">
                  <w:marLeft w:val="0"/>
                  <w:marRight w:val="0"/>
                  <w:marTop w:val="0"/>
                  <w:marBottom w:val="0"/>
                  <w:divBdr>
                    <w:top w:val="none" w:sz="0" w:space="0" w:color="auto"/>
                    <w:left w:val="none" w:sz="0" w:space="0" w:color="auto"/>
                    <w:bottom w:val="none" w:sz="0" w:space="0" w:color="auto"/>
                    <w:right w:val="none" w:sz="0" w:space="0" w:color="auto"/>
                  </w:divBdr>
                  <w:divsChild>
                    <w:div w:id="878125771">
                      <w:marLeft w:val="0"/>
                      <w:marRight w:val="0"/>
                      <w:marTop w:val="0"/>
                      <w:marBottom w:val="0"/>
                      <w:divBdr>
                        <w:top w:val="none" w:sz="0" w:space="0" w:color="auto"/>
                        <w:left w:val="none" w:sz="0" w:space="0" w:color="auto"/>
                        <w:bottom w:val="none" w:sz="0" w:space="0" w:color="auto"/>
                        <w:right w:val="none" w:sz="0" w:space="0" w:color="auto"/>
                      </w:divBdr>
                    </w:div>
                  </w:divsChild>
                </w:div>
                <w:div w:id="1611207271">
                  <w:marLeft w:val="0"/>
                  <w:marRight w:val="0"/>
                  <w:marTop w:val="0"/>
                  <w:marBottom w:val="0"/>
                  <w:divBdr>
                    <w:top w:val="none" w:sz="0" w:space="0" w:color="auto"/>
                    <w:left w:val="none" w:sz="0" w:space="0" w:color="auto"/>
                    <w:bottom w:val="none" w:sz="0" w:space="0" w:color="auto"/>
                    <w:right w:val="none" w:sz="0" w:space="0" w:color="auto"/>
                  </w:divBdr>
                  <w:divsChild>
                    <w:div w:id="923756710">
                      <w:marLeft w:val="0"/>
                      <w:marRight w:val="0"/>
                      <w:marTop w:val="0"/>
                      <w:marBottom w:val="0"/>
                      <w:divBdr>
                        <w:top w:val="none" w:sz="0" w:space="0" w:color="auto"/>
                        <w:left w:val="none" w:sz="0" w:space="0" w:color="auto"/>
                        <w:bottom w:val="none" w:sz="0" w:space="0" w:color="auto"/>
                        <w:right w:val="none" w:sz="0" w:space="0" w:color="auto"/>
                      </w:divBdr>
                    </w:div>
                  </w:divsChild>
                </w:div>
                <w:div w:id="1613396930">
                  <w:marLeft w:val="0"/>
                  <w:marRight w:val="0"/>
                  <w:marTop w:val="0"/>
                  <w:marBottom w:val="0"/>
                  <w:divBdr>
                    <w:top w:val="none" w:sz="0" w:space="0" w:color="auto"/>
                    <w:left w:val="none" w:sz="0" w:space="0" w:color="auto"/>
                    <w:bottom w:val="none" w:sz="0" w:space="0" w:color="auto"/>
                    <w:right w:val="none" w:sz="0" w:space="0" w:color="auto"/>
                  </w:divBdr>
                  <w:divsChild>
                    <w:div w:id="1472820668">
                      <w:marLeft w:val="0"/>
                      <w:marRight w:val="0"/>
                      <w:marTop w:val="0"/>
                      <w:marBottom w:val="0"/>
                      <w:divBdr>
                        <w:top w:val="none" w:sz="0" w:space="0" w:color="auto"/>
                        <w:left w:val="none" w:sz="0" w:space="0" w:color="auto"/>
                        <w:bottom w:val="none" w:sz="0" w:space="0" w:color="auto"/>
                        <w:right w:val="none" w:sz="0" w:space="0" w:color="auto"/>
                      </w:divBdr>
                    </w:div>
                  </w:divsChild>
                </w:div>
                <w:div w:id="1712344855">
                  <w:marLeft w:val="0"/>
                  <w:marRight w:val="0"/>
                  <w:marTop w:val="0"/>
                  <w:marBottom w:val="0"/>
                  <w:divBdr>
                    <w:top w:val="none" w:sz="0" w:space="0" w:color="auto"/>
                    <w:left w:val="none" w:sz="0" w:space="0" w:color="auto"/>
                    <w:bottom w:val="none" w:sz="0" w:space="0" w:color="auto"/>
                    <w:right w:val="none" w:sz="0" w:space="0" w:color="auto"/>
                  </w:divBdr>
                  <w:divsChild>
                    <w:div w:id="1492869937">
                      <w:marLeft w:val="0"/>
                      <w:marRight w:val="0"/>
                      <w:marTop w:val="0"/>
                      <w:marBottom w:val="0"/>
                      <w:divBdr>
                        <w:top w:val="none" w:sz="0" w:space="0" w:color="auto"/>
                        <w:left w:val="none" w:sz="0" w:space="0" w:color="auto"/>
                        <w:bottom w:val="none" w:sz="0" w:space="0" w:color="auto"/>
                        <w:right w:val="none" w:sz="0" w:space="0" w:color="auto"/>
                      </w:divBdr>
                    </w:div>
                  </w:divsChild>
                </w:div>
                <w:div w:id="1728260469">
                  <w:marLeft w:val="0"/>
                  <w:marRight w:val="0"/>
                  <w:marTop w:val="0"/>
                  <w:marBottom w:val="0"/>
                  <w:divBdr>
                    <w:top w:val="none" w:sz="0" w:space="0" w:color="auto"/>
                    <w:left w:val="none" w:sz="0" w:space="0" w:color="auto"/>
                    <w:bottom w:val="none" w:sz="0" w:space="0" w:color="auto"/>
                    <w:right w:val="none" w:sz="0" w:space="0" w:color="auto"/>
                  </w:divBdr>
                  <w:divsChild>
                    <w:div w:id="1121533405">
                      <w:marLeft w:val="0"/>
                      <w:marRight w:val="0"/>
                      <w:marTop w:val="0"/>
                      <w:marBottom w:val="0"/>
                      <w:divBdr>
                        <w:top w:val="none" w:sz="0" w:space="0" w:color="auto"/>
                        <w:left w:val="none" w:sz="0" w:space="0" w:color="auto"/>
                        <w:bottom w:val="none" w:sz="0" w:space="0" w:color="auto"/>
                        <w:right w:val="none" w:sz="0" w:space="0" w:color="auto"/>
                      </w:divBdr>
                    </w:div>
                  </w:divsChild>
                </w:div>
                <w:div w:id="1730490861">
                  <w:marLeft w:val="0"/>
                  <w:marRight w:val="0"/>
                  <w:marTop w:val="0"/>
                  <w:marBottom w:val="0"/>
                  <w:divBdr>
                    <w:top w:val="none" w:sz="0" w:space="0" w:color="auto"/>
                    <w:left w:val="none" w:sz="0" w:space="0" w:color="auto"/>
                    <w:bottom w:val="none" w:sz="0" w:space="0" w:color="auto"/>
                    <w:right w:val="none" w:sz="0" w:space="0" w:color="auto"/>
                  </w:divBdr>
                  <w:divsChild>
                    <w:div w:id="222524467">
                      <w:marLeft w:val="0"/>
                      <w:marRight w:val="0"/>
                      <w:marTop w:val="0"/>
                      <w:marBottom w:val="0"/>
                      <w:divBdr>
                        <w:top w:val="none" w:sz="0" w:space="0" w:color="auto"/>
                        <w:left w:val="none" w:sz="0" w:space="0" w:color="auto"/>
                        <w:bottom w:val="none" w:sz="0" w:space="0" w:color="auto"/>
                        <w:right w:val="none" w:sz="0" w:space="0" w:color="auto"/>
                      </w:divBdr>
                    </w:div>
                  </w:divsChild>
                </w:div>
                <w:div w:id="1753046559">
                  <w:marLeft w:val="0"/>
                  <w:marRight w:val="0"/>
                  <w:marTop w:val="0"/>
                  <w:marBottom w:val="0"/>
                  <w:divBdr>
                    <w:top w:val="none" w:sz="0" w:space="0" w:color="auto"/>
                    <w:left w:val="none" w:sz="0" w:space="0" w:color="auto"/>
                    <w:bottom w:val="none" w:sz="0" w:space="0" w:color="auto"/>
                    <w:right w:val="none" w:sz="0" w:space="0" w:color="auto"/>
                  </w:divBdr>
                  <w:divsChild>
                    <w:div w:id="1533690363">
                      <w:marLeft w:val="0"/>
                      <w:marRight w:val="0"/>
                      <w:marTop w:val="0"/>
                      <w:marBottom w:val="0"/>
                      <w:divBdr>
                        <w:top w:val="none" w:sz="0" w:space="0" w:color="auto"/>
                        <w:left w:val="none" w:sz="0" w:space="0" w:color="auto"/>
                        <w:bottom w:val="none" w:sz="0" w:space="0" w:color="auto"/>
                        <w:right w:val="none" w:sz="0" w:space="0" w:color="auto"/>
                      </w:divBdr>
                    </w:div>
                    <w:div w:id="2065248949">
                      <w:marLeft w:val="0"/>
                      <w:marRight w:val="0"/>
                      <w:marTop w:val="0"/>
                      <w:marBottom w:val="0"/>
                      <w:divBdr>
                        <w:top w:val="none" w:sz="0" w:space="0" w:color="auto"/>
                        <w:left w:val="none" w:sz="0" w:space="0" w:color="auto"/>
                        <w:bottom w:val="none" w:sz="0" w:space="0" w:color="auto"/>
                        <w:right w:val="none" w:sz="0" w:space="0" w:color="auto"/>
                      </w:divBdr>
                    </w:div>
                  </w:divsChild>
                </w:div>
                <w:div w:id="1801339991">
                  <w:marLeft w:val="0"/>
                  <w:marRight w:val="0"/>
                  <w:marTop w:val="0"/>
                  <w:marBottom w:val="0"/>
                  <w:divBdr>
                    <w:top w:val="none" w:sz="0" w:space="0" w:color="auto"/>
                    <w:left w:val="none" w:sz="0" w:space="0" w:color="auto"/>
                    <w:bottom w:val="none" w:sz="0" w:space="0" w:color="auto"/>
                    <w:right w:val="none" w:sz="0" w:space="0" w:color="auto"/>
                  </w:divBdr>
                  <w:divsChild>
                    <w:div w:id="608584615">
                      <w:marLeft w:val="0"/>
                      <w:marRight w:val="0"/>
                      <w:marTop w:val="0"/>
                      <w:marBottom w:val="0"/>
                      <w:divBdr>
                        <w:top w:val="none" w:sz="0" w:space="0" w:color="auto"/>
                        <w:left w:val="none" w:sz="0" w:space="0" w:color="auto"/>
                        <w:bottom w:val="none" w:sz="0" w:space="0" w:color="auto"/>
                        <w:right w:val="none" w:sz="0" w:space="0" w:color="auto"/>
                      </w:divBdr>
                    </w:div>
                  </w:divsChild>
                </w:div>
                <w:div w:id="1813328248">
                  <w:marLeft w:val="0"/>
                  <w:marRight w:val="0"/>
                  <w:marTop w:val="0"/>
                  <w:marBottom w:val="0"/>
                  <w:divBdr>
                    <w:top w:val="none" w:sz="0" w:space="0" w:color="auto"/>
                    <w:left w:val="none" w:sz="0" w:space="0" w:color="auto"/>
                    <w:bottom w:val="none" w:sz="0" w:space="0" w:color="auto"/>
                    <w:right w:val="none" w:sz="0" w:space="0" w:color="auto"/>
                  </w:divBdr>
                  <w:divsChild>
                    <w:div w:id="1915890991">
                      <w:marLeft w:val="0"/>
                      <w:marRight w:val="0"/>
                      <w:marTop w:val="0"/>
                      <w:marBottom w:val="0"/>
                      <w:divBdr>
                        <w:top w:val="none" w:sz="0" w:space="0" w:color="auto"/>
                        <w:left w:val="none" w:sz="0" w:space="0" w:color="auto"/>
                        <w:bottom w:val="none" w:sz="0" w:space="0" w:color="auto"/>
                        <w:right w:val="none" w:sz="0" w:space="0" w:color="auto"/>
                      </w:divBdr>
                    </w:div>
                  </w:divsChild>
                </w:div>
                <w:div w:id="1940871265">
                  <w:marLeft w:val="0"/>
                  <w:marRight w:val="0"/>
                  <w:marTop w:val="0"/>
                  <w:marBottom w:val="0"/>
                  <w:divBdr>
                    <w:top w:val="none" w:sz="0" w:space="0" w:color="auto"/>
                    <w:left w:val="none" w:sz="0" w:space="0" w:color="auto"/>
                    <w:bottom w:val="none" w:sz="0" w:space="0" w:color="auto"/>
                    <w:right w:val="none" w:sz="0" w:space="0" w:color="auto"/>
                  </w:divBdr>
                  <w:divsChild>
                    <w:div w:id="1872910996">
                      <w:marLeft w:val="0"/>
                      <w:marRight w:val="0"/>
                      <w:marTop w:val="0"/>
                      <w:marBottom w:val="0"/>
                      <w:divBdr>
                        <w:top w:val="none" w:sz="0" w:space="0" w:color="auto"/>
                        <w:left w:val="none" w:sz="0" w:space="0" w:color="auto"/>
                        <w:bottom w:val="none" w:sz="0" w:space="0" w:color="auto"/>
                        <w:right w:val="none" w:sz="0" w:space="0" w:color="auto"/>
                      </w:divBdr>
                    </w:div>
                  </w:divsChild>
                </w:div>
                <w:div w:id="1987126934">
                  <w:marLeft w:val="0"/>
                  <w:marRight w:val="0"/>
                  <w:marTop w:val="0"/>
                  <w:marBottom w:val="0"/>
                  <w:divBdr>
                    <w:top w:val="none" w:sz="0" w:space="0" w:color="auto"/>
                    <w:left w:val="none" w:sz="0" w:space="0" w:color="auto"/>
                    <w:bottom w:val="none" w:sz="0" w:space="0" w:color="auto"/>
                    <w:right w:val="none" w:sz="0" w:space="0" w:color="auto"/>
                  </w:divBdr>
                  <w:divsChild>
                    <w:div w:id="1086266313">
                      <w:marLeft w:val="0"/>
                      <w:marRight w:val="0"/>
                      <w:marTop w:val="0"/>
                      <w:marBottom w:val="0"/>
                      <w:divBdr>
                        <w:top w:val="none" w:sz="0" w:space="0" w:color="auto"/>
                        <w:left w:val="none" w:sz="0" w:space="0" w:color="auto"/>
                        <w:bottom w:val="none" w:sz="0" w:space="0" w:color="auto"/>
                        <w:right w:val="none" w:sz="0" w:space="0" w:color="auto"/>
                      </w:divBdr>
                    </w:div>
                  </w:divsChild>
                </w:div>
                <w:div w:id="2006858296">
                  <w:marLeft w:val="0"/>
                  <w:marRight w:val="0"/>
                  <w:marTop w:val="0"/>
                  <w:marBottom w:val="0"/>
                  <w:divBdr>
                    <w:top w:val="none" w:sz="0" w:space="0" w:color="auto"/>
                    <w:left w:val="none" w:sz="0" w:space="0" w:color="auto"/>
                    <w:bottom w:val="none" w:sz="0" w:space="0" w:color="auto"/>
                    <w:right w:val="none" w:sz="0" w:space="0" w:color="auto"/>
                  </w:divBdr>
                  <w:divsChild>
                    <w:div w:id="1910799979">
                      <w:marLeft w:val="0"/>
                      <w:marRight w:val="0"/>
                      <w:marTop w:val="0"/>
                      <w:marBottom w:val="0"/>
                      <w:divBdr>
                        <w:top w:val="none" w:sz="0" w:space="0" w:color="auto"/>
                        <w:left w:val="none" w:sz="0" w:space="0" w:color="auto"/>
                        <w:bottom w:val="none" w:sz="0" w:space="0" w:color="auto"/>
                        <w:right w:val="none" w:sz="0" w:space="0" w:color="auto"/>
                      </w:divBdr>
                    </w:div>
                  </w:divsChild>
                </w:div>
                <w:div w:id="2010867710">
                  <w:marLeft w:val="0"/>
                  <w:marRight w:val="0"/>
                  <w:marTop w:val="0"/>
                  <w:marBottom w:val="0"/>
                  <w:divBdr>
                    <w:top w:val="none" w:sz="0" w:space="0" w:color="auto"/>
                    <w:left w:val="none" w:sz="0" w:space="0" w:color="auto"/>
                    <w:bottom w:val="none" w:sz="0" w:space="0" w:color="auto"/>
                    <w:right w:val="none" w:sz="0" w:space="0" w:color="auto"/>
                  </w:divBdr>
                  <w:divsChild>
                    <w:div w:id="2108115756">
                      <w:marLeft w:val="0"/>
                      <w:marRight w:val="0"/>
                      <w:marTop w:val="0"/>
                      <w:marBottom w:val="0"/>
                      <w:divBdr>
                        <w:top w:val="none" w:sz="0" w:space="0" w:color="auto"/>
                        <w:left w:val="none" w:sz="0" w:space="0" w:color="auto"/>
                        <w:bottom w:val="none" w:sz="0" w:space="0" w:color="auto"/>
                        <w:right w:val="none" w:sz="0" w:space="0" w:color="auto"/>
                      </w:divBdr>
                    </w:div>
                  </w:divsChild>
                </w:div>
                <w:div w:id="2036079837">
                  <w:marLeft w:val="0"/>
                  <w:marRight w:val="0"/>
                  <w:marTop w:val="0"/>
                  <w:marBottom w:val="0"/>
                  <w:divBdr>
                    <w:top w:val="none" w:sz="0" w:space="0" w:color="auto"/>
                    <w:left w:val="none" w:sz="0" w:space="0" w:color="auto"/>
                    <w:bottom w:val="none" w:sz="0" w:space="0" w:color="auto"/>
                    <w:right w:val="none" w:sz="0" w:space="0" w:color="auto"/>
                  </w:divBdr>
                  <w:divsChild>
                    <w:div w:id="666711427">
                      <w:marLeft w:val="0"/>
                      <w:marRight w:val="0"/>
                      <w:marTop w:val="0"/>
                      <w:marBottom w:val="0"/>
                      <w:divBdr>
                        <w:top w:val="none" w:sz="0" w:space="0" w:color="auto"/>
                        <w:left w:val="none" w:sz="0" w:space="0" w:color="auto"/>
                        <w:bottom w:val="none" w:sz="0" w:space="0" w:color="auto"/>
                        <w:right w:val="none" w:sz="0" w:space="0" w:color="auto"/>
                      </w:divBdr>
                    </w:div>
                  </w:divsChild>
                </w:div>
                <w:div w:id="2096243502">
                  <w:marLeft w:val="0"/>
                  <w:marRight w:val="0"/>
                  <w:marTop w:val="0"/>
                  <w:marBottom w:val="0"/>
                  <w:divBdr>
                    <w:top w:val="none" w:sz="0" w:space="0" w:color="auto"/>
                    <w:left w:val="none" w:sz="0" w:space="0" w:color="auto"/>
                    <w:bottom w:val="none" w:sz="0" w:space="0" w:color="auto"/>
                    <w:right w:val="none" w:sz="0" w:space="0" w:color="auto"/>
                  </w:divBdr>
                  <w:divsChild>
                    <w:div w:id="475223566">
                      <w:marLeft w:val="0"/>
                      <w:marRight w:val="0"/>
                      <w:marTop w:val="0"/>
                      <w:marBottom w:val="0"/>
                      <w:divBdr>
                        <w:top w:val="none" w:sz="0" w:space="0" w:color="auto"/>
                        <w:left w:val="none" w:sz="0" w:space="0" w:color="auto"/>
                        <w:bottom w:val="none" w:sz="0" w:space="0" w:color="auto"/>
                        <w:right w:val="none" w:sz="0" w:space="0" w:color="auto"/>
                      </w:divBdr>
                    </w:div>
                  </w:divsChild>
                </w:div>
                <w:div w:id="2112970175">
                  <w:marLeft w:val="0"/>
                  <w:marRight w:val="0"/>
                  <w:marTop w:val="0"/>
                  <w:marBottom w:val="0"/>
                  <w:divBdr>
                    <w:top w:val="none" w:sz="0" w:space="0" w:color="auto"/>
                    <w:left w:val="none" w:sz="0" w:space="0" w:color="auto"/>
                    <w:bottom w:val="none" w:sz="0" w:space="0" w:color="auto"/>
                    <w:right w:val="none" w:sz="0" w:space="0" w:color="auto"/>
                  </w:divBdr>
                  <w:divsChild>
                    <w:div w:id="1760100489">
                      <w:marLeft w:val="0"/>
                      <w:marRight w:val="0"/>
                      <w:marTop w:val="0"/>
                      <w:marBottom w:val="0"/>
                      <w:divBdr>
                        <w:top w:val="none" w:sz="0" w:space="0" w:color="auto"/>
                        <w:left w:val="none" w:sz="0" w:space="0" w:color="auto"/>
                        <w:bottom w:val="none" w:sz="0" w:space="0" w:color="auto"/>
                        <w:right w:val="none" w:sz="0" w:space="0" w:color="auto"/>
                      </w:divBdr>
                    </w:div>
                  </w:divsChild>
                </w:div>
                <w:div w:id="2125148413">
                  <w:marLeft w:val="0"/>
                  <w:marRight w:val="0"/>
                  <w:marTop w:val="0"/>
                  <w:marBottom w:val="0"/>
                  <w:divBdr>
                    <w:top w:val="none" w:sz="0" w:space="0" w:color="auto"/>
                    <w:left w:val="none" w:sz="0" w:space="0" w:color="auto"/>
                    <w:bottom w:val="none" w:sz="0" w:space="0" w:color="auto"/>
                    <w:right w:val="none" w:sz="0" w:space="0" w:color="auto"/>
                  </w:divBdr>
                  <w:divsChild>
                    <w:div w:id="501697458">
                      <w:marLeft w:val="0"/>
                      <w:marRight w:val="0"/>
                      <w:marTop w:val="0"/>
                      <w:marBottom w:val="0"/>
                      <w:divBdr>
                        <w:top w:val="none" w:sz="0" w:space="0" w:color="auto"/>
                        <w:left w:val="none" w:sz="0" w:space="0" w:color="auto"/>
                        <w:bottom w:val="none" w:sz="0" w:space="0" w:color="auto"/>
                        <w:right w:val="none" w:sz="0" w:space="0" w:color="auto"/>
                      </w:divBdr>
                    </w:div>
                  </w:divsChild>
                </w:div>
                <w:div w:id="2138257984">
                  <w:marLeft w:val="0"/>
                  <w:marRight w:val="0"/>
                  <w:marTop w:val="0"/>
                  <w:marBottom w:val="0"/>
                  <w:divBdr>
                    <w:top w:val="none" w:sz="0" w:space="0" w:color="auto"/>
                    <w:left w:val="none" w:sz="0" w:space="0" w:color="auto"/>
                    <w:bottom w:val="none" w:sz="0" w:space="0" w:color="auto"/>
                    <w:right w:val="none" w:sz="0" w:space="0" w:color="auto"/>
                  </w:divBdr>
                  <w:divsChild>
                    <w:div w:id="1196425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129365">
          <w:marLeft w:val="0"/>
          <w:marRight w:val="0"/>
          <w:marTop w:val="0"/>
          <w:marBottom w:val="0"/>
          <w:divBdr>
            <w:top w:val="none" w:sz="0" w:space="0" w:color="auto"/>
            <w:left w:val="none" w:sz="0" w:space="0" w:color="auto"/>
            <w:bottom w:val="none" w:sz="0" w:space="0" w:color="auto"/>
            <w:right w:val="none" w:sz="0" w:space="0" w:color="auto"/>
          </w:divBdr>
          <w:divsChild>
            <w:div w:id="133566371">
              <w:marLeft w:val="0"/>
              <w:marRight w:val="0"/>
              <w:marTop w:val="0"/>
              <w:marBottom w:val="0"/>
              <w:divBdr>
                <w:top w:val="none" w:sz="0" w:space="0" w:color="auto"/>
                <w:left w:val="none" w:sz="0" w:space="0" w:color="auto"/>
                <w:bottom w:val="none" w:sz="0" w:space="0" w:color="auto"/>
                <w:right w:val="none" w:sz="0" w:space="0" w:color="auto"/>
              </w:divBdr>
            </w:div>
            <w:div w:id="145636561">
              <w:marLeft w:val="0"/>
              <w:marRight w:val="0"/>
              <w:marTop w:val="0"/>
              <w:marBottom w:val="0"/>
              <w:divBdr>
                <w:top w:val="none" w:sz="0" w:space="0" w:color="auto"/>
                <w:left w:val="none" w:sz="0" w:space="0" w:color="auto"/>
                <w:bottom w:val="none" w:sz="0" w:space="0" w:color="auto"/>
                <w:right w:val="none" w:sz="0" w:space="0" w:color="auto"/>
              </w:divBdr>
            </w:div>
            <w:div w:id="204026986">
              <w:marLeft w:val="0"/>
              <w:marRight w:val="0"/>
              <w:marTop w:val="0"/>
              <w:marBottom w:val="0"/>
              <w:divBdr>
                <w:top w:val="none" w:sz="0" w:space="0" w:color="auto"/>
                <w:left w:val="none" w:sz="0" w:space="0" w:color="auto"/>
                <w:bottom w:val="none" w:sz="0" w:space="0" w:color="auto"/>
                <w:right w:val="none" w:sz="0" w:space="0" w:color="auto"/>
              </w:divBdr>
            </w:div>
            <w:div w:id="381293977">
              <w:marLeft w:val="0"/>
              <w:marRight w:val="0"/>
              <w:marTop w:val="0"/>
              <w:marBottom w:val="0"/>
              <w:divBdr>
                <w:top w:val="none" w:sz="0" w:space="0" w:color="auto"/>
                <w:left w:val="none" w:sz="0" w:space="0" w:color="auto"/>
                <w:bottom w:val="none" w:sz="0" w:space="0" w:color="auto"/>
                <w:right w:val="none" w:sz="0" w:space="0" w:color="auto"/>
              </w:divBdr>
            </w:div>
            <w:div w:id="392239358">
              <w:marLeft w:val="0"/>
              <w:marRight w:val="0"/>
              <w:marTop w:val="0"/>
              <w:marBottom w:val="0"/>
              <w:divBdr>
                <w:top w:val="none" w:sz="0" w:space="0" w:color="auto"/>
                <w:left w:val="none" w:sz="0" w:space="0" w:color="auto"/>
                <w:bottom w:val="none" w:sz="0" w:space="0" w:color="auto"/>
                <w:right w:val="none" w:sz="0" w:space="0" w:color="auto"/>
              </w:divBdr>
            </w:div>
            <w:div w:id="397751497">
              <w:marLeft w:val="0"/>
              <w:marRight w:val="0"/>
              <w:marTop w:val="0"/>
              <w:marBottom w:val="0"/>
              <w:divBdr>
                <w:top w:val="none" w:sz="0" w:space="0" w:color="auto"/>
                <w:left w:val="none" w:sz="0" w:space="0" w:color="auto"/>
                <w:bottom w:val="none" w:sz="0" w:space="0" w:color="auto"/>
                <w:right w:val="none" w:sz="0" w:space="0" w:color="auto"/>
              </w:divBdr>
            </w:div>
            <w:div w:id="473059210">
              <w:marLeft w:val="0"/>
              <w:marRight w:val="0"/>
              <w:marTop w:val="0"/>
              <w:marBottom w:val="0"/>
              <w:divBdr>
                <w:top w:val="none" w:sz="0" w:space="0" w:color="auto"/>
                <w:left w:val="none" w:sz="0" w:space="0" w:color="auto"/>
                <w:bottom w:val="none" w:sz="0" w:space="0" w:color="auto"/>
                <w:right w:val="none" w:sz="0" w:space="0" w:color="auto"/>
              </w:divBdr>
            </w:div>
            <w:div w:id="515508476">
              <w:marLeft w:val="0"/>
              <w:marRight w:val="0"/>
              <w:marTop w:val="0"/>
              <w:marBottom w:val="0"/>
              <w:divBdr>
                <w:top w:val="none" w:sz="0" w:space="0" w:color="auto"/>
                <w:left w:val="none" w:sz="0" w:space="0" w:color="auto"/>
                <w:bottom w:val="none" w:sz="0" w:space="0" w:color="auto"/>
                <w:right w:val="none" w:sz="0" w:space="0" w:color="auto"/>
              </w:divBdr>
            </w:div>
            <w:div w:id="564217834">
              <w:marLeft w:val="0"/>
              <w:marRight w:val="0"/>
              <w:marTop w:val="0"/>
              <w:marBottom w:val="0"/>
              <w:divBdr>
                <w:top w:val="none" w:sz="0" w:space="0" w:color="auto"/>
                <w:left w:val="none" w:sz="0" w:space="0" w:color="auto"/>
                <w:bottom w:val="none" w:sz="0" w:space="0" w:color="auto"/>
                <w:right w:val="none" w:sz="0" w:space="0" w:color="auto"/>
              </w:divBdr>
            </w:div>
            <w:div w:id="688261121">
              <w:marLeft w:val="0"/>
              <w:marRight w:val="0"/>
              <w:marTop w:val="0"/>
              <w:marBottom w:val="0"/>
              <w:divBdr>
                <w:top w:val="none" w:sz="0" w:space="0" w:color="auto"/>
                <w:left w:val="none" w:sz="0" w:space="0" w:color="auto"/>
                <w:bottom w:val="none" w:sz="0" w:space="0" w:color="auto"/>
                <w:right w:val="none" w:sz="0" w:space="0" w:color="auto"/>
              </w:divBdr>
            </w:div>
            <w:div w:id="775060299">
              <w:marLeft w:val="0"/>
              <w:marRight w:val="0"/>
              <w:marTop w:val="0"/>
              <w:marBottom w:val="0"/>
              <w:divBdr>
                <w:top w:val="none" w:sz="0" w:space="0" w:color="auto"/>
                <w:left w:val="none" w:sz="0" w:space="0" w:color="auto"/>
                <w:bottom w:val="none" w:sz="0" w:space="0" w:color="auto"/>
                <w:right w:val="none" w:sz="0" w:space="0" w:color="auto"/>
              </w:divBdr>
            </w:div>
            <w:div w:id="855728433">
              <w:marLeft w:val="0"/>
              <w:marRight w:val="0"/>
              <w:marTop w:val="0"/>
              <w:marBottom w:val="0"/>
              <w:divBdr>
                <w:top w:val="none" w:sz="0" w:space="0" w:color="auto"/>
                <w:left w:val="none" w:sz="0" w:space="0" w:color="auto"/>
                <w:bottom w:val="none" w:sz="0" w:space="0" w:color="auto"/>
                <w:right w:val="none" w:sz="0" w:space="0" w:color="auto"/>
              </w:divBdr>
            </w:div>
            <w:div w:id="859589105">
              <w:marLeft w:val="0"/>
              <w:marRight w:val="0"/>
              <w:marTop w:val="0"/>
              <w:marBottom w:val="0"/>
              <w:divBdr>
                <w:top w:val="none" w:sz="0" w:space="0" w:color="auto"/>
                <w:left w:val="none" w:sz="0" w:space="0" w:color="auto"/>
                <w:bottom w:val="none" w:sz="0" w:space="0" w:color="auto"/>
                <w:right w:val="none" w:sz="0" w:space="0" w:color="auto"/>
              </w:divBdr>
            </w:div>
            <w:div w:id="877163186">
              <w:marLeft w:val="0"/>
              <w:marRight w:val="0"/>
              <w:marTop w:val="0"/>
              <w:marBottom w:val="0"/>
              <w:divBdr>
                <w:top w:val="none" w:sz="0" w:space="0" w:color="auto"/>
                <w:left w:val="none" w:sz="0" w:space="0" w:color="auto"/>
                <w:bottom w:val="none" w:sz="0" w:space="0" w:color="auto"/>
                <w:right w:val="none" w:sz="0" w:space="0" w:color="auto"/>
              </w:divBdr>
            </w:div>
            <w:div w:id="1137186306">
              <w:marLeft w:val="0"/>
              <w:marRight w:val="0"/>
              <w:marTop w:val="0"/>
              <w:marBottom w:val="0"/>
              <w:divBdr>
                <w:top w:val="none" w:sz="0" w:space="0" w:color="auto"/>
                <w:left w:val="none" w:sz="0" w:space="0" w:color="auto"/>
                <w:bottom w:val="none" w:sz="0" w:space="0" w:color="auto"/>
                <w:right w:val="none" w:sz="0" w:space="0" w:color="auto"/>
              </w:divBdr>
            </w:div>
            <w:div w:id="1559127021">
              <w:marLeft w:val="0"/>
              <w:marRight w:val="0"/>
              <w:marTop w:val="0"/>
              <w:marBottom w:val="0"/>
              <w:divBdr>
                <w:top w:val="none" w:sz="0" w:space="0" w:color="auto"/>
                <w:left w:val="none" w:sz="0" w:space="0" w:color="auto"/>
                <w:bottom w:val="none" w:sz="0" w:space="0" w:color="auto"/>
                <w:right w:val="none" w:sz="0" w:space="0" w:color="auto"/>
              </w:divBdr>
            </w:div>
            <w:div w:id="1561091903">
              <w:marLeft w:val="0"/>
              <w:marRight w:val="0"/>
              <w:marTop w:val="0"/>
              <w:marBottom w:val="0"/>
              <w:divBdr>
                <w:top w:val="none" w:sz="0" w:space="0" w:color="auto"/>
                <w:left w:val="none" w:sz="0" w:space="0" w:color="auto"/>
                <w:bottom w:val="none" w:sz="0" w:space="0" w:color="auto"/>
                <w:right w:val="none" w:sz="0" w:space="0" w:color="auto"/>
              </w:divBdr>
            </w:div>
            <w:div w:id="1704668550">
              <w:marLeft w:val="0"/>
              <w:marRight w:val="0"/>
              <w:marTop w:val="0"/>
              <w:marBottom w:val="0"/>
              <w:divBdr>
                <w:top w:val="none" w:sz="0" w:space="0" w:color="auto"/>
                <w:left w:val="none" w:sz="0" w:space="0" w:color="auto"/>
                <w:bottom w:val="none" w:sz="0" w:space="0" w:color="auto"/>
                <w:right w:val="none" w:sz="0" w:space="0" w:color="auto"/>
              </w:divBdr>
            </w:div>
            <w:div w:id="1732003310">
              <w:marLeft w:val="0"/>
              <w:marRight w:val="0"/>
              <w:marTop w:val="0"/>
              <w:marBottom w:val="0"/>
              <w:divBdr>
                <w:top w:val="none" w:sz="0" w:space="0" w:color="auto"/>
                <w:left w:val="none" w:sz="0" w:space="0" w:color="auto"/>
                <w:bottom w:val="none" w:sz="0" w:space="0" w:color="auto"/>
                <w:right w:val="none" w:sz="0" w:space="0" w:color="auto"/>
              </w:divBdr>
            </w:div>
          </w:divsChild>
        </w:div>
        <w:div w:id="1196892389">
          <w:marLeft w:val="0"/>
          <w:marRight w:val="0"/>
          <w:marTop w:val="0"/>
          <w:marBottom w:val="0"/>
          <w:divBdr>
            <w:top w:val="none" w:sz="0" w:space="0" w:color="auto"/>
            <w:left w:val="none" w:sz="0" w:space="0" w:color="auto"/>
            <w:bottom w:val="none" w:sz="0" w:space="0" w:color="auto"/>
            <w:right w:val="none" w:sz="0" w:space="0" w:color="auto"/>
          </w:divBdr>
        </w:div>
        <w:div w:id="1980768174">
          <w:marLeft w:val="0"/>
          <w:marRight w:val="0"/>
          <w:marTop w:val="0"/>
          <w:marBottom w:val="0"/>
          <w:divBdr>
            <w:top w:val="none" w:sz="0" w:space="0" w:color="auto"/>
            <w:left w:val="none" w:sz="0" w:space="0" w:color="auto"/>
            <w:bottom w:val="none" w:sz="0" w:space="0" w:color="auto"/>
            <w:right w:val="none" w:sz="0" w:space="0" w:color="auto"/>
          </w:divBdr>
        </w:div>
      </w:divsChild>
    </w:div>
    <w:div w:id="934942610">
      <w:bodyDiv w:val="1"/>
      <w:marLeft w:val="0"/>
      <w:marRight w:val="0"/>
      <w:marTop w:val="0"/>
      <w:marBottom w:val="0"/>
      <w:divBdr>
        <w:top w:val="none" w:sz="0" w:space="0" w:color="auto"/>
        <w:left w:val="none" w:sz="0" w:space="0" w:color="auto"/>
        <w:bottom w:val="none" w:sz="0" w:space="0" w:color="auto"/>
        <w:right w:val="none" w:sz="0" w:space="0" w:color="auto"/>
      </w:divBdr>
    </w:div>
    <w:div w:id="1245455155">
      <w:bodyDiv w:val="1"/>
      <w:marLeft w:val="0"/>
      <w:marRight w:val="0"/>
      <w:marTop w:val="0"/>
      <w:marBottom w:val="0"/>
      <w:divBdr>
        <w:top w:val="none" w:sz="0" w:space="0" w:color="auto"/>
        <w:left w:val="none" w:sz="0" w:space="0" w:color="auto"/>
        <w:bottom w:val="none" w:sz="0" w:space="0" w:color="auto"/>
        <w:right w:val="none" w:sz="0" w:space="0" w:color="auto"/>
      </w:divBdr>
    </w:div>
    <w:div w:id="1431700651">
      <w:bodyDiv w:val="1"/>
      <w:marLeft w:val="0"/>
      <w:marRight w:val="0"/>
      <w:marTop w:val="0"/>
      <w:marBottom w:val="0"/>
      <w:divBdr>
        <w:top w:val="none" w:sz="0" w:space="0" w:color="auto"/>
        <w:left w:val="none" w:sz="0" w:space="0" w:color="auto"/>
        <w:bottom w:val="none" w:sz="0" w:space="0" w:color="auto"/>
        <w:right w:val="none" w:sz="0" w:space="0" w:color="auto"/>
      </w:divBdr>
      <w:divsChild>
        <w:div w:id="141850205">
          <w:marLeft w:val="0"/>
          <w:marRight w:val="0"/>
          <w:marTop w:val="0"/>
          <w:marBottom w:val="0"/>
          <w:divBdr>
            <w:top w:val="none" w:sz="0" w:space="0" w:color="auto"/>
            <w:left w:val="none" w:sz="0" w:space="0" w:color="auto"/>
            <w:bottom w:val="none" w:sz="0" w:space="0" w:color="auto"/>
            <w:right w:val="none" w:sz="0" w:space="0" w:color="auto"/>
          </w:divBdr>
        </w:div>
        <w:div w:id="159393450">
          <w:marLeft w:val="0"/>
          <w:marRight w:val="0"/>
          <w:marTop w:val="0"/>
          <w:marBottom w:val="0"/>
          <w:divBdr>
            <w:top w:val="none" w:sz="0" w:space="0" w:color="auto"/>
            <w:left w:val="none" w:sz="0" w:space="0" w:color="auto"/>
            <w:bottom w:val="none" w:sz="0" w:space="0" w:color="auto"/>
            <w:right w:val="none" w:sz="0" w:space="0" w:color="auto"/>
          </w:divBdr>
        </w:div>
        <w:div w:id="1181090697">
          <w:marLeft w:val="0"/>
          <w:marRight w:val="0"/>
          <w:marTop w:val="0"/>
          <w:marBottom w:val="0"/>
          <w:divBdr>
            <w:top w:val="none" w:sz="0" w:space="0" w:color="auto"/>
            <w:left w:val="none" w:sz="0" w:space="0" w:color="auto"/>
            <w:bottom w:val="none" w:sz="0" w:space="0" w:color="auto"/>
            <w:right w:val="none" w:sz="0" w:space="0" w:color="auto"/>
          </w:divBdr>
          <w:divsChild>
            <w:div w:id="365569192">
              <w:marLeft w:val="-75"/>
              <w:marRight w:val="0"/>
              <w:marTop w:val="30"/>
              <w:marBottom w:val="30"/>
              <w:divBdr>
                <w:top w:val="none" w:sz="0" w:space="0" w:color="auto"/>
                <w:left w:val="none" w:sz="0" w:space="0" w:color="auto"/>
                <w:bottom w:val="none" w:sz="0" w:space="0" w:color="auto"/>
                <w:right w:val="none" w:sz="0" w:space="0" w:color="auto"/>
              </w:divBdr>
              <w:divsChild>
                <w:div w:id="19087579">
                  <w:marLeft w:val="0"/>
                  <w:marRight w:val="0"/>
                  <w:marTop w:val="0"/>
                  <w:marBottom w:val="0"/>
                  <w:divBdr>
                    <w:top w:val="none" w:sz="0" w:space="0" w:color="auto"/>
                    <w:left w:val="none" w:sz="0" w:space="0" w:color="auto"/>
                    <w:bottom w:val="none" w:sz="0" w:space="0" w:color="auto"/>
                    <w:right w:val="none" w:sz="0" w:space="0" w:color="auto"/>
                  </w:divBdr>
                  <w:divsChild>
                    <w:div w:id="1629969705">
                      <w:marLeft w:val="0"/>
                      <w:marRight w:val="0"/>
                      <w:marTop w:val="0"/>
                      <w:marBottom w:val="0"/>
                      <w:divBdr>
                        <w:top w:val="none" w:sz="0" w:space="0" w:color="auto"/>
                        <w:left w:val="none" w:sz="0" w:space="0" w:color="auto"/>
                        <w:bottom w:val="none" w:sz="0" w:space="0" w:color="auto"/>
                        <w:right w:val="none" w:sz="0" w:space="0" w:color="auto"/>
                      </w:divBdr>
                    </w:div>
                  </w:divsChild>
                </w:div>
                <w:div w:id="28721658">
                  <w:marLeft w:val="0"/>
                  <w:marRight w:val="0"/>
                  <w:marTop w:val="0"/>
                  <w:marBottom w:val="0"/>
                  <w:divBdr>
                    <w:top w:val="none" w:sz="0" w:space="0" w:color="auto"/>
                    <w:left w:val="none" w:sz="0" w:space="0" w:color="auto"/>
                    <w:bottom w:val="none" w:sz="0" w:space="0" w:color="auto"/>
                    <w:right w:val="none" w:sz="0" w:space="0" w:color="auto"/>
                  </w:divBdr>
                  <w:divsChild>
                    <w:div w:id="1284537766">
                      <w:marLeft w:val="0"/>
                      <w:marRight w:val="0"/>
                      <w:marTop w:val="0"/>
                      <w:marBottom w:val="0"/>
                      <w:divBdr>
                        <w:top w:val="none" w:sz="0" w:space="0" w:color="auto"/>
                        <w:left w:val="none" w:sz="0" w:space="0" w:color="auto"/>
                        <w:bottom w:val="none" w:sz="0" w:space="0" w:color="auto"/>
                        <w:right w:val="none" w:sz="0" w:space="0" w:color="auto"/>
                      </w:divBdr>
                    </w:div>
                  </w:divsChild>
                </w:div>
                <w:div w:id="59866737">
                  <w:marLeft w:val="0"/>
                  <w:marRight w:val="0"/>
                  <w:marTop w:val="0"/>
                  <w:marBottom w:val="0"/>
                  <w:divBdr>
                    <w:top w:val="none" w:sz="0" w:space="0" w:color="auto"/>
                    <w:left w:val="none" w:sz="0" w:space="0" w:color="auto"/>
                    <w:bottom w:val="none" w:sz="0" w:space="0" w:color="auto"/>
                    <w:right w:val="none" w:sz="0" w:space="0" w:color="auto"/>
                  </w:divBdr>
                  <w:divsChild>
                    <w:div w:id="1206676207">
                      <w:marLeft w:val="0"/>
                      <w:marRight w:val="0"/>
                      <w:marTop w:val="0"/>
                      <w:marBottom w:val="0"/>
                      <w:divBdr>
                        <w:top w:val="none" w:sz="0" w:space="0" w:color="auto"/>
                        <w:left w:val="none" w:sz="0" w:space="0" w:color="auto"/>
                        <w:bottom w:val="none" w:sz="0" w:space="0" w:color="auto"/>
                        <w:right w:val="none" w:sz="0" w:space="0" w:color="auto"/>
                      </w:divBdr>
                    </w:div>
                  </w:divsChild>
                </w:div>
                <w:div w:id="69817412">
                  <w:marLeft w:val="0"/>
                  <w:marRight w:val="0"/>
                  <w:marTop w:val="0"/>
                  <w:marBottom w:val="0"/>
                  <w:divBdr>
                    <w:top w:val="none" w:sz="0" w:space="0" w:color="auto"/>
                    <w:left w:val="none" w:sz="0" w:space="0" w:color="auto"/>
                    <w:bottom w:val="none" w:sz="0" w:space="0" w:color="auto"/>
                    <w:right w:val="none" w:sz="0" w:space="0" w:color="auto"/>
                  </w:divBdr>
                  <w:divsChild>
                    <w:div w:id="2109426163">
                      <w:marLeft w:val="0"/>
                      <w:marRight w:val="0"/>
                      <w:marTop w:val="0"/>
                      <w:marBottom w:val="0"/>
                      <w:divBdr>
                        <w:top w:val="none" w:sz="0" w:space="0" w:color="auto"/>
                        <w:left w:val="none" w:sz="0" w:space="0" w:color="auto"/>
                        <w:bottom w:val="none" w:sz="0" w:space="0" w:color="auto"/>
                        <w:right w:val="none" w:sz="0" w:space="0" w:color="auto"/>
                      </w:divBdr>
                    </w:div>
                  </w:divsChild>
                </w:div>
                <w:div w:id="79524472">
                  <w:marLeft w:val="0"/>
                  <w:marRight w:val="0"/>
                  <w:marTop w:val="0"/>
                  <w:marBottom w:val="0"/>
                  <w:divBdr>
                    <w:top w:val="none" w:sz="0" w:space="0" w:color="auto"/>
                    <w:left w:val="none" w:sz="0" w:space="0" w:color="auto"/>
                    <w:bottom w:val="none" w:sz="0" w:space="0" w:color="auto"/>
                    <w:right w:val="none" w:sz="0" w:space="0" w:color="auto"/>
                  </w:divBdr>
                  <w:divsChild>
                    <w:div w:id="1690057302">
                      <w:marLeft w:val="0"/>
                      <w:marRight w:val="0"/>
                      <w:marTop w:val="0"/>
                      <w:marBottom w:val="0"/>
                      <w:divBdr>
                        <w:top w:val="none" w:sz="0" w:space="0" w:color="auto"/>
                        <w:left w:val="none" w:sz="0" w:space="0" w:color="auto"/>
                        <w:bottom w:val="none" w:sz="0" w:space="0" w:color="auto"/>
                        <w:right w:val="none" w:sz="0" w:space="0" w:color="auto"/>
                      </w:divBdr>
                    </w:div>
                  </w:divsChild>
                </w:div>
                <w:div w:id="96874622">
                  <w:marLeft w:val="0"/>
                  <w:marRight w:val="0"/>
                  <w:marTop w:val="0"/>
                  <w:marBottom w:val="0"/>
                  <w:divBdr>
                    <w:top w:val="none" w:sz="0" w:space="0" w:color="auto"/>
                    <w:left w:val="none" w:sz="0" w:space="0" w:color="auto"/>
                    <w:bottom w:val="none" w:sz="0" w:space="0" w:color="auto"/>
                    <w:right w:val="none" w:sz="0" w:space="0" w:color="auto"/>
                  </w:divBdr>
                  <w:divsChild>
                    <w:div w:id="1301686925">
                      <w:marLeft w:val="0"/>
                      <w:marRight w:val="0"/>
                      <w:marTop w:val="0"/>
                      <w:marBottom w:val="0"/>
                      <w:divBdr>
                        <w:top w:val="none" w:sz="0" w:space="0" w:color="auto"/>
                        <w:left w:val="none" w:sz="0" w:space="0" w:color="auto"/>
                        <w:bottom w:val="none" w:sz="0" w:space="0" w:color="auto"/>
                        <w:right w:val="none" w:sz="0" w:space="0" w:color="auto"/>
                      </w:divBdr>
                    </w:div>
                  </w:divsChild>
                </w:div>
                <w:div w:id="250240938">
                  <w:marLeft w:val="0"/>
                  <w:marRight w:val="0"/>
                  <w:marTop w:val="0"/>
                  <w:marBottom w:val="0"/>
                  <w:divBdr>
                    <w:top w:val="none" w:sz="0" w:space="0" w:color="auto"/>
                    <w:left w:val="none" w:sz="0" w:space="0" w:color="auto"/>
                    <w:bottom w:val="none" w:sz="0" w:space="0" w:color="auto"/>
                    <w:right w:val="none" w:sz="0" w:space="0" w:color="auto"/>
                  </w:divBdr>
                  <w:divsChild>
                    <w:div w:id="1687903632">
                      <w:marLeft w:val="0"/>
                      <w:marRight w:val="0"/>
                      <w:marTop w:val="0"/>
                      <w:marBottom w:val="0"/>
                      <w:divBdr>
                        <w:top w:val="none" w:sz="0" w:space="0" w:color="auto"/>
                        <w:left w:val="none" w:sz="0" w:space="0" w:color="auto"/>
                        <w:bottom w:val="none" w:sz="0" w:space="0" w:color="auto"/>
                        <w:right w:val="none" w:sz="0" w:space="0" w:color="auto"/>
                      </w:divBdr>
                    </w:div>
                  </w:divsChild>
                </w:div>
                <w:div w:id="285744692">
                  <w:marLeft w:val="0"/>
                  <w:marRight w:val="0"/>
                  <w:marTop w:val="0"/>
                  <w:marBottom w:val="0"/>
                  <w:divBdr>
                    <w:top w:val="none" w:sz="0" w:space="0" w:color="auto"/>
                    <w:left w:val="none" w:sz="0" w:space="0" w:color="auto"/>
                    <w:bottom w:val="none" w:sz="0" w:space="0" w:color="auto"/>
                    <w:right w:val="none" w:sz="0" w:space="0" w:color="auto"/>
                  </w:divBdr>
                  <w:divsChild>
                    <w:div w:id="1292906253">
                      <w:marLeft w:val="0"/>
                      <w:marRight w:val="0"/>
                      <w:marTop w:val="0"/>
                      <w:marBottom w:val="0"/>
                      <w:divBdr>
                        <w:top w:val="none" w:sz="0" w:space="0" w:color="auto"/>
                        <w:left w:val="none" w:sz="0" w:space="0" w:color="auto"/>
                        <w:bottom w:val="none" w:sz="0" w:space="0" w:color="auto"/>
                        <w:right w:val="none" w:sz="0" w:space="0" w:color="auto"/>
                      </w:divBdr>
                    </w:div>
                  </w:divsChild>
                </w:div>
                <w:div w:id="296105198">
                  <w:marLeft w:val="0"/>
                  <w:marRight w:val="0"/>
                  <w:marTop w:val="0"/>
                  <w:marBottom w:val="0"/>
                  <w:divBdr>
                    <w:top w:val="none" w:sz="0" w:space="0" w:color="auto"/>
                    <w:left w:val="none" w:sz="0" w:space="0" w:color="auto"/>
                    <w:bottom w:val="none" w:sz="0" w:space="0" w:color="auto"/>
                    <w:right w:val="none" w:sz="0" w:space="0" w:color="auto"/>
                  </w:divBdr>
                  <w:divsChild>
                    <w:div w:id="2060393471">
                      <w:marLeft w:val="0"/>
                      <w:marRight w:val="0"/>
                      <w:marTop w:val="0"/>
                      <w:marBottom w:val="0"/>
                      <w:divBdr>
                        <w:top w:val="none" w:sz="0" w:space="0" w:color="auto"/>
                        <w:left w:val="none" w:sz="0" w:space="0" w:color="auto"/>
                        <w:bottom w:val="none" w:sz="0" w:space="0" w:color="auto"/>
                        <w:right w:val="none" w:sz="0" w:space="0" w:color="auto"/>
                      </w:divBdr>
                    </w:div>
                  </w:divsChild>
                </w:div>
                <w:div w:id="321936794">
                  <w:marLeft w:val="0"/>
                  <w:marRight w:val="0"/>
                  <w:marTop w:val="0"/>
                  <w:marBottom w:val="0"/>
                  <w:divBdr>
                    <w:top w:val="none" w:sz="0" w:space="0" w:color="auto"/>
                    <w:left w:val="none" w:sz="0" w:space="0" w:color="auto"/>
                    <w:bottom w:val="none" w:sz="0" w:space="0" w:color="auto"/>
                    <w:right w:val="none" w:sz="0" w:space="0" w:color="auto"/>
                  </w:divBdr>
                  <w:divsChild>
                    <w:div w:id="767851302">
                      <w:marLeft w:val="0"/>
                      <w:marRight w:val="0"/>
                      <w:marTop w:val="0"/>
                      <w:marBottom w:val="0"/>
                      <w:divBdr>
                        <w:top w:val="none" w:sz="0" w:space="0" w:color="auto"/>
                        <w:left w:val="none" w:sz="0" w:space="0" w:color="auto"/>
                        <w:bottom w:val="none" w:sz="0" w:space="0" w:color="auto"/>
                        <w:right w:val="none" w:sz="0" w:space="0" w:color="auto"/>
                      </w:divBdr>
                    </w:div>
                  </w:divsChild>
                </w:div>
                <w:div w:id="322706574">
                  <w:marLeft w:val="0"/>
                  <w:marRight w:val="0"/>
                  <w:marTop w:val="0"/>
                  <w:marBottom w:val="0"/>
                  <w:divBdr>
                    <w:top w:val="none" w:sz="0" w:space="0" w:color="auto"/>
                    <w:left w:val="none" w:sz="0" w:space="0" w:color="auto"/>
                    <w:bottom w:val="none" w:sz="0" w:space="0" w:color="auto"/>
                    <w:right w:val="none" w:sz="0" w:space="0" w:color="auto"/>
                  </w:divBdr>
                  <w:divsChild>
                    <w:div w:id="893850439">
                      <w:marLeft w:val="0"/>
                      <w:marRight w:val="0"/>
                      <w:marTop w:val="0"/>
                      <w:marBottom w:val="0"/>
                      <w:divBdr>
                        <w:top w:val="none" w:sz="0" w:space="0" w:color="auto"/>
                        <w:left w:val="none" w:sz="0" w:space="0" w:color="auto"/>
                        <w:bottom w:val="none" w:sz="0" w:space="0" w:color="auto"/>
                        <w:right w:val="none" w:sz="0" w:space="0" w:color="auto"/>
                      </w:divBdr>
                    </w:div>
                  </w:divsChild>
                </w:div>
                <w:div w:id="461655241">
                  <w:marLeft w:val="0"/>
                  <w:marRight w:val="0"/>
                  <w:marTop w:val="0"/>
                  <w:marBottom w:val="0"/>
                  <w:divBdr>
                    <w:top w:val="none" w:sz="0" w:space="0" w:color="auto"/>
                    <w:left w:val="none" w:sz="0" w:space="0" w:color="auto"/>
                    <w:bottom w:val="none" w:sz="0" w:space="0" w:color="auto"/>
                    <w:right w:val="none" w:sz="0" w:space="0" w:color="auto"/>
                  </w:divBdr>
                  <w:divsChild>
                    <w:div w:id="1217669921">
                      <w:marLeft w:val="0"/>
                      <w:marRight w:val="0"/>
                      <w:marTop w:val="0"/>
                      <w:marBottom w:val="0"/>
                      <w:divBdr>
                        <w:top w:val="none" w:sz="0" w:space="0" w:color="auto"/>
                        <w:left w:val="none" w:sz="0" w:space="0" w:color="auto"/>
                        <w:bottom w:val="none" w:sz="0" w:space="0" w:color="auto"/>
                        <w:right w:val="none" w:sz="0" w:space="0" w:color="auto"/>
                      </w:divBdr>
                    </w:div>
                  </w:divsChild>
                </w:div>
                <w:div w:id="578715240">
                  <w:marLeft w:val="0"/>
                  <w:marRight w:val="0"/>
                  <w:marTop w:val="0"/>
                  <w:marBottom w:val="0"/>
                  <w:divBdr>
                    <w:top w:val="none" w:sz="0" w:space="0" w:color="auto"/>
                    <w:left w:val="none" w:sz="0" w:space="0" w:color="auto"/>
                    <w:bottom w:val="none" w:sz="0" w:space="0" w:color="auto"/>
                    <w:right w:val="none" w:sz="0" w:space="0" w:color="auto"/>
                  </w:divBdr>
                  <w:divsChild>
                    <w:div w:id="791873284">
                      <w:marLeft w:val="0"/>
                      <w:marRight w:val="0"/>
                      <w:marTop w:val="0"/>
                      <w:marBottom w:val="0"/>
                      <w:divBdr>
                        <w:top w:val="none" w:sz="0" w:space="0" w:color="auto"/>
                        <w:left w:val="none" w:sz="0" w:space="0" w:color="auto"/>
                        <w:bottom w:val="none" w:sz="0" w:space="0" w:color="auto"/>
                        <w:right w:val="none" w:sz="0" w:space="0" w:color="auto"/>
                      </w:divBdr>
                    </w:div>
                  </w:divsChild>
                </w:div>
                <w:div w:id="585194798">
                  <w:marLeft w:val="0"/>
                  <w:marRight w:val="0"/>
                  <w:marTop w:val="0"/>
                  <w:marBottom w:val="0"/>
                  <w:divBdr>
                    <w:top w:val="none" w:sz="0" w:space="0" w:color="auto"/>
                    <w:left w:val="none" w:sz="0" w:space="0" w:color="auto"/>
                    <w:bottom w:val="none" w:sz="0" w:space="0" w:color="auto"/>
                    <w:right w:val="none" w:sz="0" w:space="0" w:color="auto"/>
                  </w:divBdr>
                  <w:divsChild>
                    <w:div w:id="1439596380">
                      <w:marLeft w:val="0"/>
                      <w:marRight w:val="0"/>
                      <w:marTop w:val="0"/>
                      <w:marBottom w:val="0"/>
                      <w:divBdr>
                        <w:top w:val="none" w:sz="0" w:space="0" w:color="auto"/>
                        <w:left w:val="none" w:sz="0" w:space="0" w:color="auto"/>
                        <w:bottom w:val="none" w:sz="0" w:space="0" w:color="auto"/>
                        <w:right w:val="none" w:sz="0" w:space="0" w:color="auto"/>
                      </w:divBdr>
                    </w:div>
                  </w:divsChild>
                </w:div>
                <w:div w:id="643631701">
                  <w:marLeft w:val="0"/>
                  <w:marRight w:val="0"/>
                  <w:marTop w:val="0"/>
                  <w:marBottom w:val="0"/>
                  <w:divBdr>
                    <w:top w:val="none" w:sz="0" w:space="0" w:color="auto"/>
                    <w:left w:val="none" w:sz="0" w:space="0" w:color="auto"/>
                    <w:bottom w:val="none" w:sz="0" w:space="0" w:color="auto"/>
                    <w:right w:val="none" w:sz="0" w:space="0" w:color="auto"/>
                  </w:divBdr>
                  <w:divsChild>
                    <w:div w:id="43994842">
                      <w:marLeft w:val="0"/>
                      <w:marRight w:val="0"/>
                      <w:marTop w:val="0"/>
                      <w:marBottom w:val="0"/>
                      <w:divBdr>
                        <w:top w:val="none" w:sz="0" w:space="0" w:color="auto"/>
                        <w:left w:val="none" w:sz="0" w:space="0" w:color="auto"/>
                        <w:bottom w:val="none" w:sz="0" w:space="0" w:color="auto"/>
                        <w:right w:val="none" w:sz="0" w:space="0" w:color="auto"/>
                      </w:divBdr>
                    </w:div>
                  </w:divsChild>
                </w:div>
                <w:div w:id="679360255">
                  <w:marLeft w:val="0"/>
                  <w:marRight w:val="0"/>
                  <w:marTop w:val="0"/>
                  <w:marBottom w:val="0"/>
                  <w:divBdr>
                    <w:top w:val="none" w:sz="0" w:space="0" w:color="auto"/>
                    <w:left w:val="none" w:sz="0" w:space="0" w:color="auto"/>
                    <w:bottom w:val="none" w:sz="0" w:space="0" w:color="auto"/>
                    <w:right w:val="none" w:sz="0" w:space="0" w:color="auto"/>
                  </w:divBdr>
                  <w:divsChild>
                    <w:div w:id="1111051911">
                      <w:marLeft w:val="0"/>
                      <w:marRight w:val="0"/>
                      <w:marTop w:val="0"/>
                      <w:marBottom w:val="0"/>
                      <w:divBdr>
                        <w:top w:val="none" w:sz="0" w:space="0" w:color="auto"/>
                        <w:left w:val="none" w:sz="0" w:space="0" w:color="auto"/>
                        <w:bottom w:val="none" w:sz="0" w:space="0" w:color="auto"/>
                        <w:right w:val="none" w:sz="0" w:space="0" w:color="auto"/>
                      </w:divBdr>
                    </w:div>
                  </w:divsChild>
                </w:div>
                <w:div w:id="773095094">
                  <w:marLeft w:val="0"/>
                  <w:marRight w:val="0"/>
                  <w:marTop w:val="0"/>
                  <w:marBottom w:val="0"/>
                  <w:divBdr>
                    <w:top w:val="none" w:sz="0" w:space="0" w:color="auto"/>
                    <w:left w:val="none" w:sz="0" w:space="0" w:color="auto"/>
                    <w:bottom w:val="none" w:sz="0" w:space="0" w:color="auto"/>
                    <w:right w:val="none" w:sz="0" w:space="0" w:color="auto"/>
                  </w:divBdr>
                  <w:divsChild>
                    <w:div w:id="1695688234">
                      <w:marLeft w:val="0"/>
                      <w:marRight w:val="0"/>
                      <w:marTop w:val="0"/>
                      <w:marBottom w:val="0"/>
                      <w:divBdr>
                        <w:top w:val="none" w:sz="0" w:space="0" w:color="auto"/>
                        <w:left w:val="none" w:sz="0" w:space="0" w:color="auto"/>
                        <w:bottom w:val="none" w:sz="0" w:space="0" w:color="auto"/>
                        <w:right w:val="none" w:sz="0" w:space="0" w:color="auto"/>
                      </w:divBdr>
                    </w:div>
                  </w:divsChild>
                </w:div>
                <w:div w:id="800420932">
                  <w:marLeft w:val="0"/>
                  <w:marRight w:val="0"/>
                  <w:marTop w:val="0"/>
                  <w:marBottom w:val="0"/>
                  <w:divBdr>
                    <w:top w:val="none" w:sz="0" w:space="0" w:color="auto"/>
                    <w:left w:val="none" w:sz="0" w:space="0" w:color="auto"/>
                    <w:bottom w:val="none" w:sz="0" w:space="0" w:color="auto"/>
                    <w:right w:val="none" w:sz="0" w:space="0" w:color="auto"/>
                  </w:divBdr>
                  <w:divsChild>
                    <w:div w:id="1961571313">
                      <w:marLeft w:val="0"/>
                      <w:marRight w:val="0"/>
                      <w:marTop w:val="0"/>
                      <w:marBottom w:val="0"/>
                      <w:divBdr>
                        <w:top w:val="none" w:sz="0" w:space="0" w:color="auto"/>
                        <w:left w:val="none" w:sz="0" w:space="0" w:color="auto"/>
                        <w:bottom w:val="none" w:sz="0" w:space="0" w:color="auto"/>
                        <w:right w:val="none" w:sz="0" w:space="0" w:color="auto"/>
                      </w:divBdr>
                    </w:div>
                  </w:divsChild>
                </w:div>
                <w:div w:id="1008825966">
                  <w:marLeft w:val="0"/>
                  <w:marRight w:val="0"/>
                  <w:marTop w:val="0"/>
                  <w:marBottom w:val="0"/>
                  <w:divBdr>
                    <w:top w:val="none" w:sz="0" w:space="0" w:color="auto"/>
                    <w:left w:val="none" w:sz="0" w:space="0" w:color="auto"/>
                    <w:bottom w:val="none" w:sz="0" w:space="0" w:color="auto"/>
                    <w:right w:val="none" w:sz="0" w:space="0" w:color="auto"/>
                  </w:divBdr>
                  <w:divsChild>
                    <w:div w:id="1663198003">
                      <w:marLeft w:val="0"/>
                      <w:marRight w:val="0"/>
                      <w:marTop w:val="0"/>
                      <w:marBottom w:val="0"/>
                      <w:divBdr>
                        <w:top w:val="none" w:sz="0" w:space="0" w:color="auto"/>
                        <w:left w:val="none" w:sz="0" w:space="0" w:color="auto"/>
                        <w:bottom w:val="none" w:sz="0" w:space="0" w:color="auto"/>
                        <w:right w:val="none" w:sz="0" w:space="0" w:color="auto"/>
                      </w:divBdr>
                    </w:div>
                  </w:divsChild>
                </w:div>
                <w:div w:id="1080640335">
                  <w:marLeft w:val="0"/>
                  <w:marRight w:val="0"/>
                  <w:marTop w:val="0"/>
                  <w:marBottom w:val="0"/>
                  <w:divBdr>
                    <w:top w:val="none" w:sz="0" w:space="0" w:color="auto"/>
                    <w:left w:val="none" w:sz="0" w:space="0" w:color="auto"/>
                    <w:bottom w:val="none" w:sz="0" w:space="0" w:color="auto"/>
                    <w:right w:val="none" w:sz="0" w:space="0" w:color="auto"/>
                  </w:divBdr>
                  <w:divsChild>
                    <w:div w:id="360514769">
                      <w:marLeft w:val="0"/>
                      <w:marRight w:val="0"/>
                      <w:marTop w:val="0"/>
                      <w:marBottom w:val="0"/>
                      <w:divBdr>
                        <w:top w:val="none" w:sz="0" w:space="0" w:color="auto"/>
                        <w:left w:val="none" w:sz="0" w:space="0" w:color="auto"/>
                        <w:bottom w:val="none" w:sz="0" w:space="0" w:color="auto"/>
                        <w:right w:val="none" w:sz="0" w:space="0" w:color="auto"/>
                      </w:divBdr>
                    </w:div>
                  </w:divsChild>
                </w:div>
                <w:div w:id="1091899426">
                  <w:marLeft w:val="0"/>
                  <w:marRight w:val="0"/>
                  <w:marTop w:val="0"/>
                  <w:marBottom w:val="0"/>
                  <w:divBdr>
                    <w:top w:val="none" w:sz="0" w:space="0" w:color="auto"/>
                    <w:left w:val="none" w:sz="0" w:space="0" w:color="auto"/>
                    <w:bottom w:val="none" w:sz="0" w:space="0" w:color="auto"/>
                    <w:right w:val="none" w:sz="0" w:space="0" w:color="auto"/>
                  </w:divBdr>
                  <w:divsChild>
                    <w:div w:id="95486127">
                      <w:marLeft w:val="0"/>
                      <w:marRight w:val="0"/>
                      <w:marTop w:val="0"/>
                      <w:marBottom w:val="0"/>
                      <w:divBdr>
                        <w:top w:val="none" w:sz="0" w:space="0" w:color="auto"/>
                        <w:left w:val="none" w:sz="0" w:space="0" w:color="auto"/>
                        <w:bottom w:val="none" w:sz="0" w:space="0" w:color="auto"/>
                        <w:right w:val="none" w:sz="0" w:space="0" w:color="auto"/>
                      </w:divBdr>
                    </w:div>
                  </w:divsChild>
                </w:div>
                <w:div w:id="1110710300">
                  <w:marLeft w:val="0"/>
                  <w:marRight w:val="0"/>
                  <w:marTop w:val="0"/>
                  <w:marBottom w:val="0"/>
                  <w:divBdr>
                    <w:top w:val="none" w:sz="0" w:space="0" w:color="auto"/>
                    <w:left w:val="none" w:sz="0" w:space="0" w:color="auto"/>
                    <w:bottom w:val="none" w:sz="0" w:space="0" w:color="auto"/>
                    <w:right w:val="none" w:sz="0" w:space="0" w:color="auto"/>
                  </w:divBdr>
                  <w:divsChild>
                    <w:div w:id="1536501758">
                      <w:marLeft w:val="0"/>
                      <w:marRight w:val="0"/>
                      <w:marTop w:val="0"/>
                      <w:marBottom w:val="0"/>
                      <w:divBdr>
                        <w:top w:val="none" w:sz="0" w:space="0" w:color="auto"/>
                        <w:left w:val="none" w:sz="0" w:space="0" w:color="auto"/>
                        <w:bottom w:val="none" w:sz="0" w:space="0" w:color="auto"/>
                        <w:right w:val="none" w:sz="0" w:space="0" w:color="auto"/>
                      </w:divBdr>
                    </w:div>
                  </w:divsChild>
                </w:div>
                <w:div w:id="1175924993">
                  <w:marLeft w:val="0"/>
                  <w:marRight w:val="0"/>
                  <w:marTop w:val="0"/>
                  <w:marBottom w:val="0"/>
                  <w:divBdr>
                    <w:top w:val="none" w:sz="0" w:space="0" w:color="auto"/>
                    <w:left w:val="none" w:sz="0" w:space="0" w:color="auto"/>
                    <w:bottom w:val="none" w:sz="0" w:space="0" w:color="auto"/>
                    <w:right w:val="none" w:sz="0" w:space="0" w:color="auto"/>
                  </w:divBdr>
                  <w:divsChild>
                    <w:div w:id="22368437">
                      <w:marLeft w:val="0"/>
                      <w:marRight w:val="0"/>
                      <w:marTop w:val="0"/>
                      <w:marBottom w:val="0"/>
                      <w:divBdr>
                        <w:top w:val="none" w:sz="0" w:space="0" w:color="auto"/>
                        <w:left w:val="none" w:sz="0" w:space="0" w:color="auto"/>
                        <w:bottom w:val="none" w:sz="0" w:space="0" w:color="auto"/>
                        <w:right w:val="none" w:sz="0" w:space="0" w:color="auto"/>
                      </w:divBdr>
                    </w:div>
                  </w:divsChild>
                </w:div>
                <w:div w:id="1199201410">
                  <w:marLeft w:val="0"/>
                  <w:marRight w:val="0"/>
                  <w:marTop w:val="0"/>
                  <w:marBottom w:val="0"/>
                  <w:divBdr>
                    <w:top w:val="none" w:sz="0" w:space="0" w:color="auto"/>
                    <w:left w:val="none" w:sz="0" w:space="0" w:color="auto"/>
                    <w:bottom w:val="none" w:sz="0" w:space="0" w:color="auto"/>
                    <w:right w:val="none" w:sz="0" w:space="0" w:color="auto"/>
                  </w:divBdr>
                  <w:divsChild>
                    <w:div w:id="1819301716">
                      <w:marLeft w:val="0"/>
                      <w:marRight w:val="0"/>
                      <w:marTop w:val="0"/>
                      <w:marBottom w:val="0"/>
                      <w:divBdr>
                        <w:top w:val="none" w:sz="0" w:space="0" w:color="auto"/>
                        <w:left w:val="none" w:sz="0" w:space="0" w:color="auto"/>
                        <w:bottom w:val="none" w:sz="0" w:space="0" w:color="auto"/>
                        <w:right w:val="none" w:sz="0" w:space="0" w:color="auto"/>
                      </w:divBdr>
                    </w:div>
                  </w:divsChild>
                </w:div>
                <w:div w:id="1310667204">
                  <w:marLeft w:val="0"/>
                  <w:marRight w:val="0"/>
                  <w:marTop w:val="0"/>
                  <w:marBottom w:val="0"/>
                  <w:divBdr>
                    <w:top w:val="none" w:sz="0" w:space="0" w:color="auto"/>
                    <w:left w:val="none" w:sz="0" w:space="0" w:color="auto"/>
                    <w:bottom w:val="none" w:sz="0" w:space="0" w:color="auto"/>
                    <w:right w:val="none" w:sz="0" w:space="0" w:color="auto"/>
                  </w:divBdr>
                  <w:divsChild>
                    <w:div w:id="104229060">
                      <w:marLeft w:val="0"/>
                      <w:marRight w:val="0"/>
                      <w:marTop w:val="0"/>
                      <w:marBottom w:val="0"/>
                      <w:divBdr>
                        <w:top w:val="none" w:sz="0" w:space="0" w:color="auto"/>
                        <w:left w:val="none" w:sz="0" w:space="0" w:color="auto"/>
                        <w:bottom w:val="none" w:sz="0" w:space="0" w:color="auto"/>
                        <w:right w:val="none" w:sz="0" w:space="0" w:color="auto"/>
                      </w:divBdr>
                    </w:div>
                    <w:div w:id="1792747189">
                      <w:marLeft w:val="0"/>
                      <w:marRight w:val="0"/>
                      <w:marTop w:val="0"/>
                      <w:marBottom w:val="0"/>
                      <w:divBdr>
                        <w:top w:val="none" w:sz="0" w:space="0" w:color="auto"/>
                        <w:left w:val="none" w:sz="0" w:space="0" w:color="auto"/>
                        <w:bottom w:val="none" w:sz="0" w:space="0" w:color="auto"/>
                        <w:right w:val="none" w:sz="0" w:space="0" w:color="auto"/>
                      </w:divBdr>
                    </w:div>
                  </w:divsChild>
                </w:div>
                <w:div w:id="1378820734">
                  <w:marLeft w:val="0"/>
                  <w:marRight w:val="0"/>
                  <w:marTop w:val="0"/>
                  <w:marBottom w:val="0"/>
                  <w:divBdr>
                    <w:top w:val="none" w:sz="0" w:space="0" w:color="auto"/>
                    <w:left w:val="none" w:sz="0" w:space="0" w:color="auto"/>
                    <w:bottom w:val="none" w:sz="0" w:space="0" w:color="auto"/>
                    <w:right w:val="none" w:sz="0" w:space="0" w:color="auto"/>
                  </w:divBdr>
                  <w:divsChild>
                    <w:div w:id="21789260">
                      <w:marLeft w:val="0"/>
                      <w:marRight w:val="0"/>
                      <w:marTop w:val="0"/>
                      <w:marBottom w:val="0"/>
                      <w:divBdr>
                        <w:top w:val="none" w:sz="0" w:space="0" w:color="auto"/>
                        <w:left w:val="none" w:sz="0" w:space="0" w:color="auto"/>
                        <w:bottom w:val="none" w:sz="0" w:space="0" w:color="auto"/>
                        <w:right w:val="none" w:sz="0" w:space="0" w:color="auto"/>
                      </w:divBdr>
                    </w:div>
                  </w:divsChild>
                </w:div>
                <w:div w:id="1439786933">
                  <w:marLeft w:val="0"/>
                  <w:marRight w:val="0"/>
                  <w:marTop w:val="0"/>
                  <w:marBottom w:val="0"/>
                  <w:divBdr>
                    <w:top w:val="none" w:sz="0" w:space="0" w:color="auto"/>
                    <w:left w:val="none" w:sz="0" w:space="0" w:color="auto"/>
                    <w:bottom w:val="none" w:sz="0" w:space="0" w:color="auto"/>
                    <w:right w:val="none" w:sz="0" w:space="0" w:color="auto"/>
                  </w:divBdr>
                  <w:divsChild>
                    <w:div w:id="382604759">
                      <w:marLeft w:val="0"/>
                      <w:marRight w:val="0"/>
                      <w:marTop w:val="0"/>
                      <w:marBottom w:val="0"/>
                      <w:divBdr>
                        <w:top w:val="none" w:sz="0" w:space="0" w:color="auto"/>
                        <w:left w:val="none" w:sz="0" w:space="0" w:color="auto"/>
                        <w:bottom w:val="none" w:sz="0" w:space="0" w:color="auto"/>
                        <w:right w:val="none" w:sz="0" w:space="0" w:color="auto"/>
                      </w:divBdr>
                    </w:div>
                  </w:divsChild>
                </w:div>
                <w:div w:id="1555463576">
                  <w:marLeft w:val="0"/>
                  <w:marRight w:val="0"/>
                  <w:marTop w:val="0"/>
                  <w:marBottom w:val="0"/>
                  <w:divBdr>
                    <w:top w:val="none" w:sz="0" w:space="0" w:color="auto"/>
                    <w:left w:val="none" w:sz="0" w:space="0" w:color="auto"/>
                    <w:bottom w:val="none" w:sz="0" w:space="0" w:color="auto"/>
                    <w:right w:val="none" w:sz="0" w:space="0" w:color="auto"/>
                  </w:divBdr>
                  <w:divsChild>
                    <w:div w:id="940377744">
                      <w:marLeft w:val="0"/>
                      <w:marRight w:val="0"/>
                      <w:marTop w:val="0"/>
                      <w:marBottom w:val="0"/>
                      <w:divBdr>
                        <w:top w:val="none" w:sz="0" w:space="0" w:color="auto"/>
                        <w:left w:val="none" w:sz="0" w:space="0" w:color="auto"/>
                        <w:bottom w:val="none" w:sz="0" w:space="0" w:color="auto"/>
                        <w:right w:val="none" w:sz="0" w:space="0" w:color="auto"/>
                      </w:divBdr>
                    </w:div>
                  </w:divsChild>
                </w:div>
                <w:div w:id="1569070545">
                  <w:marLeft w:val="0"/>
                  <w:marRight w:val="0"/>
                  <w:marTop w:val="0"/>
                  <w:marBottom w:val="0"/>
                  <w:divBdr>
                    <w:top w:val="none" w:sz="0" w:space="0" w:color="auto"/>
                    <w:left w:val="none" w:sz="0" w:space="0" w:color="auto"/>
                    <w:bottom w:val="none" w:sz="0" w:space="0" w:color="auto"/>
                    <w:right w:val="none" w:sz="0" w:space="0" w:color="auto"/>
                  </w:divBdr>
                  <w:divsChild>
                    <w:div w:id="908416572">
                      <w:marLeft w:val="0"/>
                      <w:marRight w:val="0"/>
                      <w:marTop w:val="0"/>
                      <w:marBottom w:val="0"/>
                      <w:divBdr>
                        <w:top w:val="none" w:sz="0" w:space="0" w:color="auto"/>
                        <w:left w:val="none" w:sz="0" w:space="0" w:color="auto"/>
                        <w:bottom w:val="none" w:sz="0" w:space="0" w:color="auto"/>
                        <w:right w:val="none" w:sz="0" w:space="0" w:color="auto"/>
                      </w:divBdr>
                    </w:div>
                  </w:divsChild>
                </w:div>
                <w:div w:id="1608269551">
                  <w:marLeft w:val="0"/>
                  <w:marRight w:val="0"/>
                  <w:marTop w:val="0"/>
                  <w:marBottom w:val="0"/>
                  <w:divBdr>
                    <w:top w:val="none" w:sz="0" w:space="0" w:color="auto"/>
                    <w:left w:val="none" w:sz="0" w:space="0" w:color="auto"/>
                    <w:bottom w:val="none" w:sz="0" w:space="0" w:color="auto"/>
                    <w:right w:val="none" w:sz="0" w:space="0" w:color="auto"/>
                  </w:divBdr>
                  <w:divsChild>
                    <w:div w:id="1809011627">
                      <w:marLeft w:val="0"/>
                      <w:marRight w:val="0"/>
                      <w:marTop w:val="0"/>
                      <w:marBottom w:val="0"/>
                      <w:divBdr>
                        <w:top w:val="none" w:sz="0" w:space="0" w:color="auto"/>
                        <w:left w:val="none" w:sz="0" w:space="0" w:color="auto"/>
                        <w:bottom w:val="none" w:sz="0" w:space="0" w:color="auto"/>
                        <w:right w:val="none" w:sz="0" w:space="0" w:color="auto"/>
                      </w:divBdr>
                    </w:div>
                  </w:divsChild>
                </w:div>
                <w:div w:id="1619068798">
                  <w:marLeft w:val="0"/>
                  <w:marRight w:val="0"/>
                  <w:marTop w:val="0"/>
                  <w:marBottom w:val="0"/>
                  <w:divBdr>
                    <w:top w:val="none" w:sz="0" w:space="0" w:color="auto"/>
                    <w:left w:val="none" w:sz="0" w:space="0" w:color="auto"/>
                    <w:bottom w:val="none" w:sz="0" w:space="0" w:color="auto"/>
                    <w:right w:val="none" w:sz="0" w:space="0" w:color="auto"/>
                  </w:divBdr>
                  <w:divsChild>
                    <w:div w:id="520556594">
                      <w:marLeft w:val="0"/>
                      <w:marRight w:val="0"/>
                      <w:marTop w:val="0"/>
                      <w:marBottom w:val="0"/>
                      <w:divBdr>
                        <w:top w:val="none" w:sz="0" w:space="0" w:color="auto"/>
                        <w:left w:val="none" w:sz="0" w:space="0" w:color="auto"/>
                        <w:bottom w:val="none" w:sz="0" w:space="0" w:color="auto"/>
                        <w:right w:val="none" w:sz="0" w:space="0" w:color="auto"/>
                      </w:divBdr>
                    </w:div>
                  </w:divsChild>
                </w:div>
                <w:div w:id="1646547867">
                  <w:marLeft w:val="0"/>
                  <w:marRight w:val="0"/>
                  <w:marTop w:val="0"/>
                  <w:marBottom w:val="0"/>
                  <w:divBdr>
                    <w:top w:val="none" w:sz="0" w:space="0" w:color="auto"/>
                    <w:left w:val="none" w:sz="0" w:space="0" w:color="auto"/>
                    <w:bottom w:val="none" w:sz="0" w:space="0" w:color="auto"/>
                    <w:right w:val="none" w:sz="0" w:space="0" w:color="auto"/>
                  </w:divBdr>
                  <w:divsChild>
                    <w:div w:id="250816948">
                      <w:marLeft w:val="0"/>
                      <w:marRight w:val="0"/>
                      <w:marTop w:val="0"/>
                      <w:marBottom w:val="0"/>
                      <w:divBdr>
                        <w:top w:val="none" w:sz="0" w:space="0" w:color="auto"/>
                        <w:left w:val="none" w:sz="0" w:space="0" w:color="auto"/>
                        <w:bottom w:val="none" w:sz="0" w:space="0" w:color="auto"/>
                        <w:right w:val="none" w:sz="0" w:space="0" w:color="auto"/>
                      </w:divBdr>
                    </w:div>
                  </w:divsChild>
                </w:div>
                <w:div w:id="1696077732">
                  <w:marLeft w:val="0"/>
                  <w:marRight w:val="0"/>
                  <w:marTop w:val="0"/>
                  <w:marBottom w:val="0"/>
                  <w:divBdr>
                    <w:top w:val="none" w:sz="0" w:space="0" w:color="auto"/>
                    <w:left w:val="none" w:sz="0" w:space="0" w:color="auto"/>
                    <w:bottom w:val="none" w:sz="0" w:space="0" w:color="auto"/>
                    <w:right w:val="none" w:sz="0" w:space="0" w:color="auto"/>
                  </w:divBdr>
                  <w:divsChild>
                    <w:div w:id="1637174040">
                      <w:marLeft w:val="0"/>
                      <w:marRight w:val="0"/>
                      <w:marTop w:val="0"/>
                      <w:marBottom w:val="0"/>
                      <w:divBdr>
                        <w:top w:val="none" w:sz="0" w:space="0" w:color="auto"/>
                        <w:left w:val="none" w:sz="0" w:space="0" w:color="auto"/>
                        <w:bottom w:val="none" w:sz="0" w:space="0" w:color="auto"/>
                        <w:right w:val="none" w:sz="0" w:space="0" w:color="auto"/>
                      </w:divBdr>
                    </w:div>
                  </w:divsChild>
                </w:div>
                <w:div w:id="1769734323">
                  <w:marLeft w:val="0"/>
                  <w:marRight w:val="0"/>
                  <w:marTop w:val="0"/>
                  <w:marBottom w:val="0"/>
                  <w:divBdr>
                    <w:top w:val="none" w:sz="0" w:space="0" w:color="auto"/>
                    <w:left w:val="none" w:sz="0" w:space="0" w:color="auto"/>
                    <w:bottom w:val="none" w:sz="0" w:space="0" w:color="auto"/>
                    <w:right w:val="none" w:sz="0" w:space="0" w:color="auto"/>
                  </w:divBdr>
                  <w:divsChild>
                    <w:div w:id="531845665">
                      <w:marLeft w:val="0"/>
                      <w:marRight w:val="0"/>
                      <w:marTop w:val="0"/>
                      <w:marBottom w:val="0"/>
                      <w:divBdr>
                        <w:top w:val="none" w:sz="0" w:space="0" w:color="auto"/>
                        <w:left w:val="none" w:sz="0" w:space="0" w:color="auto"/>
                        <w:bottom w:val="none" w:sz="0" w:space="0" w:color="auto"/>
                        <w:right w:val="none" w:sz="0" w:space="0" w:color="auto"/>
                      </w:divBdr>
                    </w:div>
                  </w:divsChild>
                </w:div>
                <w:div w:id="1847093068">
                  <w:marLeft w:val="0"/>
                  <w:marRight w:val="0"/>
                  <w:marTop w:val="0"/>
                  <w:marBottom w:val="0"/>
                  <w:divBdr>
                    <w:top w:val="none" w:sz="0" w:space="0" w:color="auto"/>
                    <w:left w:val="none" w:sz="0" w:space="0" w:color="auto"/>
                    <w:bottom w:val="none" w:sz="0" w:space="0" w:color="auto"/>
                    <w:right w:val="none" w:sz="0" w:space="0" w:color="auto"/>
                  </w:divBdr>
                  <w:divsChild>
                    <w:div w:id="1902323387">
                      <w:marLeft w:val="0"/>
                      <w:marRight w:val="0"/>
                      <w:marTop w:val="0"/>
                      <w:marBottom w:val="0"/>
                      <w:divBdr>
                        <w:top w:val="none" w:sz="0" w:space="0" w:color="auto"/>
                        <w:left w:val="none" w:sz="0" w:space="0" w:color="auto"/>
                        <w:bottom w:val="none" w:sz="0" w:space="0" w:color="auto"/>
                        <w:right w:val="none" w:sz="0" w:space="0" w:color="auto"/>
                      </w:divBdr>
                    </w:div>
                  </w:divsChild>
                </w:div>
                <w:div w:id="1923758679">
                  <w:marLeft w:val="0"/>
                  <w:marRight w:val="0"/>
                  <w:marTop w:val="0"/>
                  <w:marBottom w:val="0"/>
                  <w:divBdr>
                    <w:top w:val="none" w:sz="0" w:space="0" w:color="auto"/>
                    <w:left w:val="none" w:sz="0" w:space="0" w:color="auto"/>
                    <w:bottom w:val="none" w:sz="0" w:space="0" w:color="auto"/>
                    <w:right w:val="none" w:sz="0" w:space="0" w:color="auto"/>
                  </w:divBdr>
                  <w:divsChild>
                    <w:div w:id="1379088044">
                      <w:marLeft w:val="0"/>
                      <w:marRight w:val="0"/>
                      <w:marTop w:val="0"/>
                      <w:marBottom w:val="0"/>
                      <w:divBdr>
                        <w:top w:val="none" w:sz="0" w:space="0" w:color="auto"/>
                        <w:left w:val="none" w:sz="0" w:space="0" w:color="auto"/>
                        <w:bottom w:val="none" w:sz="0" w:space="0" w:color="auto"/>
                        <w:right w:val="none" w:sz="0" w:space="0" w:color="auto"/>
                      </w:divBdr>
                    </w:div>
                  </w:divsChild>
                </w:div>
                <w:div w:id="1938097961">
                  <w:marLeft w:val="0"/>
                  <w:marRight w:val="0"/>
                  <w:marTop w:val="0"/>
                  <w:marBottom w:val="0"/>
                  <w:divBdr>
                    <w:top w:val="none" w:sz="0" w:space="0" w:color="auto"/>
                    <w:left w:val="none" w:sz="0" w:space="0" w:color="auto"/>
                    <w:bottom w:val="none" w:sz="0" w:space="0" w:color="auto"/>
                    <w:right w:val="none" w:sz="0" w:space="0" w:color="auto"/>
                  </w:divBdr>
                  <w:divsChild>
                    <w:div w:id="1497305282">
                      <w:marLeft w:val="0"/>
                      <w:marRight w:val="0"/>
                      <w:marTop w:val="0"/>
                      <w:marBottom w:val="0"/>
                      <w:divBdr>
                        <w:top w:val="none" w:sz="0" w:space="0" w:color="auto"/>
                        <w:left w:val="none" w:sz="0" w:space="0" w:color="auto"/>
                        <w:bottom w:val="none" w:sz="0" w:space="0" w:color="auto"/>
                        <w:right w:val="none" w:sz="0" w:space="0" w:color="auto"/>
                      </w:divBdr>
                    </w:div>
                  </w:divsChild>
                </w:div>
                <w:div w:id="2104835646">
                  <w:marLeft w:val="0"/>
                  <w:marRight w:val="0"/>
                  <w:marTop w:val="0"/>
                  <w:marBottom w:val="0"/>
                  <w:divBdr>
                    <w:top w:val="none" w:sz="0" w:space="0" w:color="auto"/>
                    <w:left w:val="none" w:sz="0" w:space="0" w:color="auto"/>
                    <w:bottom w:val="none" w:sz="0" w:space="0" w:color="auto"/>
                    <w:right w:val="none" w:sz="0" w:space="0" w:color="auto"/>
                  </w:divBdr>
                  <w:divsChild>
                    <w:div w:id="641232266">
                      <w:marLeft w:val="0"/>
                      <w:marRight w:val="0"/>
                      <w:marTop w:val="0"/>
                      <w:marBottom w:val="0"/>
                      <w:divBdr>
                        <w:top w:val="none" w:sz="0" w:space="0" w:color="auto"/>
                        <w:left w:val="none" w:sz="0" w:space="0" w:color="auto"/>
                        <w:bottom w:val="none" w:sz="0" w:space="0" w:color="auto"/>
                        <w:right w:val="none" w:sz="0" w:space="0" w:color="auto"/>
                      </w:divBdr>
                    </w:div>
                  </w:divsChild>
                </w:div>
                <w:div w:id="2107649081">
                  <w:marLeft w:val="0"/>
                  <w:marRight w:val="0"/>
                  <w:marTop w:val="0"/>
                  <w:marBottom w:val="0"/>
                  <w:divBdr>
                    <w:top w:val="none" w:sz="0" w:space="0" w:color="auto"/>
                    <w:left w:val="none" w:sz="0" w:space="0" w:color="auto"/>
                    <w:bottom w:val="none" w:sz="0" w:space="0" w:color="auto"/>
                    <w:right w:val="none" w:sz="0" w:space="0" w:color="auto"/>
                  </w:divBdr>
                  <w:divsChild>
                    <w:div w:id="1020936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943579">
          <w:marLeft w:val="0"/>
          <w:marRight w:val="0"/>
          <w:marTop w:val="0"/>
          <w:marBottom w:val="0"/>
          <w:divBdr>
            <w:top w:val="none" w:sz="0" w:space="0" w:color="auto"/>
            <w:left w:val="none" w:sz="0" w:space="0" w:color="auto"/>
            <w:bottom w:val="none" w:sz="0" w:space="0" w:color="auto"/>
            <w:right w:val="none" w:sz="0" w:space="0" w:color="auto"/>
          </w:divBdr>
          <w:divsChild>
            <w:div w:id="783580284">
              <w:marLeft w:val="-75"/>
              <w:marRight w:val="0"/>
              <w:marTop w:val="30"/>
              <w:marBottom w:val="30"/>
              <w:divBdr>
                <w:top w:val="none" w:sz="0" w:space="0" w:color="auto"/>
                <w:left w:val="none" w:sz="0" w:space="0" w:color="auto"/>
                <w:bottom w:val="none" w:sz="0" w:space="0" w:color="auto"/>
                <w:right w:val="none" w:sz="0" w:space="0" w:color="auto"/>
              </w:divBdr>
              <w:divsChild>
                <w:div w:id="54207639">
                  <w:marLeft w:val="0"/>
                  <w:marRight w:val="0"/>
                  <w:marTop w:val="0"/>
                  <w:marBottom w:val="0"/>
                  <w:divBdr>
                    <w:top w:val="none" w:sz="0" w:space="0" w:color="auto"/>
                    <w:left w:val="none" w:sz="0" w:space="0" w:color="auto"/>
                    <w:bottom w:val="none" w:sz="0" w:space="0" w:color="auto"/>
                    <w:right w:val="none" w:sz="0" w:space="0" w:color="auto"/>
                  </w:divBdr>
                  <w:divsChild>
                    <w:div w:id="1491367357">
                      <w:marLeft w:val="0"/>
                      <w:marRight w:val="0"/>
                      <w:marTop w:val="0"/>
                      <w:marBottom w:val="0"/>
                      <w:divBdr>
                        <w:top w:val="none" w:sz="0" w:space="0" w:color="auto"/>
                        <w:left w:val="none" w:sz="0" w:space="0" w:color="auto"/>
                        <w:bottom w:val="none" w:sz="0" w:space="0" w:color="auto"/>
                        <w:right w:val="none" w:sz="0" w:space="0" w:color="auto"/>
                      </w:divBdr>
                    </w:div>
                  </w:divsChild>
                </w:div>
                <w:div w:id="140007346">
                  <w:marLeft w:val="0"/>
                  <w:marRight w:val="0"/>
                  <w:marTop w:val="0"/>
                  <w:marBottom w:val="0"/>
                  <w:divBdr>
                    <w:top w:val="none" w:sz="0" w:space="0" w:color="auto"/>
                    <w:left w:val="none" w:sz="0" w:space="0" w:color="auto"/>
                    <w:bottom w:val="none" w:sz="0" w:space="0" w:color="auto"/>
                    <w:right w:val="none" w:sz="0" w:space="0" w:color="auto"/>
                  </w:divBdr>
                  <w:divsChild>
                    <w:div w:id="194463369">
                      <w:marLeft w:val="0"/>
                      <w:marRight w:val="0"/>
                      <w:marTop w:val="0"/>
                      <w:marBottom w:val="0"/>
                      <w:divBdr>
                        <w:top w:val="none" w:sz="0" w:space="0" w:color="auto"/>
                        <w:left w:val="none" w:sz="0" w:space="0" w:color="auto"/>
                        <w:bottom w:val="none" w:sz="0" w:space="0" w:color="auto"/>
                        <w:right w:val="none" w:sz="0" w:space="0" w:color="auto"/>
                      </w:divBdr>
                    </w:div>
                  </w:divsChild>
                </w:div>
                <w:div w:id="144325082">
                  <w:marLeft w:val="0"/>
                  <w:marRight w:val="0"/>
                  <w:marTop w:val="0"/>
                  <w:marBottom w:val="0"/>
                  <w:divBdr>
                    <w:top w:val="none" w:sz="0" w:space="0" w:color="auto"/>
                    <w:left w:val="none" w:sz="0" w:space="0" w:color="auto"/>
                    <w:bottom w:val="none" w:sz="0" w:space="0" w:color="auto"/>
                    <w:right w:val="none" w:sz="0" w:space="0" w:color="auto"/>
                  </w:divBdr>
                  <w:divsChild>
                    <w:div w:id="650644741">
                      <w:marLeft w:val="0"/>
                      <w:marRight w:val="0"/>
                      <w:marTop w:val="0"/>
                      <w:marBottom w:val="0"/>
                      <w:divBdr>
                        <w:top w:val="none" w:sz="0" w:space="0" w:color="auto"/>
                        <w:left w:val="none" w:sz="0" w:space="0" w:color="auto"/>
                        <w:bottom w:val="none" w:sz="0" w:space="0" w:color="auto"/>
                        <w:right w:val="none" w:sz="0" w:space="0" w:color="auto"/>
                      </w:divBdr>
                    </w:div>
                  </w:divsChild>
                </w:div>
                <w:div w:id="202060476">
                  <w:marLeft w:val="0"/>
                  <w:marRight w:val="0"/>
                  <w:marTop w:val="0"/>
                  <w:marBottom w:val="0"/>
                  <w:divBdr>
                    <w:top w:val="none" w:sz="0" w:space="0" w:color="auto"/>
                    <w:left w:val="none" w:sz="0" w:space="0" w:color="auto"/>
                    <w:bottom w:val="none" w:sz="0" w:space="0" w:color="auto"/>
                    <w:right w:val="none" w:sz="0" w:space="0" w:color="auto"/>
                  </w:divBdr>
                  <w:divsChild>
                    <w:div w:id="1813405366">
                      <w:marLeft w:val="0"/>
                      <w:marRight w:val="0"/>
                      <w:marTop w:val="0"/>
                      <w:marBottom w:val="0"/>
                      <w:divBdr>
                        <w:top w:val="none" w:sz="0" w:space="0" w:color="auto"/>
                        <w:left w:val="none" w:sz="0" w:space="0" w:color="auto"/>
                        <w:bottom w:val="none" w:sz="0" w:space="0" w:color="auto"/>
                        <w:right w:val="none" w:sz="0" w:space="0" w:color="auto"/>
                      </w:divBdr>
                    </w:div>
                  </w:divsChild>
                </w:div>
                <w:div w:id="223756339">
                  <w:marLeft w:val="0"/>
                  <w:marRight w:val="0"/>
                  <w:marTop w:val="0"/>
                  <w:marBottom w:val="0"/>
                  <w:divBdr>
                    <w:top w:val="none" w:sz="0" w:space="0" w:color="auto"/>
                    <w:left w:val="none" w:sz="0" w:space="0" w:color="auto"/>
                    <w:bottom w:val="none" w:sz="0" w:space="0" w:color="auto"/>
                    <w:right w:val="none" w:sz="0" w:space="0" w:color="auto"/>
                  </w:divBdr>
                  <w:divsChild>
                    <w:div w:id="1563978183">
                      <w:marLeft w:val="0"/>
                      <w:marRight w:val="0"/>
                      <w:marTop w:val="0"/>
                      <w:marBottom w:val="0"/>
                      <w:divBdr>
                        <w:top w:val="none" w:sz="0" w:space="0" w:color="auto"/>
                        <w:left w:val="none" w:sz="0" w:space="0" w:color="auto"/>
                        <w:bottom w:val="none" w:sz="0" w:space="0" w:color="auto"/>
                        <w:right w:val="none" w:sz="0" w:space="0" w:color="auto"/>
                      </w:divBdr>
                    </w:div>
                  </w:divsChild>
                </w:div>
                <w:div w:id="291404375">
                  <w:marLeft w:val="0"/>
                  <w:marRight w:val="0"/>
                  <w:marTop w:val="0"/>
                  <w:marBottom w:val="0"/>
                  <w:divBdr>
                    <w:top w:val="none" w:sz="0" w:space="0" w:color="auto"/>
                    <w:left w:val="none" w:sz="0" w:space="0" w:color="auto"/>
                    <w:bottom w:val="none" w:sz="0" w:space="0" w:color="auto"/>
                    <w:right w:val="none" w:sz="0" w:space="0" w:color="auto"/>
                  </w:divBdr>
                  <w:divsChild>
                    <w:div w:id="418404172">
                      <w:marLeft w:val="0"/>
                      <w:marRight w:val="0"/>
                      <w:marTop w:val="0"/>
                      <w:marBottom w:val="0"/>
                      <w:divBdr>
                        <w:top w:val="none" w:sz="0" w:space="0" w:color="auto"/>
                        <w:left w:val="none" w:sz="0" w:space="0" w:color="auto"/>
                        <w:bottom w:val="none" w:sz="0" w:space="0" w:color="auto"/>
                        <w:right w:val="none" w:sz="0" w:space="0" w:color="auto"/>
                      </w:divBdr>
                    </w:div>
                  </w:divsChild>
                </w:div>
                <w:div w:id="323557037">
                  <w:marLeft w:val="0"/>
                  <w:marRight w:val="0"/>
                  <w:marTop w:val="0"/>
                  <w:marBottom w:val="0"/>
                  <w:divBdr>
                    <w:top w:val="none" w:sz="0" w:space="0" w:color="auto"/>
                    <w:left w:val="none" w:sz="0" w:space="0" w:color="auto"/>
                    <w:bottom w:val="none" w:sz="0" w:space="0" w:color="auto"/>
                    <w:right w:val="none" w:sz="0" w:space="0" w:color="auto"/>
                  </w:divBdr>
                  <w:divsChild>
                    <w:div w:id="2050759746">
                      <w:marLeft w:val="0"/>
                      <w:marRight w:val="0"/>
                      <w:marTop w:val="0"/>
                      <w:marBottom w:val="0"/>
                      <w:divBdr>
                        <w:top w:val="none" w:sz="0" w:space="0" w:color="auto"/>
                        <w:left w:val="none" w:sz="0" w:space="0" w:color="auto"/>
                        <w:bottom w:val="none" w:sz="0" w:space="0" w:color="auto"/>
                        <w:right w:val="none" w:sz="0" w:space="0" w:color="auto"/>
                      </w:divBdr>
                    </w:div>
                  </w:divsChild>
                </w:div>
                <w:div w:id="340276234">
                  <w:marLeft w:val="0"/>
                  <w:marRight w:val="0"/>
                  <w:marTop w:val="0"/>
                  <w:marBottom w:val="0"/>
                  <w:divBdr>
                    <w:top w:val="none" w:sz="0" w:space="0" w:color="auto"/>
                    <w:left w:val="none" w:sz="0" w:space="0" w:color="auto"/>
                    <w:bottom w:val="none" w:sz="0" w:space="0" w:color="auto"/>
                    <w:right w:val="none" w:sz="0" w:space="0" w:color="auto"/>
                  </w:divBdr>
                  <w:divsChild>
                    <w:div w:id="1745027543">
                      <w:marLeft w:val="0"/>
                      <w:marRight w:val="0"/>
                      <w:marTop w:val="0"/>
                      <w:marBottom w:val="0"/>
                      <w:divBdr>
                        <w:top w:val="none" w:sz="0" w:space="0" w:color="auto"/>
                        <w:left w:val="none" w:sz="0" w:space="0" w:color="auto"/>
                        <w:bottom w:val="none" w:sz="0" w:space="0" w:color="auto"/>
                        <w:right w:val="none" w:sz="0" w:space="0" w:color="auto"/>
                      </w:divBdr>
                    </w:div>
                  </w:divsChild>
                </w:div>
                <w:div w:id="367799461">
                  <w:marLeft w:val="0"/>
                  <w:marRight w:val="0"/>
                  <w:marTop w:val="0"/>
                  <w:marBottom w:val="0"/>
                  <w:divBdr>
                    <w:top w:val="none" w:sz="0" w:space="0" w:color="auto"/>
                    <w:left w:val="none" w:sz="0" w:space="0" w:color="auto"/>
                    <w:bottom w:val="none" w:sz="0" w:space="0" w:color="auto"/>
                    <w:right w:val="none" w:sz="0" w:space="0" w:color="auto"/>
                  </w:divBdr>
                  <w:divsChild>
                    <w:div w:id="1250457135">
                      <w:marLeft w:val="0"/>
                      <w:marRight w:val="0"/>
                      <w:marTop w:val="0"/>
                      <w:marBottom w:val="0"/>
                      <w:divBdr>
                        <w:top w:val="none" w:sz="0" w:space="0" w:color="auto"/>
                        <w:left w:val="none" w:sz="0" w:space="0" w:color="auto"/>
                        <w:bottom w:val="none" w:sz="0" w:space="0" w:color="auto"/>
                        <w:right w:val="none" w:sz="0" w:space="0" w:color="auto"/>
                      </w:divBdr>
                    </w:div>
                  </w:divsChild>
                </w:div>
                <w:div w:id="408311484">
                  <w:marLeft w:val="0"/>
                  <w:marRight w:val="0"/>
                  <w:marTop w:val="0"/>
                  <w:marBottom w:val="0"/>
                  <w:divBdr>
                    <w:top w:val="none" w:sz="0" w:space="0" w:color="auto"/>
                    <w:left w:val="none" w:sz="0" w:space="0" w:color="auto"/>
                    <w:bottom w:val="none" w:sz="0" w:space="0" w:color="auto"/>
                    <w:right w:val="none" w:sz="0" w:space="0" w:color="auto"/>
                  </w:divBdr>
                  <w:divsChild>
                    <w:div w:id="998145527">
                      <w:marLeft w:val="0"/>
                      <w:marRight w:val="0"/>
                      <w:marTop w:val="0"/>
                      <w:marBottom w:val="0"/>
                      <w:divBdr>
                        <w:top w:val="none" w:sz="0" w:space="0" w:color="auto"/>
                        <w:left w:val="none" w:sz="0" w:space="0" w:color="auto"/>
                        <w:bottom w:val="none" w:sz="0" w:space="0" w:color="auto"/>
                        <w:right w:val="none" w:sz="0" w:space="0" w:color="auto"/>
                      </w:divBdr>
                    </w:div>
                  </w:divsChild>
                </w:div>
                <w:div w:id="528225869">
                  <w:marLeft w:val="0"/>
                  <w:marRight w:val="0"/>
                  <w:marTop w:val="0"/>
                  <w:marBottom w:val="0"/>
                  <w:divBdr>
                    <w:top w:val="none" w:sz="0" w:space="0" w:color="auto"/>
                    <w:left w:val="none" w:sz="0" w:space="0" w:color="auto"/>
                    <w:bottom w:val="none" w:sz="0" w:space="0" w:color="auto"/>
                    <w:right w:val="none" w:sz="0" w:space="0" w:color="auto"/>
                  </w:divBdr>
                  <w:divsChild>
                    <w:div w:id="1997025357">
                      <w:marLeft w:val="0"/>
                      <w:marRight w:val="0"/>
                      <w:marTop w:val="0"/>
                      <w:marBottom w:val="0"/>
                      <w:divBdr>
                        <w:top w:val="none" w:sz="0" w:space="0" w:color="auto"/>
                        <w:left w:val="none" w:sz="0" w:space="0" w:color="auto"/>
                        <w:bottom w:val="none" w:sz="0" w:space="0" w:color="auto"/>
                        <w:right w:val="none" w:sz="0" w:space="0" w:color="auto"/>
                      </w:divBdr>
                    </w:div>
                  </w:divsChild>
                </w:div>
                <w:div w:id="605960898">
                  <w:marLeft w:val="0"/>
                  <w:marRight w:val="0"/>
                  <w:marTop w:val="0"/>
                  <w:marBottom w:val="0"/>
                  <w:divBdr>
                    <w:top w:val="none" w:sz="0" w:space="0" w:color="auto"/>
                    <w:left w:val="none" w:sz="0" w:space="0" w:color="auto"/>
                    <w:bottom w:val="none" w:sz="0" w:space="0" w:color="auto"/>
                    <w:right w:val="none" w:sz="0" w:space="0" w:color="auto"/>
                  </w:divBdr>
                  <w:divsChild>
                    <w:div w:id="1452284764">
                      <w:marLeft w:val="0"/>
                      <w:marRight w:val="0"/>
                      <w:marTop w:val="0"/>
                      <w:marBottom w:val="0"/>
                      <w:divBdr>
                        <w:top w:val="none" w:sz="0" w:space="0" w:color="auto"/>
                        <w:left w:val="none" w:sz="0" w:space="0" w:color="auto"/>
                        <w:bottom w:val="none" w:sz="0" w:space="0" w:color="auto"/>
                        <w:right w:val="none" w:sz="0" w:space="0" w:color="auto"/>
                      </w:divBdr>
                    </w:div>
                  </w:divsChild>
                </w:div>
                <w:div w:id="635917658">
                  <w:marLeft w:val="0"/>
                  <w:marRight w:val="0"/>
                  <w:marTop w:val="0"/>
                  <w:marBottom w:val="0"/>
                  <w:divBdr>
                    <w:top w:val="none" w:sz="0" w:space="0" w:color="auto"/>
                    <w:left w:val="none" w:sz="0" w:space="0" w:color="auto"/>
                    <w:bottom w:val="none" w:sz="0" w:space="0" w:color="auto"/>
                    <w:right w:val="none" w:sz="0" w:space="0" w:color="auto"/>
                  </w:divBdr>
                  <w:divsChild>
                    <w:div w:id="1981037743">
                      <w:marLeft w:val="0"/>
                      <w:marRight w:val="0"/>
                      <w:marTop w:val="0"/>
                      <w:marBottom w:val="0"/>
                      <w:divBdr>
                        <w:top w:val="none" w:sz="0" w:space="0" w:color="auto"/>
                        <w:left w:val="none" w:sz="0" w:space="0" w:color="auto"/>
                        <w:bottom w:val="none" w:sz="0" w:space="0" w:color="auto"/>
                        <w:right w:val="none" w:sz="0" w:space="0" w:color="auto"/>
                      </w:divBdr>
                    </w:div>
                  </w:divsChild>
                </w:div>
                <w:div w:id="682821716">
                  <w:marLeft w:val="0"/>
                  <w:marRight w:val="0"/>
                  <w:marTop w:val="0"/>
                  <w:marBottom w:val="0"/>
                  <w:divBdr>
                    <w:top w:val="none" w:sz="0" w:space="0" w:color="auto"/>
                    <w:left w:val="none" w:sz="0" w:space="0" w:color="auto"/>
                    <w:bottom w:val="none" w:sz="0" w:space="0" w:color="auto"/>
                    <w:right w:val="none" w:sz="0" w:space="0" w:color="auto"/>
                  </w:divBdr>
                  <w:divsChild>
                    <w:div w:id="910427334">
                      <w:marLeft w:val="0"/>
                      <w:marRight w:val="0"/>
                      <w:marTop w:val="0"/>
                      <w:marBottom w:val="0"/>
                      <w:divBdr>
                        <w:top w:val="none" w:sz="0" w:space="0" w:color="auto"/>
                        <w:left w:val="none" w:sz="0" w:space="0" w:color="auto"/>
                        <w:bottom w:val="none" w:sz="0" w:space="0" w:color="auto"/>
                        <w:right w:val="none" w:sz="0" w:space="0" w:color="auto"/>
                      </w:divBdr>
                    </w:div>
                  </w:divsChild>
                </w:div>
                <w:div w:id="697200403">
                  <w:marLeft w:val="0"/>
                  <w:marRight w:val="0"/>
                  <w:marTop w:val="0"/>
                  <w:marBottom w:val="0"/>
                  <w:divBdr>
                    <w:top w:val="none" w:sz="0" w:space="0" w:color="auto"/>
                    <w:left w:val="none" w:sz="0" w:space="0" w:color="auto"/>
                    <w:bottom w:val="none" w:sz="0" w:space="0" w:color="auto"/>
                    <w:right w:val="none" w:sz="0" w:space="0" w:color="auto"/>
                  </w:divBdr>
                  <w:divsChild>
                    <w:div w:id="681585324">
                      <w:marLeft w:val="0"/>
                      <w:marRight w:val="0"/>
                      <w:marTop w:val="0"/>
                      <w:marBottom w:val="0"/>
                      <w:divBdr>
                        <w:top w:val="none" w:sz="0" w:space="0" w:color="auto"/>
                        <w:left w:val="none" w:sz="0" w:space="0" w:color="auto"/>
                        <w:bottom w:val="none" w:sz="0" w:space="0" w:color="auto"/>
                        <w:right w:val="none" w:sz="0" w:space="0" w:color="auto"/>
                      </w:divBdr>
                    </w:div>
                  </w:divsChild>
                </w:div>
                <w:div w:id="745492382">
                  <w:marLeft w:val="0"/>
                  <w:marRight w:val="0"/>
                  <w:marTop w:val="0"/>
                  <w:marBottom w:val="0"/>
                  <w:divBdr>
                    <w:top w:val="none" w:sz="0" w:space="0" w:color="auto"/>
                    <w:left w:val="none" w:sz="0" w:space="0" w:color="auto"/>
                    <w:bottom w:val="none" w:sz="0" w:space="0" w:color="auto"/>
                    <w:right w:val="none" w:sz="0" w:space="0" w:color="auto"/>
                  </w:divBdr>
                  <w:divsChild>
                    <w:div w:id="941567801">
                      <w:marLeft w:val="0"/>
                      <w:marRight w:val="0"/>
                      <w:marTop w:val="0"/>
                      <w:marBottom w:val="0"/>
                      <w:divBdr>
                        <w:top w:val="none" w:sz="0" w:space="0" w:color="auto"/>
                        <w:left w:val="none" w:sz="0" w:space="0" w:color="auto"/>
                        <w:bottom w:val="none" w:sz="0" w:space="0" w:color="auto"/>
                        <w:right w:val="none" w:sz="0" w:space="0" w:color="auto"/>
                      </w:divBdr>
                    </w:div>
                  </w:divsChild>
                </w:div>
                <w:div w:id="760294843">
                  <w:marLeft w:val="0"/>
                  <w:marRight w:val="0"/>
                  <w:marTop w:val="0"/>
                  <w:marBottom w:val="0"/>
                  <w:divBdr>
                    <w:top w:val="none" w:sz="0" w:space="0" w:color="auto"/>
                    <w:left w:val="none" w:sz="0" w:space="0" w:color="auto"/>
                    <w:bottom w:val="none" w:sz="0" w:space="0" w:color="auto"/>
                    <w:right w:val="none" w:sz="0" w:space="0" w:color="auto"/>
                  </w:divBdr>
                  <w:divsChild>
                    <w:div w:id="1643851443">
                      <w:marLeft w:val="0"/>
                      <w:marRight w:val="0"/>
                      <w:marTop w:val="0"/>
                      <w:marBottom w:val="0"/>
                      <w:divBdr>
                        <w:top w:val="none" w:sz="0" w:space="0" w:color="auto"/>
                        <w:left w:val="none" w:sz="0" w:space="0" w:color="auto"/>
                        <w:bottom w:val="none" w:sz="0" w:space="0" w:color="auto"/>
                        <w:right w:val="none" w:sz="0" w:space="0" w:color="auto"/>
                      </w:divBdr>
                    </w:div>
                  </w:divsChild>
                </w:div>
                <w:div w:id="853492551">
                  <w:marLeft w:val="0"/>
                  <w:marRight w:val="0"/>
                  <w:marTop w:val="0"/>
                  <w:marBottom w:val="0"/>
                  <w:divBdr>
                    <w:top w:val="none" w:sz="0" w:space="0" w:color="auto"/>
                    <w:left w:val="none" w:sz="0" w:space="0" w:color="auto"/>
                    <w:bottom w:val="none" w:sz="0" w:space="0" w:color="auto"/>
                    <w:right w:val="none" w:sz="0" w:space="0" w:color="auto"/>
                  </w:divBdr>
                  <w:divsChild>
                    <w:div w:id="660961330">
                      <w:marLeft w:val="0"/>
                      <w:marRight w:val="0"/>
                      <w:marTop w:val="0"/>
                      <w:marBottom w:val="0"/>
                      <w:divBdr>
                        <w:top w:val="none" w:sz="0" w:space="0" w:color="auto"/>
                        <w:left w:val="none" w:sz="0" w:space="0" w:color="auto"/>
                        <w:bottom w:val="none" w:sz="0" w:space="0" w:color="auto"/>
                        <w:right w:val="none" w:sz="0" w:space="0" w:color="auto"/>
                      </w:divBdr>
                    </w:div>
                  </w:divsChild>
                </w:div>
                <w:div w:id="858279894">
                  <w:marLeft w:val="0"/>
                  <w:marRight w:val="0"/>
                  <w:marTop w:val="0"/>
                  <w:marBottom w:val="0"/>
                  <w:divBdr>
                    <w:top w:val="none" w:sz="0" w:space="0" w:color="auto"/>
                    <w:left w:val="none" w:sz="0" w:space="0" w:color="auto"/>
                    <w:bottom w:val="none" w:sz="0" w:space="0" w:color="auto"/>
                    <w:right w:val="none" w:sz="0" w:space="0" w:color="auto"/>
                  </w:divBdr>
                  <w:divsChild>
                    <w:div w:id="259487724">
                      <w:marLeft w:val="0"/>
                      <w:marRight w:val="0"/>
                      <w:marTop w:val="0"/>
                      <w:marBottom w:val="0"/>
                      <w:divBdr>
                        <w:top w:val="none" w:sz="0" w:space="0" w:color="auto"/>
                        <w:left w:val="none" w:sz="0" w:space="0" w:color="auto"/>
                        <w:bottom w:val="none" w:sz="0" w:space="0" w:color="auto"/>
                        <w:right w:val="none" w:sz="0" w:space="0" w:color="auto"/>
                      </w:divBdr>
                    </w:div>
                  </w:divsChild>
                </w:div>
                <w:div w:id="871109107">
                  <w:marLeft w:val="0"/>
                  <w:marRight w:val="0"/>
                  <w:marTop w:val="0"/>
                  <w:marBottom w:val="0"/>
                  <w:divBdr>
                    <w:top w:val="none" w:sz="0" w:space="0" w:color="auto"/>
                    <w:left w:val="none" w:sz="0" w:space="0" w:color="auto"/>
                    <w:bottom w:val="none" w:sz="0" w:space="0" w:color="auto"/>
                    <w:right w:val="none" w:sz="0" w:space="0" w:color="auto"/>
                  </w:divBdr>
                  <w:divsChild>
                    <w:div w:id="856118629">
                      <w:marLeft w:val="0"/>
                      <w:marRight w:val="0"/>
                      <w:marTop w:val="0"/>
                      <w:marBottom w:val="0"/>
                      <w:divBdr>
                        <w:top w:val="none" w:sz="0" w:space="0" w:color="auto"/>
                        <w:left w:val="none" w:sz="0" w:space="0" w:color="auto"/>
                        <w:bottom w:val="none" w:sz="0" w:space="0" w:color="auto"/>
                        <w:right w:val="none" w:sz="0" w:space="0" w:color="auto"/>
                      </w:divBdr>
                    </w:div>
                  </w:divsChild>
                </w:div>
                <w:div w:id="872422802">
                  <w:marLeft w:val="0"/>
                  <w:marRight w:val="0"/>
                  <w:marTop w:val="0"/>
                  <w:marBottom w:val="0"/>
                  <w:divBdr>
                    <w:top w:val="none" w:sz="0" w:space="0" w:color="auto"/>
                    <w:left w:val="none" w:sz="0" w:space="0" w:color="auto"/>
                    <w:bottom w:val="none" w:sz="0" w:space="0" w:color="auto"/>
                    <w:right w:val="none" w:sz="0" w:space="0" w:color="auto"/>
                  </w:divBdr>
                  <w:divsChild>
                    <w:div w:id="1414548330">
                      <w:marLeft w:val="0"/>
                      <w:marRight w:val="0"/>
                      <w:marTop w:val="0"/>
                      <w:marBottom w:val="0"/>
                      <w:divBdr>
                        <w:top w:val="none" w:sz="0" w:space="0" w:color="auto"/>
                        <w:left w:val="none" w:sz="0" w:space="0" w:color="auto"/>
                        <w:bottom w:val="none" w:sz="0" w:space="0" w:color="auto"/>
                        <w:right w:val="none" w:sz="0" w:space="0" w:color="auto"/>
                      </w:divBdr>
                    </w:div>
                  </w:divsChild>
                </w:div>
                <w:div w:id="892348301">
                  <w:marLeft w:val="0"/>
                  <w:marRight w:val="0"/>
                  <w:marTop w:val="0"/>
                  <w:marBottom w:val="0"/>
                  <w:divBdr>
                    <w:top w:val="none" w:sz="0" w:space="0" w:color="auto"/>
                    <w:left w:val="none" w:sz="0" w:space="0" w:color="auto"/>
                    <w:bottom w:val="none" w:sz="0" w:space="0" w:color="auto"/>
                    <w:right w:val="none" w:sz="0" w:space="0" w:color="auto"/>
                  </w:divBdr>
                  <w:divsChild>
                    <w:div w:id="345861232">
                      <w:marLeft w:val="0"/>
                      <w:marRight w:val="0"/>
                      <w:marTop w:val="0"/>
                      <w:marBottom w:val="0"/>
                      <w:divBdr>
                        <w:top w:val="none" w:sz="0" w:space="0" w:color="auto"/>
                        <w:left w:val="none" w:sz="0" w:space="0" w:color="auto"/>
                        <w:bottom w:val="none" w:sz="0" w:space="0" w:color="auto"/>
                        <w:right w:val="none" w:sz="0" w:space="0" w:color="auto"/>
                      </w:divBdr>
                    </w:div>
                  </w:divsChild>
                </w:div>
                <w:div w:id="953436948">
                  <w:marLeft w:val="0"/>
                  <w:marRight w:val="0"/>
                  <w:marTop w:val="0"/>
                  <w:marBottom w:val="0"/>
                  <w:divBdr>
                    <w:top w:val="none" w:sz="0" w:space="0" w:color="auto"/>
                    <w:left w:val="none" w:sz="0" w:space="0" w:color="auto"/>
                    <w:bottom w:val="none" w:sz="0" w:space="0" w:color="auto"/>
                    <w:right w:val="none" w:sz="0" w:space="0" w:color="auto"/>
                  </w:divBdr>
                  <w:divsChild>
                    <w:div w:id="28185896">
                      <w:marLeft w:val="0"/>
                      <w:marRight w:val="0"/>
                      <w:marTop w:val="0"/>
                      <w:marBottom w:val="0"/>
                      <w:divBdr>
                        <w:top w:val="none" w:sz="0" w:space="0" w:color="auto"/>
                        <w:left w:val="none" w:sz="0" w:space="0" w:color="auto"/>
                        <w:bottom w:val="none" w:sz="0" w:space="0" w:color="auto"/>
                        <w:right w:val="none" w:sz="0" w:space="0" w:color="auto"/>
                      </w:divBdr>
                    </w:div>
                  </w:divsChild>
                </w:div>
                <w:div w:id="956376462">
                  <w:marLeft w:val="0"/>
                  <w:marRight w:val="0"/>
                  <w:marTop w:val="0"/>
                  <w:marBottom w:val="0"/>
                  <w:divBdr>
                    <w:top w:val="none" w:sz="0" w:space="0" w:color="auto"/>
                    <w:left w:val="none" w:sz="0" w:space="0" w:color="auto"/>
                    <w:bottom w:val="none" w:sz="0" w:space="0" w:color="auto"/>
                    <w:right w:val="none" w:sz="0" w:space="0" w:color="auto"/>
                  </w:divBdr>
                  <w:divsChild>
                    <w:div w:id="409082419">
                      <w:marLeft w:val="0"/>
                      <w:marRight w:val="0"/>
                      <w:marTop w:val="0"/>
                      <w:marBottom w:val="0"/>
                      <w:divBdr>
                        <w:top w:val="none" w:sz="0" w:space="0" w:color="auto"/>
                        <w:left w:val="none" w:sz="0" w:space="0" w:color="auto"/>
                        <w:bottom w:val="none" w:sz="0" w:space="0" w:color="auto"/>
                        <w:right w:val="none" w:sz="0" w:space="0" w:color="auto"/>
                      </w:divBdr>
                    </w:div>
                  </w:divsChild>
                </w:div>
                <w:div w:id="988052988">
                  <w:marLeft w:val="0"/>
                  <w:marRight w:val="0"/>
                  <w:marTop w:val="0"/>
                  <w:marBottom w:val="0"/>
                  <w:divBdr>
                    <w:top w:val="none" w:sz="0" w:space="0" w:color="auto"/>
                    <w:left w:val="none" w:sz="0" w:space="0" w:color="auto"/>
                    <w:bottom w:val="none" w:sz="0" w:space="0" w:color="auto"/>
                    <w:right w:val="none" w:sz="0" w:space="0" w:color="auto"/>
                  </w:divBdr>
                  <w:divsChild>
                    <w:div w:id="541793921">
                      <w:marLeft w:val="0"/>
                      <w:marRight w:val="0"/>
                      <w:marTop w:val="0"/>
                      <w:marBottom w:val="0"/>
                      <w:divBdr>
                        <w:top w:val="none" w:sz="0" w:space="0" w:color="auto"/>
                        <w:left w:val="none" w:sz="0" w:space="0" w:color="auto"/>
                        <w:bottom w:val="none" w:sz="0" w:space="0" w:color="auto"/>
                        <w:right w:val="none" w:sz="0" w:space="0" w:color="auto"/>
                      </w:divBdr>
                    </w:div>
                  </w:divsChild>
                </w:div>
                <w:div w:id="1028675476">
                  <w:marLeft w:val="0"/>
                  <w:marRight w:val="0"/>
                  <w:marTop w:val="0"/>
                  <w:marBottom w:val="0"/>
                  <w:divBdr>
                    <w:top w:val="none" w:sz="0" w:space="0" w:color="auto"/>
                    <w:left w:val="none" w:sz="0" w:space="0" w:color="auto"/>
                    <w:bottom w:val="none" w:sz="0" w:space="0" w:color="auto"/>
                    <w:right w:val="none" w:sz="0" w:space="0" w:color="auto"/>
                  </w:divBdr>
                  <w:divsChild>
                    <w:div w:id="18163199">
                      <w:marLeft w:val="0"/>
                      <w:marRight w:val="0"/>
                      <w:marTop w:val="0"/>
                      <w:marBottom w:val="0"/>
                      <w:divBdr>
                        <w:top w:val="none" w:sz="0" w:space="0" w:color="auto"/>
                        <w:left w:val="none" w:sz="0" w:space="0" w:color="auto"/>
                        <w:bottom w:val="none" w:sz="0" w:space="0" w:color="auto"/>
                        <w:right w:val="none" w:sz="0" w:space="0" w:color="auto"/>
                      </w:divBdr>
                    </w:div>
                  </w:divsChild>
                </w:div>
                <w:div w:id="1099790741">
                  <w:marLeft w:val="0"/>
                  <w:marRight w:val="0"/>
                  <w:marTop w:val="0"/>
                  <w:marBottom w:val="0"/>
                  <w:divBdr>
                    <w:top w:val="none" w:sz="0" w:space="0" w:color="auto"/>
                    <w:left w:val="none" w:sz="0" w:space="0" w:color="auto"/>
                    <w:bottom w:val="none" w:sz="0" w:space="0" w:color="auto"/>
                    <w:right w:val="none" w:sz="0" w:space="0" w:color="auto"/>
                  </w:divBdr>
                  <w:divsChild>
                    <w:div w:id="234820211">
                      <w:marLeft w:val="0"/>
                      <w:marRight w:val="0"/>
                      <w:marTop w:val="0"/>
                      <w:marBottom w:val="0"/>
                      <w:divBdr>
                        <w:top w:val="none" w:sz="0" w:space="0" w:color="auto"/>
                        <w:left w:val="none" w:sz="0" w:space="0" w:color="auto"/>
                        <w:bottom w:val="none" w:sz="0" w:space="0" w:color="auto"/>
                        <w:right w:val="none" w:sz="0" w:space="0" w:color="auto"/>
                      </w:divBdr>
                    </w:div>
                  </w:divsChild>
                </w:div>
                <w:div w:id="1164006486">
                  <w:marLeft w:val="0"/>
                  <w:marRight w:val="0"/>
                  <w:marTop w:val="0"/>
                  <w:marBottom w:val="0"/>
                  <w:divBdr>
                    <w:top w:val="none" w:sz="0" w:space="0" w:color="auto"/>
                    <w:left w:val="none" w:sz="0" w:space="0" w:color="auto"/>
                    <w:bottom w:val="none" w:sz="0" w:space="0" w:color="auto"/>
                    <w:right w:val="none" w:sz="0" w:space="0" w:color="auto"/>
                  </w:divBdr>
                  <w:divsChild>
                    <w:div w:id="2133554519">
                      <w:marLeft w:val="0"/>
                      <w:marRight w:val="0"/>
                      <w:marTop w:val="0"/>
                      <w:marBottom w:val="0"/>
                      <w:divBdr>
                        <w:top w:val="none" w:sz="0" w:space="0" w:color="auto"/>
                        <w:left w:val="none" w:sz="0" w:space="0" w:color="auto"/>
                        <w:bottom w:val="none" w:sz="0" w:space="0" w:color="auto"/>
                        <w:right w:val="none" w:sz="0" w:space="0" w:color="auto"/>
                      </w:divBdr>
                    </w:div>
                  </w:divsChild>
                </w:div>
                <w:div w:id="1195075850">
                  <w:marLeft w:val="0"/>
                  <w:marRight w:val="0"/>
                  <w:marTop w:val="0"/>
                  <w:marBottom w:val="0"/>
                  <w:divBdr>
                    <w:top w:val="none" w:sz="0" w:space="0" w:color="auto"/>
                    <w:left w:val="none" w:sz="0" w:space="0" w:color="auto"/>
                    <w:bottom w:val="none" w:sz="0" w:space="0" w:color="auto"/>
                    <w:right w:val="none" w:sz="0" w:space="0" w:color="auto"/>
                  </w:divBdr>
                  <w:divsChild>
                    <w:div w:id="1749619421">
                      <w:marLeft w:val="0"/>
                      <w:marRight w:val="0"/>
                      <w:marTop w:val="0"/>
                      <w:marBottom w:val="0"/>
                      <w:divBdr>
                        <w:top w:val="none" w:sz="0" w:space="0" w:color="auto"/>
                        <w:left w:val="none" w:sz="0" w:space="0" w:color="auto"/>
                        <w:bottom w:val="none" w:sz="0" w:space="0" w:color="auto"/>
                        <w:right w:val="none" w:sz="0" w:space="0" w:color="auto"/>
                      </w:divBdr>
                    </w:div>
                  </w:divsChild>
                </w:div>
                <w:div w:id="1195313306">
                  <w:marLeft w:val="0"/>
                  <w:marRight w:val="0"/>
                  <w:marTop w:val="0"/>
                  <w:marBottom w:val="0"/>
                  <w:divBdr>
                    <w:top w:val="none" w:sz="0" w:space="0" w:color="auto"/>
                    <w:left w:val="none" w:sz="0" w:space="0" w:color="auto"/>
                    <w:bottom w:val="none" w:sz="0" w:space="0" w:color="auto"/>
                    <w:right w:val="none" w:sz="0" w:space="0" w:color="auto"/>
                  </w:divBdr>
                  <w:divsChild>
                    <w:div w:id="159977411">
                      <w:marLeft w:val="0"/>
                      <w:marRight w:val="0"/>
                      <w:marTop w:val="0"/>
                      <w:marBottom w:val="0"/>
                      <w:divBdr>
                        <w:top w:val="none" w:sz="0" w:space="0" w:color="auto"/>
                        <w:left w:val="none" w:sz="0" w:space="0" w:color="auto"/>
                        <w:bottom w:val="none" w:sz="0" w:space="0" w:color="auto"/>
                        <w:right w:val="none" w:sz="0" w:space="0" w:color="auto"/>
                      </w:divBdr>
                    </w:div>
                  </w:divsChild>
                </w:div>
                <w:div w:id="1237088532">
                  <w:marLeft w:val="0"/>
                  <w:marRight w:val="0"/>
                  <w:marTop w:val="0"/>
                  <w:marBottom w:val="0"/>
                  <w:divBdr>
                    <w:top w:val="none" w:sz="0" w:space="0" w:color="auto"/>
                    <w:left w:val="none" w:sz="0" w:space="0" w:color="auto"/>
                    <w:bottom w:val="none" w:sz="0" w:space="0" w:color="auto"/>
                    <w:right w:val="none" w:sz="0" w:space="0" w:color="auto"/>
                  </w:divBdr>
                  <w:divsChild>
                    <w:div w:id="462120325">
                      <w:marLeft w:val="0"/>
                      <w:marRight w:val="0"/>
                      <w:marTop w:val="0"/>
                      <w:marBottom w:val="0"/>
                      <w:divBdr>
                        <w:top w:val="none" w:sz="0" w:space="0" w:color="auto"/>
                        <w:left w:val="none" w:sz="0" w:space="0" w:color="auto"/>
                        <w:bottom w:val="none" w:sz="0" w:space="0" w:color="auto"/>
                        <w:right w:val="none" w:sz="0" w:space="0" w:color="auto"/>
                      </w:divBdr>
                    </w:div>
                  </w:divsChild>
                </w:div>
                <w:div w:id="1256983813">
                  <w:marLeft w:val="0"/>
                  <w:marRight w:val="0"/>
                  <w:marTop w:val="0"/>
                  <w:marBottom w:val="0"/>
                  <w:divBdr>
                    <w:top w:val="none" w:sz="0" w:space="0" w:color="auto"/>
                    <w:left w:val="none" w:sz="0" w:space="0" w:color="auto"/>
                    <w:bottom w:val="none" w:sz="0" w:space="0" w:color="auto"/>
                    <w:right w:val="none" w:sz="0" w:space="0" w:color="auto"/>
                  </w:divBdr>
                  <w:divsChild>
                    <w:div w:id="1120686879">
                      <w:marLeft w:val="0"/>
                      <w:marRight w:val="0"/>
                      <w:marTop w:val="0"/>
                      <w:marBottom w:val="0"/>
                      <w:divBdr>
                        <w:top w:val="none" w:sz="0" w:space="0" w:color="auto"/>
                        <w:left w:val="none" w:sz="0" w:space="0" w:color="auto"/>
                        <w:bottom w:val="none" w:sz="0" w:space="0" w:color="auto"/>
                        <w:right w:val="none" w:sz="0" w:space="0" w:color="auto"/>
                      </w:divBdr>
                    </w:div>
                    <w:div w:id="2072381699">
                      <w:marLeft w:val="0"/>
                      <w:marRight w:val="0"/>
                      <w:marTop w:val="0"/>
                      <w:marBottom w:val="0"/>
                      <w:divBdr>
                        <w:top w:val="none" w:sz="0" w:space="0" w:color="auto"/>
                        <w:left w:val="none" w:sz="0" w:space="0" w:color="auto"/>
                        <w:bottom w:val="none" w:sz="0" w:space="0" w:color="auto"/>
                        <w:right w:val="none" w:sz="0" w:space="0" w:color="auto"/>
                      </w:divBdr>
                    </w:div>
                  </w:divsChild>
                </w:div>
                <w:div w:id="1332683876">
                  <w:marLeft w:val="0"/>
                  <w:marRight w:val="0"/>
                  <w:marTop w:val="0"/>
                  <w:marBottom w:val="0"/>
                  <w:divBdr>
                    <w:top w:val="none" w:sz="0" w:space="0" w:color="auto"/>
                    <w:left w:val="none" w:sz="0" w:space="0" w:color="auto"/>
                    <w:bottom w:val="none" w:sz="0" w:space="0" w:color="auto"/>
                    <w:right w:val="none" w:sz="0" w:space="0" w:color="auto"/>
                  </w:divBdr>
                  <w:divsChild>
                    <w:div w:id="1623490554">
                      <w:marLeft w:val="0"/>
                      <w:marRight w:val="0"/>
                      <w:marTop w:val="0"/>
                      <w:marBottom w:val="0"/>
                      <w:divBdr>
                        <w:top w:val="none" w:sz="0" w:space="0" w:color="auto"/>
                        <w:left w:val="none" w:sz="0" w:space="0" w:color="auto"/>
                        <w:bottom w:val="none" w:sz="0" w:space="0" w:color="auto"/>
                        <w:right w:val="none" w:sz="0" w:space="0" w:color="auto"/>
                      </w:divBdr>
                    </w:div>
                  </w:divsChild>
                </w:div>
                <w:div w:id="1336834477">
                  <w:marLeft w:val="0"/>
                  <w:marRight w:val="0"/>
                  <w:marTop w:val="0"/>
                  <w:marBottom w:val="0"/>
                  <w:divBdr>
                    <w:top w:val="none" w:sz="0" w:space="0" w:color="auto"/>
                    <w:left w:val="none" w:sz="0" w:space="0" w:color="auto"/>
                    <w:bottom w:val="none" w:sz="0" w:space="0" w:color="auto"/>
                    <w:right w:val="none" w:sz="0" w:space="0" w:color="auto"/>
                  </w:divBdr>
                  <w:divsChild>
                    <w:div w:id="155608470">
                      <w:marLeft w:val="0"/>
                      <w:marRight w:val="0"/>
                      <w:marTop w:val="0"/>
                      <w:marBottom w:val="0"/>
                      <w:divBdr>
                        <w:top w:val="none" w:sz="0" w:space="0" w:color="auto"/>
                        <w:left w:val="none" w:sz="0" w:space="0" w:color="auto"/>
                        <w:bottom w:val="none" w:sz="0" w:space="0" w:color="auto"/>
                        <w:right w:val="none" w:sz="0" w:space="0" w:color="auto"/>
                      </w:divBdr>
                    </w:div>
                  </w:divsChild>
                </w:div>
                <w:div w:id="1349063329">
                  <w:marLeft w:val="0"/>
                  <w:marRight w:val="0"/>
                  <w:marTop w:val="0"/>
                  <w:marBottom w:val="0"/>
                  <w:divBdr>
                    <w:top w:val="none" w:sz="0" w:space="0" w:color="auto"/>
                    <w:left w:val="none" w:sz="0" w:space="0" w:color="auto"/>
                    <w:bottom w:val="none" w:sz="0" w:space="0" w:color="auto"/>
                    <w:right w:val="none" w:sz="0" w:space="0" w:color="auto"/>
                  </w:divBdr>
                  <w:divsChild>
                    <w:div w:id="1787851236">
                      <w:marLeft w:val="0"/>
                      <w:marRight w:val="0"/>
                      <w:marTop w:val="0"/>
                      <w:marBottom w:val="0"/>
                      <w:divBdr>
                        <w:top w:val="none" w:sz="0" w:space="0" w:color="auto"/>
                        <w:left w:val="none" w:sz="0" w:space="0" w:color="auto"/>
                        <w:bottom w:val="none" w:sz="0" w:space="0" w:color="auto"/>
                        <w:right w:val="none" w:sz="0" w:space="0" w:color="auto"/>
                      </w:divBdr>
                    </w:div>
                  </w:divsChild>
                </w:div>
                <w:div w:id="1413703365">
                  <w:marLeft w:val="0"/>
                  <w:marRight w:val="0"/>
                  <w:marTop w:val="0"/>
                  <w:marBottom w:val="0"/>
                  <w:divBdr>
                    <w:top w:val="none" w:sz="0" w:space="0" w:color="auto"/>
                    <w:left w:val="none" w:sz="0" w:space="0" w:color="auto"/>
                    <w:bottom w:val="none" w:sz="0" w:space="0" w:color="auto"/>
                    <w:right w:val="none" w:sz="0" w:space="0" w:color="auto"/>
                  </w:divBdr>
                  <w:divsChild>
                    <w:div w:id="1444378835">
                      <w:marLeft w:val="0"/>
                      <w:marRight w:val="0"/>
                      <w:marTop w:val="0"/>
                      <w:marBottom w:val="0"/>
                      <w:divBdr>
                        <w:top w:val="none" w:sz="0" w:space="0" w:color="auto"/>
                        <w:left w:val="none" w:sz="0" w:space="0" w:color="auto"/>
                        <w:bottom w:val="none" w:sz="0" w:space="0" w:color="auto"/>
                        <w:right w:val="none" w:sz="0" w:space="0" w:color="auto"/>
                      </w:divBdr>
                    </w:div>
                  </w:divsChild>
                </w:div>
                <w:div w:id="1473712528">
                  <w:marLeft w:val="0"/>
                  <w:marRight w:val="0"/>
                  <w:marTop w:val="0"/>
                  <w:marBottom w:val="0"/>
                  <w:divBdr>
                    <w:top w:val="none" w:sz="0" w:space="0" w:color="auto"/>
                    <w:left w:val="none" w:sz="0" w:space="0" w:color="auto"/>
                    <w:bottom w:val="none" w:sz="0" w:space="0" w:color="auto"/>
                    <w:right w:val="none" w:sz="0" w:space="0" w:color="auto"/>
                  </w:divBdr>
                  <w:divsChild>
                    <w:div w:id="145897832">
                      <w:marLeft w:val="0"/>
                      <w:marRight w:val="0"/>
                      <w:marTop w:val="0"/>
                      <w:marBottom w:val="0"/>
                      <w:divBdr>
                        <w:top w:val="none" w:sz="0" w:space="0" w:color="auto"/>
                        <w:left w:val="none" w:sz="0" w:space="0" w:color="auto"/>
                        <w:bottom w:val="none" w:sz="0" w:space="0" w:color="auto"/>
                        <w:right w:val="none" w:sz="0" w:space="0" w:color="auto"/>
                      </w:divBdr>
                    </w:div>
                  </w:divsChild>
                </w:div>
                <w:div w:id="1647928643">
                  <w:marLeft w:val="0"/>
                  <w:marRight w:val="0"/>
                  <w:marTop w:val="0"/>
                  <w:marBottom w:val="0"/>
                  <w:divBdr>
                    <w:top w:val="none" w:sz="0" w:space="0" w:color="auto"/>
                    <w:left w:val="none" w:sz="0" w:space="0" w:color="auto"/>
                    <w:bottom w:val="none" w:sz="0" w:space="0" w:color="auto"/>
                    <w:right w:val="none" w:sz="0" w:space="0" w:color="auto"/>
                  </w:divBdr>
                  <w:divsChild>
                    <w:div w:id="1815416308">
                      <w:marLeft w:val="0"/>
                      <w:marRight w:val="0"/>
                      <w:marTop w:val="0"/>
                      <w:marBottom w:val="0"/>
                      <w:divBdr>
                        <w:top w:val="none" w:sz="0" w:space="0" w:color="auto"/>
                        <w:left w:val="none" w:sz="0" w:space="0" w:color="auto"/>
                        <w:bottom w:val="none" w:sz="0" w:space="0" w:color="auto"/>
                        <w:right w:val="none" w:sz="0" w:space="0" w:color="auto"/>
                      </w:divBdr>
                    </w:div>
                  </w:divsChild>
                </w:div>
                <w:div w:id="1653021842">
                  <w:marLeft w:val="0"/>
                  <w:marRight w:val="0"/>
                  <w:marTop w:val="0"/>
                  <w:marBottom w:val="0"/>
                  <w:divBdr>
                    <w:top w:val="none" w:sz="0" w:space="0" w:color="auto"/>
                    <w:left w:val="none" w:sz="0" w:space="0" w:color="auto"/>
                    <w:bottom w:val="none" w:sz="0" w:space="0" w:color="auto"/>
                    <w:right w:val="none" w:sz="0" w:space="0" w:color="auto"/>
                  </w:divBdr>
                  <w:divsChild>
                    <w:div w:id="212667509">
                      <w:marLeft w:val="0"/>
                      <w:marRight w:val="0"/>
                      <w:marTop w:val="0"/>
                      <w:marBottom w:val="0"/>
                      <w:divBdr>
                        <w:top w:val="none" w:sz="0" w:space="0" w:color="auto"/>
                        <w:left w:val="none" w:sz="0" w:space="0" w:color="auto"/>
                        <w:bottom w:val="none" w:sz="0" w:space="0" w:color="auto"/>
                        <w:right w:val="none" w:sz="0" w:space="0" w:color="auto"/>
                      </w:divBdr>
                    </w:div>
                  </w:divsChild>
                </w:div>
                <w:div w:id="1661495739">
                  <w:marLeft w:val="0"/>
                  <w:marRight w:val="0"/>
                  <w:marTop w:val="0"/>
                  <w:marBottom w:val="0"/>
                  <w:divBdr>
                    <w:top w:val="none" w:sz="0" w:space="0" w:color="auto"/>
                    <w:left w:val="none" w:sz="0" w:space="0" w:color="auto"/>
                    <w:bottom w:val="none" w:sz="0" w:space="0" w:color="auto"/>
                    <w:right w:val="none" w:sz="0" w:space="0" w:color="auto"/>
                  </w:divBdr>
                  <w:divsChild>
                    <w:div w:id="1890606159">
                      <w:marLeft w:val="0"/>
                      <w:marRight w:val="0"/>
                      <w:marTop w:val="0"/>
                      <w:marBottom w:val="0"/>
                      <w:divBdr>
                        <w:top w:val="none" w:sz="0" w:space="0" w:color="auto"/>
                        <w:left w:val="none" w:sz="0" w:space="0" w:color="auto"/>
                        <w:bottom w:val="none" w:sz="0" w:space="0" w:color="auto"/>
                        <w:right w:val="none" w:sz="0" w:space="0" w:color="auto"/>
                      </w:divBdr>
                    </w:div>
                  </w:divsChild>
                </w:div>
                <w:div w:id="1768959984">
                  <w:marLeft w:val="0"/>
                  <w:marRight w:val="0"/>
                  <w:marTop w:val="0"/>
                  <w:marBottom w:val="0"/>
                  <w:divBdr>
                    <w:top w:val="none" w:sz="0" w:space="0" w:color="auto"/>
                    <w:left w:val="none" w:sz="0" w:space="0" w:color="auto"/>
                    <w:bottom w:val="none" w:sz="0" w:space="0" w:color="auto"/>
                    <w:right w:val="none" w:sz="0" w:space="0" w:color="auto"/>
                  </w:divBdr>
                  <w:divsChild>
                    <w:div w:id="1577013306">
                      <w:marLeft w:val="0"/>
                      <w:marRight w:val="0"/>
                      <w:marTop w:val="0"/>
                      <w:marBottom w:val="0"/>
                      <w:divBdr>
                        <w:top w:val="none" w:sz="0" w:space="0" w:color="auto"/>
                        <w:left w:val="none" w:sz="0" w:space="0" w:color="auto"/>
                        <w:bottom w:val="none" w:sz="0" w:space="0" w:color="auto"/>
                        <w:right w:val="none" w:sz="0" w:space="0" w:color="auto"/>
                      </w:divBdr>
                    </w:div>
                  </w:divsChild>
                </w:div>
                <w:div w:id="1778255489">
                  <w:marLeft w:val="0"/>
                  <w:marRight w:val="0"/>
                  <w:marTop w:val="0"/>
                  <w:marBottom w:val="0"/>
                  <w:divBdr>
                    <w:top w:val="none" w:sz="0" w:space="0" w:color="auto"/>
                    <w:left w:val="none" w:sz="0" w:space="0" w:color="auto"/>
                    <w:bottom w:val="none" w:sz="0" w:space="0" w:color="auto"/>
                    <w:right w:val="none" w:sz="0" w:space="0" w:color="auto"/>
                  </w:divBdr>
                  <w:divsChild>
                    <w:div w:id="1117917288">
                      <w:marLeft w:val="0"/>
                      <w:marRight w:val="0"/>
                      <w:marTop w:val="0"/>
                      <w:marBottom w:val="0"/>
                      <w:divBdr>
                        <w:top w:val="none" w:sz="0" w:space="0" w:color="auto"/>
                        <w:left w:val="none" w:sz="0" w:space="0" w:color="auto"/>
                        <w:bottom w:val="none" w:sz="0" w:space="0" w:color="auto"/>
                        <w:right w:val="none" w:sz="0" w:space="0" w:color="auto"/>
                      </w:divBdr>
                    </w:div>
                  </w:divsChild>
                </w:div>
                <w:div w:id="1779639861">
                  <w:marLeft w:val="0"/>
                  <w:marRight w:val="0"/>
                  <w:marTop w:val="0"/>
                  <w:marBottom w:val="0"/>
                  <w:divBdr>
                    <w:top w:val="none" w:sz="0" w:space="0" w:color="auto"/>
                    <w:left w:val="none" w:sz="0" w:space="0" w:color="auto"/>
                    <w:bottom w:val="none" w:sz="0" w:space="0" w:color="auto"/>
                    <w:right w:val="none" w:sz="0" w:space="0" w:color="auto"/>
                  </w:divBdr>
                  <w:divsChild>
                    <w:div w:id="1923641281">
                      <w:marLeft w:val="0"/>
                      <w:marRight w:val="0"/>
                      <w:marTop w:val="0"/>
                      <w:marBottom w:val="0"/>
                      <w:divBdr>
                        <w:top w:val="none" w:sz="0" w:space="0" w:color="auto"/>
                        <w:left w:val="none" w:sz="0" w:space="0" w:color="auto"/>
                        <w:bottom w:val="none" w:sz="0" w:space="0" w:color="auto"/>
                        <w:right w:val="none" w:sz="0" w:space="0" w:color="auto"/>
                      </w:divBdr>
                    </w:div>
                  </w:divsChild>
                </w:div>
                <w:div w:id="1819880122">
                  <w:marLeft w:val="0"/>
                  <w:marRight w:val="0"/>
                  <w:marTop w:val="0"/>
                  <w:marBottom w:val="0"/>
                  <w:divBdr>
                    <w:top w:val="none" w:sz="0" w:space="0" w:color="auto"/>
                    <w:left w:val="none" w:sz="0" w:space="0" w:color="auto"/>
                    <w:bottom w:val="none" w:sz="0" w:space="0" w:color="auto"/>
                    <w:right w:val="none" w:sz="0" w:space="0" w:color="auto"/>
                  </w:divBdr>
                  <w:divsChild>
                    <w:div w:id="429855721">
                      <w:marLeft w:val="0"/>
                      <w:marRight w:val="0"/>
                      <w:marTop w:val="0"/>
                      <w:marBottom w:val="0"/>
                      <w:divBdr>
                        <w:top w:val="none" w:sz="0" w:space="0" w:color="auto"/>
                        <w:left w:val="none" w:sz="0" w:space="0" w:color="auto"/>
                        <w:bottom w:val="none" w:sz="0" w:space="0" w:color="auto"/>
                        <w:right w:val="none" w:sz="0" w:space="0" w:color="auto"/>
                      </w:divBdr>
                    </w:div>
                  </w:divsChild>
                </w:div>
                <w:div w:id="1827360596">
                  <w:marLeft w:val="0"/>
                  <w:marRight w:val="0"/>
                  <w:marTop w:val="0"/>
                  <w:marBottom w:val="0"/>
                  <w:divBdr>
                    <w:top w:val="none" w:sz="0" w:space="0" w:color="auto"/>
                    <w:left w:val="none" w:sz="0" w:space="0" w:color="auto"/>
                    <w:bottom w:val="none" w:sz="0" w:space="0" w:color="auto"/>
                    <w:right w:val="none" w:sz="0" w:space="0" w:color="auto"/>
                  </w:divBdr>
                  <w:divsChild>
                    <w:div w:id="1365054321">
                      <w:marLeft w:val="0"/>
                      <w:marRight w:val="0"/>
                      <w:marTop w:val="0"/>
                      <w:marBottom w:val="0"/>
                      <w:divBdr>
                        <w:top w:val="none" w:sz="0" w:space="0" w:color="auto"/>
                        <w:left w:val="none" w:sz="0" w:space="0" w:color="auto"/>
                        <w:bottom w:val="none" w:sz="0" w:space="0" w:color="auto"/>
                        <w:right w:val="none" w:sz="0" w:space="0" w:color="auto"/>
                      </w:divBdr>
                    </w:div>
                  </w:divsChild>
                </w:div>
                <w:div w:id="1874347894">
                  <w:marLeft w:val="0"/>
                  <w:marRight w:val="0"/>
                  <w:marTop w:val="0"/>
                  <w:marBottom w:val="0"/>
                  <w:divBdr>
                    <w:top w:val="none" w:sz="0" w:space="0" w:color="auto"/>
                    <w:left w:val="none" w:sz="0" w:space="0" w:color="auto"/>
                    <w:bottom w:val="none" w:sz="0" w:space="0" w:color="auto"/>
                    <w:right w:val="none" w:sz="0" w:space="0" w:color="auto"/>
                  </w:divBdr>
                  <w:divsChild>
                    <w:div w:id="1918007621">
                      <w:marLeft w:val="0"/>
                      <w:marRight w:val="0"/>
                      <w:marTop w:val="0"/>
                      <w:marBottom w:val="0"/>
                      <w:divBdr>
                        <w:top w:val="none" w:sz="0" w:space="0" w:color="auto"/>
                        <w:left w:val="none" w:sz="0" w:space="0" w:color="auto"/>
                        <w:bottom w:val="none" w:sz="0" w:space="0" w:color="auto"/>
                        <w:right w:val="none" w:sz="0" w:space="0" w:color="auto"/>
                      </w:divBdr>
                    </w:div>
                  </w:divsChild>
                </w:div>
                <w:div w:id="1935357689">
                  <w:marLeft w:val="0"/>
                  <w:marRight w:val="0"/>
                  <w:marTop w:val="0"/>
                  <w:marBottom w:val="0"/>
                  <w:divBdr>
                    <w:top w:val="none" w:sz="0" w:space="0" w:color="auto"/>
                    <w:left w:val="none" w:sz="0" w:space="0" w:color="auto"/>
                    <w:bottom w:val="none" w:sz="0" w:space="0" w:color="auto"/>
                    <w:right w:val="none" w:sz="0" w:space="0" w:color="auto"/>
                  </w:divBdr>
                  <w:divsChild>
                    <w:div w:id="1831290931">
                      <w:marLeft w:val="0"/>
                      <w:marRight w:val="0"/>
                      <w:marTop w:val="0"/>
                      <w:marBottom w:val="0"/>
                      <w:divBdr>
                        <w:top w:val="none" w:sz="0" w:space="0" w:color="auto"/>
                        <w:left w:val="none" w:sz="0" w:space="0" w:color="auto"/>
                        <w:bottom w:val="none" w:sz="0" w:space="0" w:color="auto"/>
                        <w:right w:val="none" w:sz="0" w:space="0" w:color="auto"/>
                      </w:divBdr>
                    </w:div>
                  </w:divsChild>
                </w:div>
                <w:div w:id="2021423040">
                  <w:marLeft w:val="0"/>
                  <w:marRight w:val="0"/>
                  <w:marTop w:val="0"/>
                  <w:marBottom w:val="0"/>
                  <w:divBdr>
                    <w:top w:val="none" w:sz="0" w:space="0" w:color="auto"/>
                    <w:left w:val="none" w:sz="0" w:space="0" w:color="auto"/>
                    <w:bottom w:val="none" w:sz="0" w:space="0" w:color="auto"/>
                    <w:right w:val="none" w:sz="0" w:space="0" w:color="auto"/>
                  </w:divBdr>
                  <w:divsChild>
                    <w:div w:id="1801874072">
                      <w:marLeft w:val="0"/>
                      <w:marRight w:val="0"/>
                      <w:marTop w:val="0"/>
                      <w:marBottom w:val="0"/>
                      <w:divBdr>
                        <w:top w:val="none" w:sz="0" w:space="0" w:color="auto"/>
                        <w:left w:val="none" w:sz="0" w:space="0" w:color="auto"/>
                        <w:bottom w:val="none" w:sz="0" w:space="0" w:color="auto"/>
                        <w:right w:val="none" w:sz="0" w:space="0" w:color="auto"/>
                      </w:divBdr>
                    </w:div>
                  </w:divsChild>
                </w:div>
                <w:div w:id="2038654806">
                  <w:marLeft w:val="0"/>
                  <w:marRight w:val="0"/>
                  <w:marTop w:val="0"/>
                  <w:marBottom w:val="0"/>
                  <w:divBdr>
                    <w:top w:val="none" w:sz="0" w:space="0" w:color="auto"/>
                    <w:left w:val="none" w:sz="0" w:space="0" w:color="auto"/>
                    <w:bottom w:val="none" w:sz="0" w:space="0" w:color="auto"/>
                    <w:right w:val="none" w:sz="0" w:space="0" w:color="auto"/>
                  </w:divBdr>
                  <w:divsChild>
                    <w:div w:id="78141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8253498">
          <w:marLeft w:val="0"/>
          <w:marRight w:val="0"/>
          <w:marTop w:val="0"/>
          <w:marBottom w:val="0"/>
          <w:divBdr>
            <w:top w:val="none" w:sz="0" w:space="0" w:color="auto"/>
            <w:left w:val="none" w:sz="0" w:space="0" w:color="auto"/>
            <w:bottom w:val="none" w:sz="0" w:space="0" w:color="auto"/>
            <w:right w:val="none" w:sz="0" w:space="0" w:color="auto"/>
          </w:divBdr>
        </w:div>
        <w:div w:id="1636646016">
          <w:marLeft w:val="0"/>
          <w:marRight w:val="0"/>
          <w:marTop w:val="0"/>
          <w:marBottom w:val="0"/>
          <w:divBdr>
            <w:top w:val="none" w:sz="0" w:space="0" w:color="auto"/>
            <w:left w:val="none" w:sz="0" w:space="0" w:color="auto"/>
            <w:bottom w:val="none" w:sz="0" w:space="0" w:color="auto"/>
            <w:right w:val="none" w:sz="0" w:space="0" w:color="auto"/>
          </w:divBdr>
        </w:div>
        <w:div w:id="1782645098">
          <w:marLeft w:val="0"/>
          <w:marRight w:val="0"/>
          <w:marTop w:val="0"/>
          <w:marBottom w:val="0"/>
          <w:divBdr>
            <w:top w:val="none" w:sz="0" w:space="0" w:color="auto"/>
            <w:left w:val="none" w:sz="0" w:space="0" w:color="auto"/>
            <w:bottom w:val="none" w:sz="0" w:space="0" w:color="auto"/>
            <w:right w:val="none" w:sz="0" w:space="0" w:color="auto"/>
          </w:divBdr>
          <w:divsChild>
            <w:div w:id="135994359">
              <w:marLeft w:val="0"/>
              <w:marRight w:val="0"/>
              <w:marTop w:val="0"/>
              <w:marBottom w:val="0"/>
              <w:divBdr>
                <w:top w:val="none" w:sz="0" w:space="0" w:color="auto"/>
                <w:left w:val="none" w:sz="0" w:space="0" w:color="auto"/>
                <w:bottom w:val="none" w:sz="0" w:space="0" w:color="auto"/>
                <w:right w:val="none" w:sz="0" w:space="0" w:color="auto"/>
              </w:divBdr>
            </w:div>
            <w:div w:id="226036183">
              <w:marLeft w:val="0"/>
              <w:marRight w:val="0"/>
              <w:marTop w:val="0"/>
              <w:marBottom w:val="0"/>
              <w:divBdr>
                <w:top w:val="none" w:sz="0" w:space="0" w:color="auto"/>
                <w:left w:val="none" w:sz="0" w:space="0" w:color="auto"/>
                <w:bottom w:val="none" w:sz="0" w:space="0" w:color="auto"/>
                <w:right w:val="none" w:sz="0" w:space="0" w:color="auto"/>
              </w:divBdr>
            </w:div>
            <w:div w:id="257713680">
              <w:marLeft w:val="0"/>
              <w:marRight w:val="0"/>
              <w:marTop w:val="0"/>
              <w:marBottom w:val="0"/>
              <w:divBdr>
                <w:top w:val="none" w:sz="0" w:space="0" w:color="auto"/>
                <w:left w:val="none" w:sz="0" w:space="0" w:color="auto"/>
                <w:bottom w:val="none" w:sz="0" w:space="0" w:color="auto"/>
                <w:right w:val="none" w:sz="0" w:space="0" w:color="auto"/>
              </w:divBdr>
            </w:div>
            <w:div w:id="310410991">
              <w:marLeft w:val="0"/>
              <w:marRight w:val="0"/>
              <w:marTop w:val="0"/>
              <w:marBottom w:val="0"/>
              <w:divBdr>
                <w:top w:val="none" w:sz="0" w:space="0" w:color="auto"/>
                <w:left w:val="none" w:sz="0" w:space="0" w:color="auto"/>
                <w:bottom w:val="none" w:sz="0" w:space="0" w:color="auto"/>
                <w:right w:val="none" w:sz="0" w:space="0" w:color="auto"/>
              </w:divBdr>
            </w:div>
            <w:div w:id="746728606">
              <w:marLeft w:val="0"/>
              <w:marRight w:val="0"/>
              <w:marTop w:val="0"/>
              <w:marBottom w:val="0"/>
              <w:divBdr>
                <w:top w:val="none" w:sz="0" w:space="0" w:color="auto"/>
                <w:left w:val="none" w:sz="0" w:space="0" w:color="auto"/>
                <w:bottom w:val="none" w:sz="0" w:space="0" w:color="auto"/>
                <w:right w:val="none" w:sz="0" w:space="0" w:color="auto"/>
              </w:divBdr>
            </w:div>
            <w:div w:id="810098039">
              <w:marLeft w:val="0"/>
              <w:marRight w:val="0"/>
              <w:marTop w:val="0"/>
              <w:marBottom w:val="0"/>
              <w:divBdr>
                <w:top w:val="none" w:sz="0" w:space="0" w:color="auto"/>
                <w:left w:val="none" w:sz="0" w:space="0" w:color="auto"/>
                <w:bottom w:val="none" w:sz="0" w:space="0" w:color="auto"/>
                <w:right w:val="none" w:sz="0" w:space="0" w:color="auto"/>
              </w:divBdr>
            </w:div>
            <w:div w:id="835993954">
              <w:marLeft w:val="0"/>
              <w:marRight w:val="0"/>
              <w:marTop w:val="0"/>
              <w:marBottom w:val="0"/>
              <w:divBdr>
                <w:top w:val="none" w:sz="0" w:space="0" w:color="auto"/>
                <w:left w:val="none" w:sz="0" w:space="0" w:color="auto"/>
                <w:bottom w:val="none" w:sz="0" w:space="0" w:color="auto"/>
                <w:right w:val="none" w:sz="0" w:space="0" w:color="auto"/>
              </w:divBdr>
            </w:div>
            <w:div w:id="979068645">
              <w:marLeft w:val="0"/>
              <w:marRight w:val="0"/>
              <w:marTop w:val="0"/>
              <w:marBottom w:val="0"/>
              <w:divBdr>
                <w:top w:val="none" w:sz="0" w:space="0" w:color="auto"/>
                <w:left w:val="none" w:sz="0" w:space="0" w:color="auto"/>
                <w:bottom w:val="none" w:sz="0" w:space="0" w:color="auto"/>
                <w:right w:val="none" w:sz="0" w:space="0" w:color="auto"/>
              </w:divBdr>
            </w:div>
            <w:div w:id="983849892">
              <w:marLeft w:val="0"/>
              <w:marRight w:val="0"/>
              <w:marTop w:val="0"/>
              <w:marBottom w:val="0"/>
              <w:divBdr>
                <w:top w:val="none" w:sz="0" w:space="0" w:color="auto"/>
                <w:left w:val="none" w:sz="0" w:space="0" w:color="auto"/>
                <w:bottom w:val="none" w:sz="0" w:space="0" w:color="auto"/>
                <w:right w:val="none" w:sz="0" w:space="0" w:color="auto"/>
              </w:divBdr>
            </w:div>
            <w:div w:id="1139297358">
              <w:marLeft w:val="0"/>
              <w:marRight w:val="0"/>
              <w:marTop w:val="0"/>
              <w:marBottom w:val="0"/>
              <w:divBdr>
                <w:top w:val="none" w:sz="0" w:space="0" w:color="auto"/>
                <w:left w:val="none" w:sz="0" w:space="0" w:color="auto"/>
                <w:bottom w:val="none" w:sz="0" w:space="0" w:color="auto"/>
                <w:right w:val="none" w:sz="0" w:space="0" w:color="auto"/>
              </w:divBdr>
            </w:div>
            <w:div w:id="1184898079">
              <w:marLeft w:val="0"/>
              <w:marRight w:val="0"/>
              <w:marTop w:val="0"/>
              <w:marBottom w:val="0"/>
              <w:divBdr>
                <w:top w:val="none" w:sz="0" w:space="0" w:color="auto"/>
                <w:left w:val="none" w:sz="0" w:space="0" w:color="auto"/>
                <w:bottom w:val="none" w:sz="0" w:space="0" w:color="auto"/>
                <w:right w:val="none" w:sz="0" w:space="0" w:color="auto"/>
              </w:divBdr>
            </w:div>
            <w:div w:id="1189759867">
              <w:marLeft w:val="0"/>
              <w:marRight w:val="0"/>
              <w:marTop w:val="0"/>
              <w:marBottom w:val="0"/>
              <w:divBdr>
                <w:top w:val="none" w:sz="0" w:space="0" w:color="auto"/>
                <w:left w:val="none" w:sz="0" w:space="0" w:color="auto"/>
                <w:bottom w:val="none" w:sz="0" w:space="0" w:color="auto"/>
                <w:right w:val="none" w:sz="0" w:space="0" w:color="auto"/>
              </w:divBdr>
            </w:div>
            <w:div w:id="1229540580">
              <w:marLeft w:val="0"/>
              <w:marRight w:val="0"/>
              <w:marTop w:val="0"/>
              <w:marBottom w:val="0"/>
              <w:divBdr>
                <w:top w:val="none" w:sz="0" w:space="0" w:color="auto"/>
                <w:left w:val="none" w:sz="0" w:space="0" w:color="auto"/>
                <w:bottom w:val="none" w:sz="0" w:space="0" w:color="auto"/>
                <w:right w:val="none" w:sz="0" w:space="0" w:color="auto"/>
              </w:divBdr>
            </w:div>
            <w:div w:id="1310984620">
              <w:marLeft w:val="0"/>
              <w:marRight w:val="0"/>
              <w:marTop w:val="0"/>
              <w:marBottom w:val="0"/>
              <w:divBdr>
                <w:top w:val="none" w:sz="0" w:space="0" w:color="auto"/>
                <w:left w:val="none" w:sz="0" w:space="0" w:color="auto"/>
                <w:bottom w:val="none" w:sz="0" w:space="0" w:color="auto"/>
                <w:right w:val="none" w:sz="0" w:space="0" w:color="auto"/>
              </w:divBdr>
            </w:div>
            <w:div w:id="1489252466">
              <w:marLeft w:val="0"/>
              <w:marRight w:val="0"/>
              <w:marTop w:val="0"/>
              <w:marBottom w:val="0"/>
              <w:divBdr>
                <w:top w:val="none" w:sz="0" w:space="0" w:color="auto"/>
                <w:left w:val="none" w:sz="0" w:space="0" w:color="auto"/>
                <w:bottom w:val="none" w:sz="0" w:space="0" w:color="auto"/>
                <w:right w:val="none" w:sz="0" w:space="0" w:color="auto"/>
              </w:divBdr>
            </w:div>
            <w:div w:id="1603219308">
              <w:marLeft w:val="0"/>
              <w:marRight w:val="0"/>
              <w:marTop w:val="0"/>
              <w:marBottom w:val="0"/>
              <w:divBdr>
                <w:top w:val="none" w:sz="0" w:space="0" w:color="auto"/>
                <w:left w:val="none" w:sz="0" w:space="0" w:color="auto"/>
                <w:bottom w:val="none" w:sz="0" w:space="0" w:color="auto"/>
                <w:right w:val="none" w:sz="0" w:space="0" w:color="auto"/>
              </w:divBdr>
            </w:div>
            <w:div w:id="1749420555">
              <w:marLeft w:val="0"/>
              <w:marRight w:val="0"/>
              <w:marTop w:val="0"/>
              <w:marBottom w:val="0"/>
              <w:divBdr>
                <w:top w:val="none" w:sz="0" w:space="0" w:color="auto"/>
                <w:left w:val="none" w:sz="0" w:space="0" w:color="auto"/>
                <w:bottom w:val="none" w:sz="0" w:space="0" w:color="auto"/>
                <w:right w:val="none" w:sz="0" w:space="0" w:color="auto"/>
              </w:divBdr>
            </w:div>
            <w:div w:id="1819564987">
              <w:marLeft w:val="0"/>
              <w:marRight w:val="0"/>
              <w:marTop w:val="0"/>
              <w:marBottom w:val="0"/>
              <w:divBdr>
                <w:top w:val="none" w:sz="0" w:space="0" w:color="auto"/>
                <w:left w:val="none" w:sz="0" w:space="0" w:color="auto"/>
                <w:bottom w:val="none" w:sz="0" w:space="0" w:color="auto"/>
                <w:right w:val="none" w:sz="0" w:space="0" w:color="auto"/>
              </w:divBdr>
            </w:div>
            <w:div w:id="2067337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933628">
      <w:bodyDiv w:val="1"/>
      <w:marLeft w:val="0"/>
      <w:marRight w:val="0"/>
      <w:marTop w:val="0"/>
      <w:marBottom w:val="0"/>
      <w:divBdr>
        <w:top w:val="none" w:sz="0" w:space="0" w:color="auto"/>
        <w:left w:val="none" w:sz="0" w:space="0" w:color="auto"/>
        <w:bottom w:val="none" w:sz="0" w:space="0" w:color="auto"/>
        <w:right w:val="none" w:sz="0" w:space="0" w:color="auto"/>
      </w:divBdr>
      <w:divsChild>
        <w:div w:id="24184122">
          <w:marLeft w:val="0"/>
          <w:marRight w:val="0"/>
          <w:marTop w:val="0"/>
          <w:marBottom w:val="0"/>
          <w:divBdr>
            <w:top w:val="none" w:sz="0" w:space="0" w:color="auto"/>
            <w:left w:val="none" w:sz="0" w:space="0" w:color="auto"/>
            <w:bottom w:val="none" w:sz="0" w:space="0" w:color="auto"/>
            <w:right w:val="none" w:sz="0" w:space="0" w:color="auto"/>
          </w:divBdr>
          <w:divsChild>
            <w:div w:id="415785714">
              <w:marLeft w:val="0"/>
              <w:marRight w:val="0"/>
              <w:marTop w:val="0"/>
              <w:marBottom w:val="0"/>
              <w:divBdr>
                <w:top w:val="none" w:sz="0" w:space="0" w:color="auto"/>
                <w:left w:val="none" w:sz="0" w:space="0" w:color="auto"/>
                <w:bottom w:val="none" w:sz="0" w:space="0" w:color="auto"/>
                <w:right w:val="none" w:sz="0" w:space="0" w:color="auto"/>
              </w:divBdr>
            </w:div>
            <w:div w:id="897399045">
              <w:marLeft w:val="0"/>
              <w:marRight w:val="0"/>
              <w:marTop w:val="0"/>
              <w:marBottom w:val="0"/>
              <w:divBdr>
                <w:top w:val="none" w:sz="0" w:space="0" w:color="auto"/>
                <w:left w:val="none" w:sz="0" w:space="0" w:color="auto"/>
                <w:bottom w:val="none" w:sz="0" w:space="0" w:color="auto"/>
                <w:right w:val="none" w:sz="0" w:space="0" w:color="auto"/>
              </w:divBdr>
            </w:div>
          </w:divsChild>
        </w:div>
        <w:div w:id="76218756">
          <w:marLeft w:val="0"/>
          <w:marRight w:val="0"/>
          <w:marTop w:val="0"/>
          <w:marBottom w:val="0"/>
          <w:divBdr>
            <w:top w:val="none" w:sz="0" w:space="0" w:color="auto"/>
            <w:left w:val="none" w:sz="0" w:space="0" w:color="auto"/>
            <w:bottom w:val="none" w:sz="0" w:space="0" w:color="auto"/>
            <w:right w:val="none" w:sz="0" w:space="0" w:color="auto"/>
          </w:divBdr>
          <w:divsChild>
            <w:div w:id="1589117875">
              <w:marLeft w:val="0"/>
              <w:marRight w:val="0"/>
              <w:marTop w:val="0"/>
              <w:marBottom w:val="0"/>
              <w:divBdr>
                <w:top w:val="none" w:sz="0" w:space="0" w:color="auto"/>
                <w:left w:val="none" w:sz="0" w:space="0" w:color="auto"/>
                <w:bottom w:val="none" w:sz="0" w:space="0" w:color="auto"/>
                <w:right w:val="none" w:sz="0" w:space="0" w:color="auto"/>
              </w:divBdr>
            </w:div>
          </w:divsChild>
        </w:div>
        <w:div w:id="77338010">
          <w:marLeft w:val="0"/>
          <w:marRight w:val="0"/>
          <w:marTop w:val="0"/>
          <w:marBottom w:val="0"/>
          <w:divBdr>
            <w:top w:val="none" w:sz="0" w:space="0" w:color="auto"/>
            <w:left w:val="none" w:sz="0" w:space="0" w:color="auto"/>
            <w:bottom w:val="none" w:sz="0" w:space="0" w:color="auto"/>
            <w:right w:val="none" w:sz="0" w:space="0" w:color="auto"/>
          </w:divBdr>
          <w:divsChild>
            <w:div w:id="1934825213">
              <w:marLeft w:val="0"/>
              <w:marRight w:val="0"/>
              <w:marTop w:val="0"/>
              <w:marBottom w:val="0"/>
              <w:divBdr>
                <w:top w:val="none" w:sz="0" w:space="0" w:color="auto"/>
                <w:left w:val="none" w:sz="0" w:space="0" w:color="auto"/>
                <w:bottom w:val="none" w:sz="0" w:space="0" w:color="auto"/>
                <w:right w:val="none" w:sz="0" w:space="0" w:color="auto"/>
              </w:divBdr>
            </w:div>
          </w:divsChild>
        </w:div>
        <w:div w:id="135682157">
          <w:marLeft w:val="0"/>
          <w:marRight w:val="0"/>
          <w:marTop w:val="0"/>
          <w:marBottom w:val="0"/>
          <w:divBdr>
            <w:top w:val="none" w:sz="0" w:space="0" w:color="auto"/>
            <w:left w:val="none" w:sz="0" w:space="0" w:color="auto"/>
            <w:bottom w:val="none" w:sz="0" w:space="0" w:color="auto"/>
            <w:right w:val="none" w:sz="0" w:space="0" w:color="auto"/>
          </w:divBdr>
          <w:divsChild>
            <w:div w:id="594441181">
              <w:marLeft w:val="0"/>
              <w:marRight w:val="0"/>
              <w:marTop w:val="0"/>
              <w:marBottom w:val="0"/>
              <w:divBdr>
                <w:top w:val="none" w:sz="0" w:space="0" w:color="auto"/>
                <w:left w:val="none" w:sz="0" w:space="0" w:color="auto"/>
                <w:bottom w:val="none" w:sz="0" w:space="0" w:color="auto"/>
                <w:right w:val="none" w:sz="0" w:space="0" w:color="auto"/>
              </w:divBdr>
            </w:div>
          </w:divsChild>
        </w:div>
        <w:div w:id="166018077">
          <w:marLeft w:val="0"/>
          <w:marRight w:val="0"/>
          <w:marTop w:val="0"/>
          <w:marBottom w:val="0"/>
          <w:divBdr>
            <w:top w:val="none" w:sz="0" w:space="0" w:color="auto"/>
            <w:left w:val="none" w:sz="0" w:space="0" w:color="auto"/>
            <w:bottom w:val="none" w:sz="0" w:space="0" w:color="auto"/>
            <w:right w:val="none" w:sz="0" w:space="0" w:color="auto"/>
          </w:divBdr>
          <w:divsChild>
            <w:div w:id="1990592479">
              <w:marLeft w:val="0"/>
              <w:marRight w:val="0"/>
              <w:marTop w:val="0"/>
              <w:marBottom w:val="0"/>
              <w:divBdr>
                <w:top w:val="none" w:sz="0" w:space="0" w:color="auto"/>
                <w:left w:val="none" w:sz="0" w:space="0" w:color="auto"/>
                <w:bottom w:val="none" w:sz="0" w:space="0" w:color="auto"/>
                <w:right w:val="none" w:sz="0" w:space="0" w:color="auto"/>
              </w:divBdr>
            </w:div>
          </w:divsChild>
        </w:div>
        <w:div w:id="171186267">
          <w:marLeft w:val="0"/>
          <w:marRight w:val="0"/>
          <w:marTop w:val="0"/>
          <w:marBottom w:val="0"/>
          <w:divBdr>
            <w:top w:val="none" w:sz="0" w:space="0" w:color="auto"/>
            <w:left w:val="none" w:sz="0" w:space="0" w:color="auto"/>
            <w:bottom w:val="none" w:sz="0" w:space="0" w:color="auto"/>
            <w:right w:val="none" w:sz="0" w:space="0" w:color="auto"/>
          </w:divBdr>
          <w:divsChild>
            <w:div w:id="869999668">
              <w:marLeft w:val="0"/>
              <w:marRight w:val="0"/>
              <w:marTop w:val="0"/>
              <w:marBottom w:val="0"/>
              <w:divBdr>
                <w:top w:val="none" w:sz="0" w:space="0" w:color="auto"/>
                <w:left w:val="none" w:sz="0" w:space="0" w:color="auto"/>
                <w:bottom w:val="none" w:sz="0" w:space="0" w:color="auto"/>
                <w:right w:val="none" w:sz="0" w:space="0" w:color="auto"/>
              </w:divBdr>
            </w:div>
            <w:div w:id="1822772626">
              <w:marLeft w:val="0"/>
              <w:marRight w:val="0"/>
              <w:marTop w:val="0"/>
              <w:marBottom w:val="0"/>
              <w:divBdr>
                <w:top w:val="none" w:sz="0" w:space="0" w:color="auto"/>
                <w:left w:val="none" w:sz="0" w:space="0" w:color="auto"/>
                <w:bottom w:val="none" w:sz="0" w:space="0" w:color="auto"/>
                <w:right w:val="none" w:sz="0" w:space="0" w:color="auto"/>
              </w:divBdr>
            </w:div>
          </w:divsChild>
        </w:div>
        <w:div w:id="212623146">
          <w:marLeft w:val="0"/>
          <w:marRight w:val="0"/>
          <w:marTop w:val="0"/>
          <w:marBottom w:val="0"/>
          <w:divBdr>
            <w:top w:val="none" w:sz="0" w:space="0" w:color="auto"/>
            <w:left w:val="none" w:sz="0" w:space="0" w:color="auto"/>
            <w:bottom w:val="none" w:sz="0" w:space="0" w:color="auto"/>
            <w:right w:val="none" w:sz="0" w:space="0" w:color="auto"/>
          </w:divBdr>
          <w:divsChild>
            <w:div w:id="969748980">
              <w:marLeft w:val="0"/>
              <w:marRight w:val="0"/>
              <w:marTop w:val="0"/>
              <w:marBottom w:val="0"/>
              <w:divBdr>
                <w:top w:val="none" w:sz="0" w:space="0" w:color="auto"/>
                <w:left w:val="none" w:sz="0" w:space="0" w:color="auto"/>
                <w:bottom w:val="none" w:sz="0" w:space="0" w:color="auto"/>
                <w:right w:val="none" w:sz="0" w:space="0" w:color="auto"/>
              </w:divBdr>
            </w:div>
            <w:div w:id="1564214551">
              <w:marLeft w:val="0"/>
              <w:marRight w:val="0"/>
              <w:marTop w:val="0"/>
              <w:marBottom w:val="0"/>
              <w:divBdr>
                <w:top w:val="none" w:sz="0" w:space="0" w:color="auto"/>
                <w:left w:val="none" w:sz="0" w:space="0" w:color="auto"/>
                <w:bottom w:val="none" w:sz="0" w:space="0" w:color="auto"/>
                <w:right w:val="none" w:sz="0" w:space="0" w:color="auto"/>
              </w:divBdr>
            </w:div>
            <w:div w:id="1655449973">
              <w:marLeft w:val="0"/>
              <w:marRight w:val="0"/>
              <w:marTop w:val="0"/>
              <w:marBottom w:val="0"/>
              <w:divBdr>
                <w:top w:val="none" w:sz="0" w:space="0" w:color="auto"/>
                <w:left w:val="none" w:sz="0" w:space="0" w:color="auto"/>
                <w:bottom w:val="none" w:sz="0" w:space="0" w:color="auto"/>
                <w:right w:val="none" w:sz="0" w:space="0" w:color="auto"/>
              </w:divBdr>
            </w:div>
          </w:divsChild>
        </w:div>
        <w:div w:id="244648350">
          <w:marLeft w:val="0"/>
          <w:marRight w:val="0"/>
          <w:marTop w:val="0"/>
          <w:marBottom w:val="0"/>
          <w:divBdr>
            <w:top w:val="none" w:sz="0" w:space="0" w:color="auto"/>
            <w:left w:val="none" w:sz="0" w:space="0" w:color="auto"/>
            <w:bottom w:val="none" w:sz="0" w:space="0" w:color="auto"/>
            <w:right w:val="none" w:sz="0" w:space="0" w:color="auto"/>
          </w:divBdr>
          <w:divsChild>
            <w:div w:id="532888440">
              <w:marLeft w:val="0"/>
              <w:marRight w:val="0"/>
              <w:marTop w:val="0"/>
              <w:marBottom w:val="0"/>
              <w:divBdr>
                <w:top w:val="none" w:sz="0" w:space="0" w:color="auto"/>
                <w:left w:val="none" w:sz="0" w:space="0" w:color="auto"/>
                <w:bottom w:val="none" w:sz="0" w:space="0" w:color="auto"/>
                <w:right w:val="none" w:sz="0" w:space="0" w:color="auto"/>
              </w:divBdr>
            </w:div>
          </w:divsChild>
        </w:div>
        <w:div w:id="285699194">
          <w:marLeft w:val="0"/>
          <w:marRight w:val="0"/>
          <w:marTop w:val="0"/>
          <w:marBottom w:val="0"/>
          <w:divBdr>
            <w:top w:val="none" w:sz="0" w:space="0" w:color="auto"/>
            <w:left w:val="none" w:sz="0" w:space="0" w:color="auto"/>
            <w:bottom w:val="none" w:sz="0" w:space="0" w:color="auto"/>
            <w:right w:val="none" w:sz="0" w:space="0" w:color="auto"/>
          </w:divBdr>
          <w:divsChild>
            <w:div w:id="479468623">
              <w:marLeft w:val="0"/>
              <w:marRight w:val="0"/>
              <w:marTop w:val="0"/>
              <w:marBottom w:val="0"/>
              <w:divBdr>
                <w:top w:val="none" w:sz="0" w:space="0" w:color="auto"/>
                <w:left w:val="none" w:sz="0" w:space="0" w:color="auto"/>
                <w:bottom w:val="none" w:sz="0" w:space="0" w:color="auto"/>
                <w:right w:val="none" w:sz="0" w:space="0" w:color="auto"/>
              </w:divBdr>
            </w:div>
          </w:divsChild>
        </w:div>
        <w:div w:id="314182341">
          <w:marLeft w:val="0"/>
          <w:marRight w:val="0"/>
          <w:marTop w:val="0"/>
          <w:marBottom w:val="0"/>
          <w:divBdr>
            <w:top w:val="none" w:sz="0" w:space="0" w:color="auto"/>
            <w:left w:val="none" w:sz="0" w:space="0" w:color="auto"/>
            <w:bottom w:val="none" w:sz="0" w:space="0" w:color="auto"/>
            <w:right w:val="none" w:sz="0" w:space="0" w:color="auto"/>
          </w:divBdr>
          <w:divsChild>
            <w:div w:id="103307494">
              <w:marLeft w:val="0"/>
              <w:marRight w:val="0"/>
              <w:marTop w:val="0"/>
              <w:marBottom w:val="0"/>
              <w:divBdr>
                <w:top w:val="none" w:sz="0" w:space="0" w:color="auto"/>
                <w:left w:val="none" w:sz="0" w:space="0" w:color="auto"/>
                <w:bottom w:val="none" w:sz="0" w:space="0" w:color="auto"/>
                <w:right w:val="none" w:sz="0" w:space="0" w:color="auto"/>
              </w:divBdr>
            </w:div>
            <w:div w:id="132796638">
              <w:marLeft w:val="0"/>
              <w:marRight w:val="0"/>
              <w:marTop w:val="0"/>
              <w:marBottom w:val="0"/>
              <w:divBdr>
                <w:top w:val="none" w:sz="0" w:space="0" w:color="auto"/>
                <w:left w:val="none" w:sz="0" w:space="0" w:color="auto"/>
                <w:bottom w:val="none" w:sz="0" w:space="0" w:color="auto"/>
                <w:right w:val="none" w:sz="0" w:space="0" w:color="auto"/>
              </w:divBdr>
            </w:div>
            <w:div w:id="268007436">
              <w:marLeft w:val="0"/>
              <w:marRight w:val="0"/>
              <w:marTop w:val="0"/>
              <w:marBottom w:val="0"/>
              <w:divBdr>
                <w:top w:val="none" w:sz="0" w:space="0" w:color="auto"/>
                <w:left w:val="none" w:sz="0" w:space="0" w:color="auto"/>
                <w:bottom w:val="none" w:sz="0" w:space="0" w:color="auto"/>
                <w:right w:val="none" w:sz="0" w:space="0" w:color="auto"/>
              </w:divBdr>
            </w:div>
          </w:divsChild>
        </w:div>
        <w:div w:id="344021414">
          <w:marLeft w:val="0"/>
          <w:marRight w:val="0"/>
          <w:marTop w:val="0"/>
          <w:marBottom w:val="0"/>
          <w:divBdr>
            <w:top w:val="none" w:sz="0" w:space="0" w:color="auto"/>
            <w:left w:val="none" w:sz="0" w:space="0" w:color="auto"/>
            <w:bottom w:val="none" w:sz="0" w:space="0" w:color="auto"/>
            <w:right w:val="none" w:sz="0" w:space="0" w:color="auto"/>
          </w:divBdr>
          <w:divsChild>
            <w:div w:id="513498711">
              <w:marLeft w:val="0"/>
              <w:marRight w:val="0"/>
              <w:marTop w:val="0"/>
              <w:marBottom w:val="0"/>
              <w:divBdr>
                <w:top w:val="none" w:sz="0" w:space="0" w:color="auto"/>
                <w:left w:val="none" w:sz="0" w:space="0" w:color="auto"/>
                <w:bottom w:val="none" w:sz="0" w:space="0" w:color="auto"/>
                <w:right w:val="none" w:sz="0" w:space="0" w:color="auto"/>
              </w:divBdr>
            </w:div>
            <w:div w:id="1226601607">
              <w:marLeft w:val="0"/>
              <w:marRight w:val="0"/>
              <w:marTop w:val="0"/>
              <w:marBottom w:val="0"/>
              <w:divBdr>
                <w:top w:val="none" w:sz="0" w:space="0" w:color="auto"/>
                <w:left w:val="none" w:sz="0" w:space="0" w:color="auto"/>
                <w:bottom w:val="none" w:sz="0" w:space="0" w:color="auto"/>
                <w:right w:val="none" w:sz="0" w:space="0" w:color="auto"/>
              </w:divBdr>
            </w:div>
          </w:divsChild>
        </w:div>
        <w:div w:id="365179388">
          <w:marLeft w:val="0"/>
          <w:marRight w:val="0"/>
          <w:marTop w:val="0"/>
          <w:marBottom w:val="0"/>
          <w:divBdr>
            <w:top w:val="none" w:sz="0" w:space="0" w:color="auto"/>
            <w:left w:val="none" w:sz="0" w:space="0" w:color="auto"/>
            <w:bottom w:val="none" w:sz="0" w:space="0" w:color="auto"/>
            <w:right w:val="none" w:sz="0" w:space="0" w:color="auto"/>
          </w:divBdr>
          <w:divsChild>
            <w:div w:id="47727094">
              <w:marLeft w:val="0"/>
              <w:marRight w:val="0"/>
              <w:marTop w:val="0"/>
              <w:marBottom w:val="0"/>
              <w:divBdr>
                <w:top w:val="none" w:sz="0" w:space="0" w:color="auto"/>
                <w:left w:val="none" w:sz="0" w:space="0" w:color="auto"/>
                <w:bottom w:val="none" w:sz="0" w:space="0" w:color="auto"/>
                <w:right w:val="none" w:sz="0" w:space="0" w:color="auto"/>
              </w:divBdr>
            </w:div>
            <w:div w:id="70078853">
              <w:marLeft w:val="0"/>
              <w:marRight w:val="0"/>
              <w:marTop w:val="0"/>
              <w:marBottom w:val="0"/>
              <w:divBdr>
                <w:top w:val="none" w:sz="0" w:space="0" w:color="auto"/>
                <w:left w:val="none" w:sz="0" w:space="0" w:color="auto"/>
                <w:bottom w:val="none" w:sz="0" w:space="0" w:color="auto"/>
                <w:right w:val="none" w:sz="0" w:space="0" w:color="auto"/>
              </w:divBdr>
            </w:div>
            <w:div w:id="648903619">
              <w:marLeft w:val="0"/>
              <w:marRight w:val="0"/>
              <w:marTop w:val="0"/>
              <w:marBottom w:val="0"/>
              <w:divBdr>
                <w:top w:val="none" w:sz="0" w:space="0" w:color="auto"/>
                <w:left w:val="none" w:sz="0" w:space="0" w:color="auto"/>
                <w:bottom w:val="none" w:sz="0" w:space="0" w:color="auto"/>
                <w:right w:val="none" w:sz="0" w:space="0" w:color="auto"/>
              </w:divBdr>
            </w:div>
          </w:divsChild>
        </w:div>
        <w:div w:id="415790913">
          <w:marLeft w:val="0"/>
          <w:marRight w:val="0"/>
          <w:marTop w:val="0"/>
          <w:marBottom w:val="0"/>
          <w:divBdr>
            <w:top w:val="none" w:sz="0" w:space="0" w:color="auto"/>
            <w:left w:val="none" w:sz="0" w:space="0" w:color="auto"/>
            <w:bottom w:val="none" w:sz="0" w:space="0" w:color="auto"/>
            <w:right w:val="none" w:sz="0" w:space="0" w:color="auto"/>
          </w:divBdr>
          <w:divsChild>
            <w:div w:id="322467252">
              <w:marLeft w:val="0"/>
              <w:marRight w:val="0"/>
              <w:marTop w:val="0"/>
              <w:marBottom w:val="0"/>
              <w:divBdr>
                <w:top w:val="none" w:sz="0" w:space="0" w:color="auto"/>
                <w:left w:val="none" w:sz="0" w:space="0" w:color="auto"/>
                <w:bottom w:val="none" w:sz="0" w:space="0" w:color="auto"/>
                <w:right w:val="none" w:sz="0" w:space="0" w:color="auto"/>
              </w:divBdr>
            </w:div>
            <w:div w:id="859467474">
              <w:marLeft w:val="0"/>
              <w:marRight w:val="0"/>
              <w:marTop w:val="0"/>
              <w:marBottom w:val="0"/>
              <w:divBdr>
                <w:top w:val="none" w:sz="0" w:space="0" w:color="auto"/>
                <w:left w:val="none" w:sz="0" w:space="0" w:color="auto"/>
                <w:bottom w:val="none" w:sz="0" w:space="0" w:color="auto"/>
                <w:right w:val="none" w:sz="0" w:space="0" w:color="auto"/>
              </w:divBdr>
            </w:div>
          </w:divsChild>
        </w:div>
        <w:div w:id="473791386">
          <w:marLeft w:val="0"/>
          <w:marRight w:val="0"/>
          <w:marTop w:val="0"/>
          <w:marBottom w:val="0"/>
          <w:divBdr>
            <w:top w:val="none" w:sz="0" w:space="0" w:color="auto"/>
            <w:left w:val="none" w:sz="0" w:space="0" w:color="auto"/>
            <w:bottom w:val="none" w:sz="0" w:space="0" w:color="auto"/>
            <w:right w:val="none" w:sz="0" w:space="0" w:color="auto"/>
          </w:divBdr>
          <w:divsChild>
            <w:div w:id="949553965">
              <w:marLeft w:val="0"/>
              <w:marRight w:val="0"/>
              <w:marTop w:val="0"/>
              <w:marBottom w:val="0"/>
              <w:divBdr>
                <w:top w:val="none" w:sz="0" w:space="0" w:color="auto"/>
                <w:left w:val="none" w:sz="0" w:space="0" w:color="auto"/>
                <w:bottom w:val="none" w:sz="0" w:space="0" w:color="auto"/>
                <w:right w:val="none" w:sz="0" w:space="0" w:color="auto"/>
              </w:divBdr>
            </w:div>
            <w:div w:id="1006830433">
              <w:marLeft w:val="0"/>
              <w:marRight w:val="0"/>
              <w:marTop w:val="0"/>
              <w:marBottom w:val="0"/>
              <w:divBdr>
                <w:top w:val="none" w:sz="0" w:space="0" w:color="auto"/>
                <w:left w:val="none" w:sz="0" w:space="0" w:color="auto"/>
                <w:bottom w:val="none" w:sz="0" w:space="0" w:color="auto"/>
                <w:right w:val="none" w:sz="0" w:space="0" w:color="auto"/>
              </w:divBdr>
            </w:div>
          </w:divsChild>
        </w:div>
        <w:div w:id="556598646">
          <w:marLeft w:val="0"/>
          <w:marRight w:val="0"/>
          <w:marTop w:val="0"/>
          <w:marBottom w:val="0"/>
          <w:divBdr>
            <w:top w:val="none" w:sz="0" w:space="0" w:color="auto"/>
            <w:left w:val="none" w:sz="0" w:space="0" w:color="auto"/>
            <w:bottom w:val="none" w:sz="0" w:space="0" w:color="auto"/>
            <w:right w:val="none" w:sz="0" w:space="0" w:color="auto"/>
          </w:divBdr>
          <w:divsChild>
            <w:div w:id="855073693">
              <w:marLeft w:val="0"/>
              <w:marRight w:val="0"/>
              <w:marTop w:val="0"/>
              <w:marBottom w:val="0"/>
              <w:divBdr>
                <w:top w:val="none" w:sz="0" w:space="0" w:color="auto"/>
                <w:left w:val="none" w:sz="0" w:space="0" w:color="auto"/>
                <w:bottom w:val="none" w:sz="0" w:space="0" w:color="auto"/>
                <w:right w:val="none" w:sz="0" w:space="0" w:color="auto"/>
              </w:divBdr>
            </w:div>
          </w:divsChild>
        </w:div>
        <w:div w:id="637297230">
          <w:marLeft w:val="0"/>
          <w:marRight w:val="0"/>
          <w:marTop w:val="0"/>
          <w:marBottom w:val="0"/>
          <w:divBdr>
            <w:top w:val="none" w:sz="0" w:space="0" w:color="auto"/>
            <w:left w:val="none" w:sz="0" w:space="0" w:color="auto"/>
            <w:bottom w:val="none" w:sz="0" w:space="0" w:color="auto"/>
            <w:right w:val="none" w:sz="0" w:space="0" w:color="auto"/>
          </w:divBdr>
          <w:divsChild>
            <w:div w:id="1045179706">
              <w:marLeft w:val="0"/>
              <w:marRight w:val="0"/>
              <w:marTop w:val="0"/>
              <w:marBottom w:val="0"/>
              <w:divBdr>
                <w:top w:val="none" w:sz="0" w:space="0" w:color="auto"/>
                <w:left w:val="none" w:sz="0" w:space="0" w:color="auto"/>
                <w:bottom w:val="none" w:sz="0" w:space="0" w:color="auto"/>
                <w:right w:val="none" w:sz="0" w:space="0" w:color="auto"/>
              </w:divBdr>
            </w:div>
          </w:divsChild>
        </w:div>
        <w:div w:id="647369280">
          <w:marLeft w:val="0"/>
          <w:marRight w:val="0"/>
          <w:marTop w:val="0"/>
          <w:marBottom w:val="0"/>
          <w:divBdr>
            <w:top w:val="none" w:sz="0" w:space="0" w:color="auto"/>
            <w:left w:val="none" w:sz="0" w:space="0" w:color="auto"/>
            <w:bottom w:val="none" w:sz="0" w:space="0" w:color="auto"/>
            <w:right w:val="none" w:sz="0" w:space="0" w:color="auto"/>
          </w:divBdr>
          <w:divsChild>
            <w:div w:id="950816634">
              <w:marLeft w:val="0"/>
              <w:marRight w:val="0"/>
              <w:marTop w:val="0"/>
              <w:marBottom w:val="0"/>
              <w:divBdr>
                <w:top w:val="none" w:sz="0" w:space="0" w:color="auto"/>
                <w:left w:val="none" w:sz="0" w:space="0" w:color="auto"/>
                <w:bottom w:val="none" w:sz="0" w:space="0" w:color="auto"/>
                <w:right w:val="none" w:sz="0" w:space="0" w:color="auto"/>
              </w:divBdr>
            </w:div>
          </w:divsChild>
        </w:div>
        <w:div w:id="651832411">
          <w:marLeft w:val="0"/>
          <w:marRight w:val="0"/>
          <w:marTop w:val="0"/>
          <w:marBottom w:val="0"/>
          <w:divBdr>
            <w:top w:val="none" w:sz="0" w:space="0" w:color="auto"/>
            <w:left w:val="none" w:sz="0" w:space="0" w:color="auto"/>
            <w:bottom w:val="none" w:sz="0" w:space="0" w:color="auto"/>
            <w:right w:val="none" w:sz="0" w:space="0" w:color="auto"/>
          </w:divBdr>
          <w:divsChild>
            <w:div w:id="1764720453">
              <w:marLeft w:val="0"/>
              <w:marRight w:val="0"/>
              <w:marTop w:val="0"/>
              <w:marBottom w:val="0"/>
              <w:divBdr>
                <w:top w:val="none" w:sz="0" w:space="0" w:color="auto"/>
                <w:left w:val="none" w:sz="0" w:space="0" w:color="auto"/>
                <w:bottom w:val="none" w:sz="0" w:space="0" w:color="auto"/>
                <w:right w:val="none" w:sz="0" w:space="0" w:color="auto"/>
              </w:divBdr>
            </w:div>
          </w:divsChild>
        </w:div>
        <w:div w:id="705642647">
          <w:marLeft w:val="0"/>
          <w:marRight w:val="0"/>
          <w:marTop w:val="0"/>
          <w:marBottom w:val="0"/>
          <w:divBdr>
            <w:top w:val="none" w:sz="0" w:space="0" w:color="auto"/>
            <w:left w:val="none" w:sz="0" w:space="0" w:color="auto"/>
            <w:bottom w:val="none" w:sz="0" w:space="0" w:color="auto"/>
            <w:right w:val="none" w:sz="0" w:space="0" w:color="auto"/>
          </w:divBdr>
          <w:divsChild>
            <w:div w:id="660931352">
              <w:marLeft w:val="0"/>
              <w:marRight w:val="0"/>
              <w:marTop w:val="0"/>
              <w:marBottom w:val="0"/>
              <w:divBdr>
                <w:top w:val="none" w:sz="0" w:space="0" w:color="auto"/>
                <w:left w:val="none" w:sz="0" w:space="0" w:color="auto"/>
                <w:bottom w:val="none" w:sz="0" w:space="0" w:color="auto"/>
                <w:right w:val="none" w:sz="0" w:space="0" w:color="auto"/>
              </w:divBdr>
            </w:div>
            <w:div w:id="718364259">
              <w:marLeft w:val="0"/>
              <w:marRight w:val="0"/>
              <w:marTop w:val="0"/>
              <w:marBottom w:val="0"/>
              <w:divBdr>
                <w:top w:val="none" w:sz="0" w:space="0" w:color="auto"/>
                <w:left w:val="none" w:sz="0" w:space="0" w:color="auto"/>
                <w:bottom w:val="none" w:sz="0" w:space="0" w:color="auto"/>
                <w:right w:val="none" w:sz="0" w:space="0" w:color="auto"/>
              </w:divBdr>
            </w:div>
            <w:div w:id="1649552274">
              <w:marLeft w:val="0"/>
              <w:marRight w:val="0"/>
              <w:marTop w:val="0"/>
              <w:marBottom w:val="0"/>
              <w:divBdr>
                <w:top w:val="none" w:sz="0" w:space="0" w:color="auto"/>
                <w:left w:val="none" w:sz="0" w:space="0" w:color="auto"/>
                <w:bottom w:val="none" w:sz="0" w:space="0" w:color="auto"/>
                <w:right w:val="none" w:sz="0" w:space="0" w:color="auto"/>
              </w:divBdr>
            </w:div>
          </w:divsChild>
        </w:div>
        <w:div w:id="729618897">
          <w:marLeft w:val="0"/>
          <w:marRight w:val="0"/>
          <w:marTop w:val="0"/>
          <w:marBottom w:val="0"/>
          <w:divBdr>
            <w:top w:val="none" w:sz="0" w:space="0" w:color="auto"/>
            <w:left w:val="none" w:sz="0" w:space="0" w:color="auto"/>
            <w:bottom w:val="none" w:sz="0" w:space="0" w:color="auto"/>
            <w:right w:val="none" w:sz="0" w:space="0" w:color="auto"/>
          </w:divBdr>
          <w:divsChild>
            <w:div w:id="638613947">
              <w:marLeft w:val="0"/>
              <w:marRight w:val="0"/>
              <w:marTop w:val="0"/>
              <w:marBottom w:val="0"/>
              <w:divBdr>
                <w:top w:val="none" w:sz="0" w:space="0" w:color="auto"/>
                <w:left w:val="none" w:sz="0" w:space="0" w:color="auto"/>
                <w:bottom w:val="none" w:sz="0" w:space="0" w:color="auto"/>
                <w:right w:val="none" w:sz="0" w:space="0" w:color="auto"/>
              </w:divBdr>
            </w:div>
            <w:div w:id="857356910">
              <w:marLeft w:val="0"/>
              <w:marRight w:val="0"/>
              <w:marTop w:val="0"/>
              <w:marBottom w:val="0"/>
              <w:divBdr>
                <w:top w:val="none" w:sz="0" w:space="0" w:color="auto"/>
                <w:left w:val="none" w:sz="0" w:space="0" w:color="auto"/>
                <w:bottom w:val="none" w:sz="0" w:space="0" w:color="auto"/>
                <w:right w:val="none" w:sz="0" w:space="0" w:color="auto"/>
              </w:divBdr>
            </w:div>
          </w:divsChild>
        </w:div>
        <w:div w:id="747507454">
          <w:marLeft w:val="0"/>
          <w:marRight w:val="0"/>
          <w:marTop w:val="0"/>
          <w:marBottom w:val="0"/>
          <w:divBdr>
            <w:top w:val="none" w:sz="0" w:space="0" w:color="auto"/>
            <w:left w:val="none" w:sz="0" w:space="0" w:color="auto"/>
            <w:bottom w:val="none" w:sz="0" w:space="0" w:color="auto"/>
            <w:right w:val="none" w:sz="0" w:space="0" w:color="auto"/>
          </w:divBdr>
          <w:divsChild>
            <w:div w:id="425345170">
              <w:marLeft w:val="0"/>
              <w:marRight w:val="0"/>
              <w:marTop w:val="0"/>
              <w:marBottom w:val="0"/>
              <w:divBdr>
                <w:top w:val="none" w:sz="0" w:space="0" w:color="auto"/>
                <w:left w:val="none" w:sz="0" w:space="0" w:color="auto"/>
                <w:bottom w:val="none" w:sz="0" w:space="0" w:color="auto"/>
                <w:right w:val="none" w:sz="0" w:space="0" w:color="auto"/>
              </w:divBdr>
            </w:div>
          </w:divsChild>
        </w:div>
        <w:div w:id="807361371">
          <w:marLeft w:val="0"/>
          <w:marRight w:val="0"/>
          <w:marTop w:val="0"/>
          <w:marBottom w:val="0"/>
          <w:divBdr>
            <w:top w:val="none" w:sz="0" w:space="0" w:color="auto"/>
            <w:left w:val="none" w:sz="0" w:space="0" w:color="auto"/>
            <w:bottom w:val="none" w:sz="0" w:space="0" w:color="auto"/>
            <w:right w:val="none" w:sz="0" w:space="0" w:color="auto"/>
          </w:divBdr>
          <w:divsChild>
            <w:div w:id="583874892">
              <w:marLeft w:val="0"/>
              <w:marRight w:val="0"/>
              <w:marTop w:val="0"/>
              <w:marBottom w:val="0"/>
              <w:divBdr>
                <w:top w:val="none" w:sz="0" w:space="0" w:color="auto"/>
                <w:left w:val="none" w:sz="0" w:space="0" w:color="auto"/>
                <w:bottom w:val="none" w:sz="0" w:space="0" w:color="auto"/>
                <w:right w:val="none" w:sz="0" w:space="0" w:color="auto"/>
              </w:divBdr>
            </w:div>
            <w:div w:id="2015064713">
              <w:marLeft w:val="0"/>
              <w:marRight w:val="0"/>
              <w:marTop w:val="0"/>
              <w:marBottom w:val="0"/>
              <w:divBdr>
                <w:top w:val="none" w:sz="0" w:space="0" w:color="auto"/>
                <w:left w:val="none" w:sz="0" w:space="0" w:color="auto"/>
                <w:bottom w:val="none" w:sz="0" w:space="0" w:color="auto"/>
                <w:right w:val="none" w:sz="0" w:space="0" w:color="auto"/>
              </w:divBdr>
            </w:div>
          </w:divsChild>
        </w:div>
        <w:div w:id="851840138">
          <w:marLeft w:val="0"/>
          <w:marRight w:val="0"/>
          <w:marTop w:val="0"/>
          <w:marBottom w:val="0"/>
          <w:divBdr>
            <w:top w:val="none" w:sz="0" w:space="0" w:color="auto"/>
            <w:left w:val="none" w:sz="0" w:space="0" w:color="auto"/>
            <w:bottom w:val="none" w:sz="0" w:space="0" w:color="auto"/>
            <w:right w:val="none" w:sz="0" w:space="0" w:color="auto"/>
          </w:divBdr>
          <w:divsChild>
            <w:div w:id="817694815">
              <w:marLeft w:val="0"/>
              <w:marRight w:val="0"/>
              <w:marTop w:val="0"/>
              <w:marBottom w:val="0"/>
              <w:divBdr>
                <w:top w:val="none" w:sz="0" w:space="0" w:color="auto"/>
                <w:left w:val="none" w:sz="0" w:space="0" w:color="auto"/>
                <w:bottom w:val="none" w:sz="0" w:space="0" w:color="auto"/>
                <w:right w:val="none" w:sz="0" w:space="0" w:color="auto"/>
              </w:divBdr>
            </w:div>
          </w:divsChild>
        </w:div>
        <w:div w:id="883785326">
          <w:marLeft w:val="0"/>
          <w:marRight w:val="0"/>
          <w:marTop w:val="0"/>
          <w:marBottom w:val="0"/>
          <w:divBdr>
            <w:top w:val="none" w:sz="0" w:space="0" w:color="auto"/>
            <w:left w:val="none" w:sz="0" w:space="0" w:color="auto"/>
            <w:bottom w:val="none" w:sz="0" w:space="0" w:color="auto"/>
            <w:right w:val="none" w:sz="0" w:space="0" w:color="auto"/>
          </w:divBdr>
          <w:divsChild>
            <w:div w:id="2061515314">
              <w:marLeft w:val="0"/>
              <w:marRight w:val="0"/>
              <w:marTop w:val="0"/>
              <w:marBottom w:val="0"/>
              <w:divBdr>
                <w:top w:val="none" w:sz="0" w:space="0" w:color="auto"/>
                <w:left w:val="none" w:sz="0" w:space="0" w:color="auto"/>
                <w:bottom w:val="none" w:sz="0" w:space="0" w:color="auto"/>
                <w:right w:val="none" w:sz="0" w:space="0" w:color="auto"/>
              </w:divBdr>
            </w:div>
          </w:divsChild>
        </w:div>
        <w:div w:id="889224502">
          <w:marLeft w:val="0"/>
          <w:marRight w:val="0"/>
          <w:marTop w:val="0"/>
          <w:marBottom w:val="0"/>
          <w:divBdr>
            <w:top w:val="none" w:sz="0" w:space="0" w:color="auto"/>
            <w:left w:val="none" w:sz="0" w:space="0" w:color="auto"/>
            <w:bottom w:val="none" w:sz="0" w:space="0" w:color="auto"/>
            <w:right w:val="none" w:sz="0" w:space="0" w:color="auto"/>
          </w:divBdr>
          <w:divsChild>
            <w:div w:id="1276018531">
              <w:marLeft w:val="0"/>
              <w:marRight w:val="0"/>
              <w:marTop w:val="0"/>
              <w:marBottom w:val="0"/>
              <w:divBdr>
                <w:top w:val="none" w:sz="0" w:space="0" w:color="auto"/>
                <w:left w:val="none" w:sz="0" w:space="0" w:color="auto"/>
                <w:bottom w:val="none" w:sz="0" w:space="0" w:color="auto"/>
                <w:right w:val="none" w:sz="0" w:space="0" w:color="auto"/>
              </w:divBdr>
            </w:div>
          </w:divsChild>
        </w:div>
        <w:div w:id="907225219">
          <w:marLeft w:val="0"/>
          <w:marRight w:val="0"/>
          <w:marTop w:val="0"/>
          <w:marBottom w:val="0"/>
          <w:divBdr>
            <w:top w:val="none" w:sz="0" w:space="0" w:color="auto"/>
            <w:left w:val="none" w:sz="0" w:space="0" w:color="auto"/>
            <w:bottom w:val="none" w:sz="0" w:space="0" w:color="auto"/>
            <w:right w:val="none" w:sz="0" w:space="0" w:color="auto"/>
          </w:divBdr>
          <w:divsChild>
            <w:div w:id="758216634">
              <w:marLeft w:val="0"/>
              <w:marRight w:val="0"/>
              <w:marTop w:val="0"/>
              <w:marBottom w:val="0"/>
              <w:divBdr>
                <w:top w:val="none" w:sz="0" w:space="0" w:color="auto"/>
                <w:left w:val="none" w:sz="0" w:space="0" w:color="auto"/>
                <w:bottom w:val="none" w:sz="0" w:space="0" w:color="auto"/>
                <w:right w:val="none" w:sz="0" w:space="0" w:color="auto"/>
              </w:divBdr>
            </w:div>
            <w:div w:id="1697996411">
              <w:marLeft w:val="0"/>
              <w:marRight w:val="0"/>
              <w:marTop w:val="0"/>
              <w:marBottom w:val="0"/>
              <w:divBdr>
                <w:top w:val="none" w:sz="0" w:space="0" w:color="auto"/>
                <w:left w:val="none" w:sz="0" w:space="0" w:color="auto"/>
                <w:bottom w:val="none" w:sz="0" w:space="0" w:color="auto"/>
                <w:right w:val="none" w:sz="0" w:space="0" w:color="auto"/>
              </w:divBdr>
            </w:div>
          </w:divsChild>
        </w:div>
        <w:div w:id="916279779">
          <w:marLeft w:val="0"/>
          <w:marRight w:val="0"/>
          <w:marTop w:val="0"/>
          <w:marBottom w:val="0"/>
          <w:divBdr>
            <w:top w:val="none" w:sz="0" w:space="0" w:color="auto"/>
            <w:left w:val="none" w:sz="0" w:space="0" w:color="auto"/>
            <w:bottom w:val="none" w:sz="0" w:space="0" w:color="auto"/>
            <w:right w:val="none" w:sz="0" w:space="0" w:color="auto"/>
          </w:divBdr>
          <w:divsChild>
            <w:div w:id="1031999701">
              <w:marLeft w:val="0"/>
              <w:marRight w:val="0"/>
              <w:marTop w:val="0"/>
              <w:marBottom w:val="0"/>
              <w:divBdr>
                <w:top w:val="none" w:sz="0" w:space="0" w:color="auto"/>
                <w:left w:val="none" w:sz="0" w:space="0" w:color="auto"/>
                <w:bottom w:val="none" w:sz="0" w:space="0" w:color="auto"/>
                <w:right w:val="none" w:sz="0" w:space="0" w:color="auto"/>
              </w:divBdr>
            </w:div>
          </w:divsChild>
        </w:div>
        <w:div w:id="931624653">
          <w:marLeft w:val="0"/>
          <w:marRight w:val="0"/>
          <w:marTop w:val="0"/>
          <w:marBottom w:val="0"/>
          <w:divBdr>
            <w:top w:val="none" w:sz="0" w:space="0" w:color="auto"/>
            <w:left w:val="none" w:sz="0" w:space="0" w:color="auto"/>
            <w:bottom w:val="none" w:sz="0" w:space="0" w:color="auto"/>
            <w:right w:val="none" w:sz="0" w:space="0" w:color="auto"/>
          </w:divBdr>
          <w:divsChild>
            <w:div w:id="77988458">
              <w:marLeft w:val="0"/>
              <w:marRight w:val="0"/>
              <w:marTop w:val="0"/>
              <w:marBottom w:val="0"/>
              <w:divBdr>
                <w:top w:val="none" w:sz="0" w:space="0" w:color="auto"/>
                <w:left w:val="none" w:sz="0" w:space="0" w:color="auto"/>
                <w:bottom w:val="none" w:sz="0" w:space="0" w:color="auto"/>
                <w:right w:val="none" w:sz="0" w:space="0" w:color="auto"/>
              </w:divBdr>
            </w:div>
            <w:div w:id="736637258">
              <w:marLeft w:val="0"/>
              <w:marRight w:val="0"/>
              <w:marTop w:val="0"/>
              <w:marBottom w:val="0"/>
              <w:divBdr>
                <w:top w:val="none" w:sz="0" w:space="0" w:color="auto"/>
                <w:left w:val="none" w:sz="0" w:space="0" w:color="auto"/>
                <w:bottom w:val="none" w:sz="0" w:space="0" w:color="auto"/>
                <w:right w:val="none" w:sz="0" w:space="0" w:color="auto"/>
              </w:divBdr>
            </w:div>
            <w:div w:id="1697390105">
              <w:marLeft w:val="0"/>
              <w:marRight w:val="0"/>
              <w:marTop w:val="0"/>
              <w:marBottom w:val="0"/>
              <w:divBdr>
                <w:top w:val="none" w:sz="0" w:space="0" w:color="auto"/>
                <w:left w:val="none" w:sz="0" w:space="0" w:color="auto"/>
                <w:bottom w:val="none" w:sz="0" w:space="0" w:color="auto"/>
                <w:right w:val="none" w:sz="0" w:space="0" w:color="auto"/>
              </w:divBdr>
            </w:div>
          </w:divsChild>
        </w:div>
        <w:div w:id="959798673">
          <w:marLeft w:val="0"/>
          <w:marRight w:val="0"/>
          <w:marTop w:val="0"/>
          <w:marBottom w:val="0"/>
          <w:divBdr>
            <w:top w:val="none" w:sz="0" w:space="0" w:color="auto"/>
            <w:left w:val="none" w:sz="0" w:space="0" w:color="auto"/>
            <w:bottom w:val="none" w:sz="0" w:space="0" w:color="auto"/>
            <w:right w:val="none" w:sz="0" w:space="0" w:color="auto"/>
          </w:divBdr>
          <w:divsChild>
            <w:div w:id="635111686">
              <w:marLeft w:val="0"/>
              <w:marRight w:val="0"/>
              <w:marTop w:val="0"/>
              <w:marBottom w:val="0"/>
              <w:divBdr>
                <w:top w:val="none" w:sz="0" w:space="0" w:color="auto"/>
                <w:left w:val="none" w:sz="0" w:space="0" w:color="auto"/>
                <w:bottom w:val="none" w:sz="0" w:space="0" w:color="auto"/>
                <w:right w:val="none" w:sz="0" w:space="0" w:color="auto"/>
              </w:divBdr>
            </w:div>
          </w:divsChild>
        </w:div>
        <w:div w:id="1000473054">
          <w:marLeft w:val="0"/>
          <w:marRight w:val="0"/>
          <w:marTop w:val="0"/>
          <w:marBottom w:val="0"/>
          <w:divBdr>
            <w:top w:val="none" w:sz="0" w:space="0" w:color="auto"/>
            <w:left w:val="none" w:sz="0" w:space="0" w:color="auto"/>
            <w:bottom w:val="none" w:sz="0" w:space="0" w:color="auto"/>
            <w:right w:val="none" w:sz="0" w:space="0" w:color="auto"/>
          </w:divBdr>
          <w:divsChild>
            <w:div w:id="529224941">
              <w:marLeft w:val="0"/>
              <w:marRight w:val="0"/>
              <w:marTop w:val="0"/>
              <w:marBottom w:val="0"/>
              <w:divBdr>
                <w:top w:val="none" w:sz="0" w:space="0" w:color="auto"/>
                <w:left w:val="none" w:sz="0" w:space="0" w:color="auto"/>
                <w:bottom w:val="none" w:sz="0" w:space="0" w:color="auto"/>
                <w:right w:val="none" w:sz="0" w:space="0" w:color="auto"/>
              </w:divBdr>
            </w:div>
            <w:div w:id="1076129245">
              <w:marLeft w:val="0"/>
              <w:marRight w:val="0"/>
              <w:marTop w:val="0"/>
              <w:marBottom w:val="0"/>
              <w:divBdr>
                <w:top w:val="none" w:sz="0" w:space="0" w:color="auto"/>
                <w:left w:val="none" w:sz="0" w:space="0" w:color="auto"/>
                <w:bottom w:val="none" w:sz="0" w:space="0" w:color="auto"/>
                <w:right w:val="none" w:sz="0" w:space="0" w:color="auto"/>
              </w:divBdr>
            </w:div>
            <w:div w:id="1720324288">
              <w:marLeft w:val="0"/>
              <w:marRight w:val="0"/>
              <w:marTop w:val="0"/>
              <w:marBottom w:val="0"/>
              <w:divBdr>
                <w:top w:val="none" w:sz="0" w:space="0" w:color="auto"/>
                <w:left w:val="none" w:sz="0" w:space="0" w:color="auto"/>
                <w:bottom w:val="none" w:sz="0" w:space="0" w:color="auto"/>
                <w:right w:val="none" w:sz="0" w:space="0" w:color="auto"/>
              </w:divBdr>
            </w:div>
          </w:divsChild>
        </w:div>
        <w:div w:id="1040594514">
          <w:marLeft w:val="0"/>
          <w:marRight w:val="0"/>
          <w:marTop w:val="0"/>
          <w:marBottom w:val="0"/>
          <w:divBdr>
            <w:top w:val="none" w:sz="0" w:space="0" w:color="auto"/>
            <w:left w:val="none" w:sz="0" w:space="0" w:color="auto"/>
            <w:bottom w:val="none" w:sz="0" w:space="0" w:color="auto"/>
            <w:right w:val="none" w:sz="0" w:space="0" w:color="auto"/>
          </w:divBdr>
          <w:divsChild>
            <w:div w:id="2106609875">
              <w:marLeft w:val="0"/>
              <w:marRight w:val="0"/>
              <w:marTop w:val="0"/>
              <w:marBottom w:val="0"/>
              <w:divBdr>
                <w:top w:val="none" w:sz="0" w:space="0" w:color="auto"/>
                <w:left w:val="none" w:sz="0" w:space="0" w:color="auto"/>
                <w:bottom w:val="none" w:sz="0" w:space="0" w:color="auto"/>
                <w:right w:val="none" w:sz="0" w:space="0" w:color="auto"/>
              </w:divBdr>
            </w:div>
          </w:divsChild>
        </w:div>
        <w:div w:id="1051809377">
          <w:marLeft w:val="0"/>
          <w:marRight w:val="0"/>
          <w:marTop w:val="0"/>
          <w:marBottom w:val="0"/>
          <w:divBdr>
            <w:top w:val="none" w:sz="0" w:space="0" w:color="auto"/>
            <w:left w:val="none" w:sz="0" w:space="0" w:color="auto"/>
            <w:bottom w:val="none" w:sz="0" w:space="0" w:color="auto"/>
            <w:right w:val="none" w:sz="0" w:space="0" w:color="auto"/>
          </w:divBdr>
          <w:divsChild>
            <w:div w:id="2029912452">
              <w:marLeft w:val="0"/>
              <w:marRight w:val="0"/>
              <w:marTop w:val="0"/>
              <w:marBottom w:val="0"/>
              <w:divBdr>
                <w:top w:val="none" w:sz="0" w:space="0" w:color="auto"/>
                <w:left w:val="none" w:sz="0" w:space="0" w:color="auto"/>
                <w:bottom w:val="none" w:sz="0" w:space="0" w:color="auto"/>
                <w:right w:val="none" w:sz="0" w:space="0" w:color="auto"/>
              </w:divBdr>
            </w:div>
          </w:divsChild>
        </w:div>
        <w:div w:id="1134059261">
          <w:marLeft w:val="0"/>
          <w:marRight w:val="0"/>
          <w:marTop w:val="0"/>
          <w:marBottom w:val="0"/>
          <w:divBdr>
            <w:top w:val="none" w:sz="0" w:space="0" w:color="auto"/>
            <w:left w:val="none" w:sz="0" w:space="0" w:color="auto"/>
            <w:bottom w:val="none" w:sz="0" w:space="0" w:color="auto"/>
            <w:right w:val="none" w:sz="0" w:space="0" w:color="auto"/>
          </w:divBdr>
          <w:divsChild>
            <w:div w:id="495002017">
              <w:marLeft w:val="0"/>
              <w:marRight w:val="0"/>
              <w:marTop w:val="0"/>
              <w:marBottom w:val="0"/>
              <w:divBdr>
                <w:top w:val="none" w:sz="0" w:space="0" w:color="auto"/>
                <w:left w:val="none" w:sz="0" w:space="0" w:color="auto"/>
                <w:bottom w:val="none" w:sz="0" w:space="0" w:color="auto"/>
                <w:right w:val="none" w:sz="0" w:space="0" w:color="auto"/>
              </w:divBdr>
            </w:div>
            <w:div w:id="765079333">
              <w:marLeft w:val="0"/>
              <w:marRight w:val="0"/>
              <w:marTop w:val="0"/>
              <w:marBottom w:val="0"/>
              <w:divBdr>
                <w:top w:val="none" w:sz="0" w:space="0" w:color="auto"/>
                <w:left w:val="none" w:sz="0" w:space="0" w:color="auto"/>
                <w:bottom w:val="none" w:sz="0" w:space="0" w:color="auto"/>
                <w:right w:val="none" w:sz="0" w:space="0" w:color="auto"/>
              </w:divBdr>
            </w:div>
            <w:div w:id="2099053232">
              <w:marLeft w:val="0"/>
              <w:marRight w:val="0"/>
              <w:marTop w:val="0"/>
              <w:marBottom w:val="0"/>
              <w:divBdr>
                <w:top w:val="none" w:sz="0" w:space="0" w:color="auto"/>
                <w:left w:val="none" w:sz="0" w:space="0" w:color="auto"/>
                <w:bottom w:val="none" w:sz="0" w:space="0" w:color="auto"/>
                <w:right w:val="none" w:sz="0" w:space="0" w:color="auto"/>
              </w:divBdr>
            </w:div>
          </w:divsChild>
        </w:div>
        <w:div w:id="1150749023">
          <w:marLeft w:val="0"/>
          <w:marRight w:val="0"/>
          <w:marTop w:val="0"/>
          <w:marBottom w:val="0"/>
          <w:divBdr>
            <w:top w:val="none" w:sz="0" w:space="0" w:color="auto"/>
            <w:left w:val="none" w:sz="0" w:space="0" w:color="auto"/>
            <w:bottom w:val="none" w:sz="0" w:space="0" w:color="auto"/>
            <w:right w:val="none" w:sz="0" w:space="0" w:color="auto"/>
          </w:divBdr>
          <w:divsChild>
            <w:div w:id="317418670">
              <w:marLeft w:val="0"/>
              <w:marRight w:val="0"/>
              <w:marTop w:val="0"/>
              <w:marBottom w:val="0"/>
              <w:divBdr>
                <w:top w:val="none" w:sz="0" w:space="0" w:color="auto"/>
                <w:left w:val="none" w:sz="0" w:space="0" w:color="auto"/>
                <w:bottom w:val="none" w:sz="0" w:space="0" w:color="auto"/>
                <w:right w:val="none" w:sz="0" w:space="0" w:color="auto"/>
              </w:divBdr>
            </w:div>
            <w:div w:id="1687752076">
              <w:marLeft w:val="0"/>
              <w:marRight w:val="0"/>
              <w:marTop w:val="0"/>
              <w:marBottom w:val="0"/>
              <w:divBdr>
                <w:top w:val="none" w:sz="0" w:space="0" w:color="auto"/>
                <w:left w:val="none" w:sz="0" w:space="0" w:color="auto"/>
                <w:bottom w:val="none" w:sz="0" w:space="0" w:color="auto"/>
                <w:right w:val="none" w:sz="0" w:space="0" w:color="auto"/>
              </w:divBdr>
            </w:div>
          </w:divsChild>
        </w:div>
        <w:div w:id="1158154832">
          <w:marLeft w:val="0"/>
          <w:marRight w:val="0"/>
          <w:marTop w:val="0"/>
          <w:marBottom w:val="0"/>
          <w:divBdr>
            <w:top w:val="none" w:sz="0" w:space="0" w:color="auto"/>
            <w:left w:val="none" w:sz="0" w:space="0" w:color="auto"/>
            <w:bottom w:val="none" w:sz="0" w:space="0" w:color="auto"/>
            <w:right w:val="none" w:sz="0" w:space="0" w:color="auto"/>
          </w:divBdr>
          <w:divsChild>
            <w:div w:id="820271546">
              <w:marLeft w:val="0"/>
              <w:marRight w:val="0"/>
              <w:marTop w:val="0"/>
              <w:marBottom w:val="0"/>
              <w:divBdr>
                <w:top w:val="none" w:sz="0" w:space="0" w:color="auto"/>
                <w:left w:val="none" w:sz="0" w:space="0" w:color="auto"/>
                <w:bottom w:val="none" w:sz="0" w:space="0" w:color="auto"/>
                <w:right w:val="none" w:sz="0" w:space="0" w:color="auto"/>
              </w:divBdr>
            </w:div>
          </w:divsChild>
        </w:div>
        <w:div w:id="1249382789">
          <w:marLeft w:val="0"/>
          <w:marRight w:val="0"/>
          <w:marTop w:val="0"/>
          <w:marBottom w:val="0"/>
          <w:divBdr>
            <w:top w:val="none" w:sz="0" w:space="0" w:color="auto"/>
            <w:left w:val="none" w:sz="0" w:space="0" w:color="auto"/>
            <w:bottom w:val="none" w:sz="0" w:space="0" w:color="auto"/>
            <w:right w:val="none" w:sz="0" w:space="0" w:color="auto"/>
          </w:divBdr>
          <w:divsChild>
            <w:div w:id="782963822">
              <w:marLeft w:val="0"/>
              <w:marRight w:val="0"/>
              <w:marTop w:val="0"/>
              <w:marBottom w:val="0"/>
              <w:divBdr>
                <w:top w:val="none" w:sz="0" w:space="0" w:color="auto"/>
                <w:left w:val="none" w:sz="0" w:space="0" w:color="auto"/>
                <w:bottom w:val="none" w:sz="0" w:space="0" w:color="auto"/>
                <w:right w:val="none" w:sz="0" w:space="0" w:color="auto"/>
              </w:divBdr>
            </w:div>
            <w:div w:id="1897626132">
              <w:marLeft w:val="0"/>
              <w:marRight w:val="0"/>
              <w:marTop w:val="0"/>
              <w:marBottom w:val="0"/>
              <w:divBdr>
                <w:top w:val="none" w:sz="0" w:space="0" w:color="auto"/>
                <w:left w:val="none" w:sz="0" w:space="0" w:color="auto"/>
                <w:bottom w:val="none" w:sz="0" w:space="0" w:color="auto"/>
                <w:right w:val="none" w:sz="0" w:space="0" w:color="auto"/>
              </w:divBdr>
            </w:div>
            <w:div w:id="1948268182">
              <w:marLeft w:val="0"/>
              <w:marRight w:val="0"/>
              <w:marTop w:val="0"/>
              <w:marBottom w:val="0"/>
              <w:divBdr>
                <w:top w:val="none" w:sz="0" w:space="0" w:color="auto"/>
                <w:left w:val="none" w:sz="0" w:space="0" w:color="auto"/>
                <w:bottom w:val="none" w:sz="0" w:space="0" w:color="auto"/>
                <w:right w:val="none" w:sz="0" w:space="0" w:color="auto"/>
              </w:divBdr>
            </w:div>
          </w:divsChild>
        </w:div>
        <w:div w:id="1291277614">
          <w:marLeft w:val="0"/>
          <w:marRight w:val="0"/>
          <w:marTop w:val="0"/>
          <w:marBottom w:val="0"/>
          <w:divBdr>
            <w:top w:val="none" w:sz="0" w:space="0" w:color="auto"/>
            <w:left w:val="none" w:sz="0" w:space="0" w:color="auto"/>
            <w:bottom w:val="none" w:sz="0" w:space="0" w:color="auto"/>
            <w:right w:val="none" w:sz="0" w:space="0" w:color="auto"/>
          </w:divBdr>
          <w:divsChild>
            <w:div w:id="594483514">
              <w:marLeft w:val="0"/>
              <w:marRight w:val="0"/>
              <w:marTop w:val="0"/>
              <w:marBottom w:val="0"/>
              <w:divBdr>
                <w:top w:val="none" w:sz="0" w:space="0" w:color="auto"/>
                <w:left w:val="none" w:sz="0" w:space="0" w:color="auto"/>
                <w:bottom w:val="none" w:sz="0" w:space="0" w:color="auto"/>
                <w:right w:val="none" w:sz="0" w:space="0" w:color="auto"/>
              </w:divBdr>
            </w:div>
            <w:div w:id="1268074437">
              <w:marLeft w:val="0"/>
              <w:marRight w:val="0"/>
              <w:marTop w:val="0"/>
              <w:marBottom w:val="0"/>
              <w:divBdr>
                <w:top w:val="none" w:sz="0" w:space="0" w:color="auto"/>
                <w:left w:val="none" w:sz="0" w:space="0" w:color="auto"/>
                <w:bottom w:val="none" w:sz="0" w:space="0" w:color="auto"/>
                <w:right w:val="none" w:sz="0" w:space="0" w:color="auto"/>
              </w:divBdr>
            </w:div>
            <w:div w:id="1708725271">
              <w:marLeft w:val="0"/>
              <w:marRight w:val="0"/>
              <w:marTop w:val="0"/>
              <w:marBottom w:val="0"/>
              <w:divBdr>
                <w:top w:val="none" w:sz="0" w:space="0" w:color="auto"/>
                <w:left w:val="none" w:sz="0" w:space="0" w:color="auto"/>
                <w:bottom w:val="none" w:sz="0" w:space="0" w:color="auto"/>
                <w:right w:val="none" w:sz="0" w:space="0" w:color="auto"/>
              </w:divBdr>
            </w:div>
          </w:divsChild>
        </w:div>
        <w:div w:id="1326392989">
          <w:marLeft w:val="0"/>
          <w:marRight w:val="0"/>
          <w:marTop w:val="0"/>
          <w:marBottom w:val="0"/>
          <w:divBdr>
            <w:top w:val="none" w:sz="0" w:space="0" w:color="auto"/>
            <w:left w:val="none" w:sz="0" w:space="0" w:color="auto"/>
            <w:bottom w:val="none" w:sz="0" w:space="0" w:color="auto"/>
            <w:right w:val="none" w:sz="0" w:space="0" w:color="auto"/>
          </w:divBdr>
          <w:divsChild>
            <w:div w:id="573856730">
              <w:marLeft w:val="0"/>
              <w:marRight w:val="0"/>
              <w:marTop w:val="0"/>
              <w:marBottom w:val="0"/>
              <w:divBdr>
                <w:top w:val="none" w:sz="0" w:space="0" w:color="auto"/>
                <w:left w:val="none" w:sz="0" w:space="0" w:color="auto"/>
                <w:bottom w:val="none" w:sz="0" w:space="0" w:color="auto"/>
                <w:right w:val="none" w:sz="0" w:space="0" w:color="auto"/>
              </w:divBdr>
            </w:div>
            <w:div w:id="760492882">
              <w:marLeft w:val="0"/>
              <w:marRight w:val="0"/>
              <w:marTop w:val="0"/>
              <w:marBottom w:val="0"/>
              <w:divBdr>
                <w:top w:val="none" w:sz="0" w:space="0" w:color="auto"/>
                <w:left w:val="none" w:sz="0" w:space="0" w:color="auto"/>
                <w:bottom w:val="none" w:sz="0" w:space="0" w:color="auto"/>
                <w:right w:val="none" w:sz="0" w:space="0" w:color="auto"/>
              </w:divBdr>
            </w:div>
            <w:div w:id="1561867532">
              <w:marLeft w:val="0"/>
              <w:marRight w:val="0"/>
              <w:marTop w:val="0"/>
              <w:marBottom w:val="0"/>
              <w:divBdr>
                <w:top w:val="none" w:sz="0" w:space="0" w:color="auto"/>
                <w:left w:val="none" w:sz="0" w:space="0" w:color="auto"/>
                <w:bottom w:val="none" w:sz="0" w:space="0" w:color="auto"/>
                <w:right w:val="none" w:sz="0" w:space="0" w:color="auto"/>
              </w:divBdr>
            </w:div>
          </w:divsChild>
        </w:div>
        <w:div w:id="1468858988">
          <w:marLeft w:val="0"/>
          <w:marRight w:val="0"/>
          <w:marTop w:val="0"/>
          <w:marBottom w:val="0"/>
          <w:divBdr>
            <w:top w:val="none" w:sz="0" w:space="0" w:color="auto"/>
            <w:left w:val="none" w:sz="0" w:space="0" w:color="auto"/>
            <w:bottom w:val="none" w:sz="0" w:space="0" w:color="auto"/>
            <w:right w:val="none" w:sz="0" w:space="0" w:color="auto"/>
          </w:divBdr>
          <w:divsChild>
            <w:div w:id="1654405967">
              <w:marLeft w:val="0"/>
              <w:marRight w:val="0"/>
              <w:marTop w:val="0"/>
              <w:marBottom w:val="0"/>
              <w:divBdr>
                <w:top w:val="none" w:sz="0" w:space="0" w:color="auto"/>
                <w:left w:val="none" w:sz="0" w:space="0" w:color="auto"/>
                <w:bottom w:val="none" w:sz="0" w:space="0" w:color="auto"/>
                <w:right w:val="none" w:sz="0" w:space="0" w:color="auto"/>
              </w:divBdr>
            </w:div>
          </w:divsChild>
        </w:div>
        <w:div w:id="1597833452">
          <w:marLeft w:val="0"/>
          <w:marRight w:val="0"/>
          <w:marTop w:val="0"/>
          <w:marBottom w:val="0"/>
          <w:divBdr>
            <w:top w:val="none" w:sz="0" w:space="0" w:color="auto"/>
            <w:left w:val="none" w:sz="0" w:space="0" w:color="auto"/>
            <w:bottom w:val="none" w:sz="0" w:space="0" w:color="auto"/>
            <w:right w:val="none" w:sz="0" w:space="0" w:color="auto"/>
          </w:divBdr>
          <w:divsChild>
            <w:div w:id="956136899">
              <w:marLeft w:val="0"/>
              <w:marRight w:val="0"/>
              <w:marTop w:val="0"/>
              <w:marBottom w:val="0"/>
              <w:divBdr>
                <w:top w:val="none" w:sz="0" w:space="0" w:color="auto"/>
                <w:left w:val="none" w:sz="0" w:space="0" w:color="auto"/>
                <w:bottom w:val="none" w:sz="0" w:space="0" w:color="auto"/>
                <w:right w:val="none" w:sz="0" w:space="0" w:color="auto"/>
              </w:divBdr>
            </w:div>
          </w:divsChild>
        </w:div>
        <w:div w:id="1598710425">
          <w:marLeft w:val="0"/>
          <w:marRight w:val="0"/>
          <w:marTop w:val="0"/>
          <w:marBottom w:val="0"/>
          <w:divBdr>
            <w:top w:val="none" w:sz="0" w:space="0" w:color="auto"/>
            <w:left w:val="none" w:sz="0" w:space="0" w:color="auto"/>
            <w:bottom w:val="none" w:sz="0" w:space="0" w:color="auto"/>
            <w:right w:val="none" w:sz="0" w:space="0" w:color="auto"/>
          </w:divBdr>
          <w:divsChild>
            <w:div w:id="315572324">
              <w:marLeft w:val="0"/>
              <w:marRight w:val="0"/>
              <w:marTop w:val="0"/>
              <w:marBottom w:val="0"/>
              <w:divBdr>
                <w:top w:val="none" w:sz="0" w:space="0" w:color="auto"/>
                <w:left w:val="none" w:sz="0" w:space="0" w:color="auto"/>
                <w:bottom w:val="none" w:sz="0" w:space="0" w:color="auto"/>
                <w:right w:val="none" w:sz="0" w:space="0" w:color="auto"/>
              </w:divBdr>
            </w:div>
          </w:divsChild>
        </w:div>
        <w:div w:id="1626960151">
          <w:marLeft w:val="0"/>
          <w:marRight w:val="0"/>
          <w:marTop w:val="0"/>
          <w:marBottom w:val="0"/>
          <w:divBdr>
            <w:top w:val="none" w:sz="0" w:space="0" w:color="auto"/>
            <w:left w:val="none" w:sz="0" w:space="0" w:color="auto"/>
            <w:bottom w:val="none" w:sz="0" w:space="0" w:color="auto"/>
            <w:right w:val="none" w:sz="0" w:space="0" w:color="auto"/>
          </w:divBdr>
          <w:divsChild>
            <w:div w:id="2141458903">
              <w:marLeft w:val="0"/>
              <w:marRight w:val="0"/>
              <w:marTop w:val="0"/>
              <w:marBottom w:val="0"/>
              <w:divBdr>
                <w:top w:val="none" w:sz="0" w:space="0" w:color="auto"/>
                <w:left w:val="none" w:sz="0" w:space="0" w:color="auto"/>
                <w:bottom w:val="none" w:sz="0" w:space="0" w:color="auto"/>
                <w:right w:val="none" w:sz="0" w:space="0" w:color="auto"/>
              </w:divBdr>
            </w:div>
          </w:divsChild>
        </w:div>
        <w:div w:id="1675843595">
          <w:marLeft w:val="0"/>
          <w:marRight w:val="0"/>
          <w:marTop w:val="0"/>
          <w:marBottom w:val="0"/>
          <w:divBdr>
            <w:top w:val="none" w:sz="0" w:space="0" w:color="auto"/>
            <w:left w:val="none" w:sz="0" w:space="0" w:color="auto"/>
            <w:bottom w:val="none" w:sz="0" w:space="0" w:color="auto"/>
            <w:right w:val="none" w:sz="0" w:space="0" w:color="auto"/>
          </w:divBdr>
          <w:divsChild>
            <w:div w:id="1666277555">
              <w:marLeft w:val="0"/>
              <w:marRight w:val="0"/>
              <w:marTop w:val="0"/>
              <w:marBottom w:val="0"/>
              <w:divBdr>
                <w:top w:val="none" w:sz="0" w:space="0" w:color="auto"/>
                <w:left w:val="none" w:sz="0" w:space="0" w:color="auto"/>
                <w:bottom w:val="none" w:sz="0" w:space="0" w:color="auto"/>
                <w:right w:val="none" w:sz="0" w:space="0" w:color="auto"/>
              </w:divBdr>
            </w:div>
          </w:divsChild>
        </w:div>
        <w:div w:id="1685664763">
          <w:marLeft w:val="0"/>
          <w:marRight w:val="0"/>
          <w:marTop w:val="0"/>
          <w:marBottom w:val="0"/>
          <w:divBdr>
            <w:top w:val="none" w:sz="0" w:space="0" w:color="auto"/>
            <w:left w:val="none" w:sz="0" w:space="0" w:color="auto"/>
            <w:bottom w:val="none" w:sz="0" w:space="0" w:color="auto"/>
            <w:right w:val="none" w:sz="0" w:space="0" w:color="auto"/>
          </w:divBdr>
          <w:divsChild>
            <w:div w:id="1622490512">
              <w:marLeft w:val="0"/>
              <w:marRight w:val="0"/>
              <w:marTop w:val="0"/>
              <w:marBottom w:val="0"/>
              <w:divBdr>
                <w:top w:val="none" w:sz="0" w:space="0" w:color="auto"/>
                <w:left w:val="none" w:sz="0" w:space="0" w:color="auto"/>
                <w:bottom w:val="none" w:sz="0" w:space="0" w:color="auto"/>
                <w:right w:val="none" w:sz="0" w:space="0" w:color="auto"/>
              </w:divBdr>
            </w:div>
          </w:divsChild>
        </w:div>
        <w:div w:id="1695692684">
          <w:marLeft w:val="0"/>
          <w:marRight w:val="0"/>
          <w:marTop w:val="0"/>
          <w:marBottom w:val="0"/>
          <w:divBdr>
            <w:top w:val="none" w:sz="0" w:space="0" w:color="auto"/>
            <w:left w:val="none" w:sz="0" w:space="0" w:color="auto"/>
            <w:bottom w:val="none" w:sz="0" w:space="0" w:color="auto"/>
            <w:right w:val="none" w:sz="0" w:space="0" w:color="auto"/>
          </w:divBdr>
          <w:divsChild>
            <w:div w:id="792208793">
              <w:marLeft w:val="0"/>
              <w:marRight w:val="0"/>
              <w:marTop w:val="0"/>
              <w:marBottom w:val="0"/>
              <w:divBdr>
                <w:top w:val="none" w:sz="0" w:space="0" w:color="auto"/>
                <w:left w:val="none" w:sz="0" w:space="0" w:color="auto"/>
                <w:bottom w:val="none" w:sz="0" w:space="0" w:color="auto"/>
                <w:right w:val="none" w:sz="0" w:space="0" w:color="auto"/>
              </w:divBdr>
            </w:div>
            <w:div w:id="1652052897">
              <w:marLeft w:val="0"/>
              <w:marRight w:val="0"/>
              <w:marTop w:val="0"/>
              <w:marBottom w:val="0"/>
              <w:divBdr>
                <w:top w:val="none" w:sz="0" w:space="0" w:color="auto"/>
                <w:left w:val="none" w:sz="0" w:space="0" w:color="auto"/>
                <w:bottom w:val="none" w:sz="0" w:space="0" w:color="auto"/>
                <w:right w:val="none" w:sz="0" w:space="0" w:color="auto"/>
              </w:divBdr>
            </w:div>
          </w:divsChild>
        </w:div>
        <w:div w:id="1775634183">
          <w:marLeft w:val="0"/>
          <w:marRight w:val="0"/>
          <w:marTop w:val="0"/>
          <w:marBottom w:val="0"/>
          <w:divBdr>
            <w:top w:val="none" w:sz="0" w:space="0" w:color="auto"/>
            <w:left w:val="none" w:sz="0" w:space="0" w:color="auto"/>
            <w:bottom w:val="none" w:sz="0" w:space="0" w:color="auto"/>
            <w:right w:val="none" w:sz="0" w:space="0" w:color="auto"/>
          </w:divBdr>
          <w:divsChild>
            <w:div w:id="668025309">
              <w:marLeft w:val="0"/>
              <w:marRight w:val="0"/>
              <w:marTop w:val="0"/>
              <w:marBottom w:val="0"/>
              <w:divBdr>
                <w:top w:val="none" w:sz="0" w:space="0" w:color="auto"/>
                <w:left w:val="none" w:sz="0" w:space="0" w:color="auto"/>
                <w:bottom w:val="none" w:sz="0" w:space="0" w:color="auto"/>
                <w:right w:val="none" w:sz="0" w:space="0" w:color="auto"/>
              </w:divBdr>
            </w:div>
          </w:divsChild>
        </w:div>
        <w:div w:id="1795296186">
          <w:marLeft w:val="0"/>
          <w:marRight w:val="0"/>
          <w:marTop w:val="0"/>
          <w:marBottom w:val="0"/>
          <w:divBdr>
            <w:top w:val="none" w:sz="0" w:space="0" w:color="auto"/>
            <w:left w:val="none" w:sz="0" w:space="0" w:color="auto"/>
            <w:bottom w:val="none" w:sz="0" w:space="0" w:color="auto"/>
            <w:right w:val="none" w:sz="0" w:space="0" w:color="auto"/>
          </w:divBdr>
          <w:divsChild>
            <w:div w:id="470950211">
              <w:marLeft w:val="0"/>
              <w:marRight w:val="0"/>
              <w:marTop w:val="0"/>
              <w:marBottom w:val="0"/>
              <w:divBdr>
                <w:top w:val="none" w:sz="0" w:space="0" w:color="auto"/>
                <w:left w:val="none" w:sz="0" w:space="0" w:color="auto"/>
                <w:bottom w:val="none" w:sz="0" w:space="0" w:color="auto"/>
                <w:right w:val="none" w:sz="0" w:space="0" w:color="auto"/>
              </w:divBdr>
            </w:div>
            <w:div w:id="603147838">
              <w:marLeft w:val="0"/>
              <w:marRight w:val="0"/>
              <w:marTop w:val="0"/>
              <w:marBottom w:val="0"/>
              <w:divBdr>
                <w:top w:val="none" w:sz="0" w:space="0" w:color="auto"/>
                <w:left w:val="none" w:sz="0" w:space="0" w:color="auto"/>
                <w:bottom w:val="none" w:sz="0" w:space="0" w:color="auto"/>
                <w:right w:val="none" w:sz="0" w:space="0" w:color="auto"/>
              </w:divBdr>
            </w:div>
            <w:div w:id="1367683278">
              <w:marLeft w:val="0"/>
              <w:marRight w:val="0"/>
              <w:marTop w:val="0"/>
              <w:marBottom w:val="0"/>
              <w:divBdr>
                <w:top w:val="none" w:sz="0" w:space="0" w:color="auto"/>
                <w:left w:val="none" w:sz="0" w:space="0" w:color="auto"/>
                <w:bottom w:val="none" w:sz="0" w:space="0" w:color="auto"/>
                <w:right w:val="none" w:sz="0" w:space="0" w:color="auto"/>
              </w:divBdr>
            </w:div>
          </w:divsChild>
        </w:div>
        <w:div w:id="1800756275">
          <w:marLeft w:val="0"/>
          <w:marRight w:val="0"/>
          <w:marTop w:val="0"/>
          <w:marBottom w:val="0"/>
          <w:divBdr>
            <w:top w:val="none" w:sz="0" w:space="0" w:color="auto"/>
            <w:left w:val="none" w:sz="0" w:space="0" w:color="auto"/>
            <w:bottom w:val="none" w:sz="0" w:space="0" w:color="auto"/>
            <w:right w:val="none" w:sz="0" w:space="0" w:color="auto"/>
          </w:divBdr>
          <w:divsChild>
            <w:div w:id="742416043">
              <w:marLeft w:val="0"/>
              <w:marRight w:val="0"/>
              <w:marTop w:val="0"/>
              <w:marBottom w:val="0"/>
              <w:divBdr>
                <w:top w:val="none" w:sz="0" w:space="0" w:color="auto"/>
                <w:left w:val="none" w:sz="0" w:space="0" w:color="auto"/>
                <w:bottom w:val="none" w:sz="0" w:space="0" w:color="auto"/>
                <w:right w:val="none" w:sz="0" w:space="0" w:color="auto"/>
              </w:divBdr>
            </w:div>
            <w:div w:id="1637417625">
              <w:marLeft w:val="0"/>
              <w:marRight w:val="0"/>
              <w:marTop w:val="0"/>
              <w:marBottom w:val="0"/>
              <w:divBdr>
                <w:top w:val="none" w:sz="0" w:space="0" w:color="auto"/>
                <w:left w:val="none" w:sz="0" w:space="0" w:color="auto"/>
                <w:bottom w:val="none" w:sz="0" w:space="0" w:color="auto"/>
                <w:right w:val="none" w:sz="0" w:space="0" w:color="auto"/>
              </w:divBdr>
            </w:div>
          </w:divsChild>
        </w:div>
        <w:div w:id="1811900688">
          <w:marLeft w:val="0"/>
          <w:marRight w:val="0"/>
          <w:marTop w:val="0"/>
          <w:marBottom w:val="0"/>
          <w:divBdr>
            <w:top w:val="none" w:sz="0" w:space="0" w:color="auto"/>
            <w:left w:val="none" w:sz="0" w:space="0" w:color="auto"/>
            <w:bottom w:val="none" w:sz="0" w:space="0" w:color="auto"/>
            <w:right w:val="none" w:sz="0" w:space="0" w:color="auto"/>
          </w:divBdr>
          <w:divsChild>
            <w:div w:id="1926645738">
              <w:marLeft w:val="0"/>
              <w:marRight w:val="0"/>
              <w:marTop w:val="0"/>
              <w:marBottom w:val="0"/>
              <w:divBdr>
                <w:top w:val="none" w:sz="0" w:space="0" w:color="auto"/>
                <w:left w:val="none" w:sz="0" w:space="0" w:color="auto"/>
                <w:bottom w:val="none" w:sz="0" w:space="0" w:color="auto"/>
                <w:right w:val="none" w:sz="0" w:space="0" w:color="auto"/>
              </w:divBdr>
            </w:div>
          </w:divsChild>
        </w:div>
        <w:div w:id="1814520700">
          <w:marLeft w:val="0"/>
          <w:marRight w:val="0"/>
          <w:marTop w:val="0"/>
          <w:marBottom w:val="0"/>
          <w:divBdr>
            <w:top w:val="none" w:sz="0" w:space="0" w:color="auto"/>
            <w:left w:val="none" w:sz="0" w:space="0" w:color="auto"/>
            <w:bottom w:val="none" w:sz="0" w:space="0" w:color="auto"/>
            <w:right w:val="none" w:sz="0" w:space="0" w:color="auto"/>
          </w:divBdr>
          <w:divsChild>
            <w:div w:id="1155150894">
              <w:marLeft w:val="0"/>
              <w:marRight w:val="0"/>
              <w:marTop w:val="0"/>
              <w:marBottom w:val="0"/>
              <w:divBdr>
                <w:top w:val="none" w:sz="0" w:space="0" w:color="auto"/>
                <w:left w:val="none" w:sz="0" w:space="0" w:color="auto"/>
                <w:bottom w:val="none" w:sz="0" w:space="0" w:color="auto"/>
                <w:right w:val="none" w:sz="0" w:space="0" w:color="auto"/>
              </w:divBdr>
            </w:div>
            <w:div w:id="1463645355">
              <w:marLeft w:val="0"/>
              <w:marRight w:val="0"/>
              <w:marTop w:val="0"/>
              <w:marBottom w:val="0"/>
              <w:divBdr>
                <w:top w:val="none" w:sz="0" w:space="0" w:color="auto"/>
                <w:left w:val="none" w:sz="0" w:space="0" w:color="auto"/>
                <w:bottom w:val="none" w:sz="0" w:space="0" w:color="auto"/>
                <w:right w:val="none" w:sz="0" w:space="0" w:color="auto"/>
              </w:divBdr>
            </w:div>
          </w:divsChild>
        </w:div>
        <w:div w:id="1968660952">
          <w:marLeft w:val="0"/>
          <w:marRight w:val="0"/>
          <w:marTop w:val="0"/>
          <w:marBottom w:val="0"/>
          <w:divBdr>
            <w:top w:val="none" w:sz="0" w:space="0" w:color="auto"/>
            <w:left w:val="none" w:sz="0" w:space="0" w:color="auto"/>
            <w:bottom w:val="none" w:sz="0" w:space="0" w:color="auto"/>
            <w:right w:val="none" w:sz="0" w:space="0" w:color="auto"/>
          </w:divBdr>
          <w:divsChild>
            <w:div w:id="483470369">
              <w:marLeft w:val="0"/>
              <w:marRight w:val="0"/>
              <w:marTop w:val="0"/>
              <w:marBottom w:val="0"/>
              <w:divBdr>
                <w:top w:val="none" w:sz="0" w:space="0" w:color="auto"/>
                <w:left w:val="none" w:sz="0" w:space="0" w:color="auto"/>
                <w:bottom w:val="none" w:sz="0" w:space="0" w:color="auto"/>
                <w:right w:val="none" w:sz="0" w:space="0" w:color="auto"/>
              </w:divBdr>
            </w:div>
          </w:divsChild>
        </w:div>
        <w:div w:id="1974409528">
          <w:marLeft w:val="0"/>
          <w:marRight w:val="0"/>
          <w:marTop w:val="0"/>
          <w:marBottom w:val="0"/>
          <w:divBdr>
            <w:top w:val="none" w:sz="0" w:space="0" w:color="auto"/>
            <w:left w:val="none" w:sz="0" w:space="0" w:color="auto"/>
            <w:bottom w:val="none" w:sz="0" w:space="0" w:color="auto"/>
            <w:right w:val="none" w:sz="0" w:space="0" w:color="auto"/>
          </w:divBdr>
          <w:divsChild>
            <w:div w:id="1377393643">
              <w:marLeft w:val="0"/>
              <w:marRight w:val="0"/>
              <w:marTop w:val="0"/>
              <w:marBottom w:val="0"/>
              <w:divBdr>
                <w:top w:val="none" w:sz="0" w:space="0" w:color="auto"/>
                <w:left w:val="none" w:sz="0" w:space="0" w:color="auto"/>
                <w:bottom w:val="none" w:sz="0" w:space="0" w:color="auto"/>
                <w:right w:val="none" w:sz="0" w:space="0" w:color="auto"/>
              </w:divBdr>
            </w:div>
          </w:divsChild>
        </w:div>
        <w:div w:id="2026398100">
          <w:marLeft w:val="0"/>
          <w:marRight w:val="0"/>
          <w:marTop w:val="0"/>
          <w:marBottom w:val="0"/>
          <w:divBdr>
            <w:top w:val="none" w:sz="0" w:space="0" w:color="auto"/>
            <w:left w:val="none" w:sz="0" w:space="0" w:color="auto"/>
            <w:bottom w:val="none" w:sz="0" w:space="0" w:color="auto"/>
            <w:right w:val="none" w:sz="0" w:space="0" w:color="auto"/>
          </w:divBdr>
          <w:divsChild>
            <w:div w:id="331687837">
              <w:marLeft w:val="0"/>
              <w:marRight w:val="0"/>
              <w:marTop w:val="0"/>
              <w:marBottom w:val="0"/>
              <w:divBdr>
                <w:top w:val="none" w:sz="0" w:space="0" w:color="auto"/>
                <w:left w:val="none" w:sz="0" w:space="0" w:color="auto"/>
                <w:bottom w:val="none" w:sz="0" w:space="0" w:color="auto"/>
                <w:right w:val="none" w:sz="0" w:space="0" w:color="auto"/>
              </w:divBdr>
            </w:div>
            <w:div w:id="431970347">
              <w:marLeft w:val="0"/>
              <w:marRight w:val="0"/>
              <w:marTop w:val="0"/>
              <w:marBottom w:val="0"/>
              <w:divBdr>
                <w:top w:val="none" w:sz="0" w:space="0" w:color="auto"/>
                <w:left w:val="none" w:sz="0" w:space="0" w:color="auto"/>
                <w:bottom w:val="none" w:sz="0" w:space="0" w:color="auto"/>
                <w:right w:val="none" w:sz="0" w:space="0" w:color="auto"/>
              </w:divBdr>
            </w:div>
            <w:div w:id="859785357">
              <w:marLeft w:val="0"/>
              <w:marRight w:val="0"/>
              <w:marTop w:val="0"/>
              <w:marBottom w:val="0"/>
              <w:divBdr>
                <w:top w:val="none" w:sz="0" w:space="0" w:color="auto"/>
                <w:left w:val="none" w:sz="0" w:space="0" w:color="auto"/>
                <w:bottom w:val="none" w:sz="0" w:space="0" w:color="auto"/>
                <w:right w:val="none" w:sz="0" w:space="0" w:color="auto"/>
              </w:divBdr>
            </w:div>
          </w:divsChild>
        </w:div>
        <w:div w:id="2122609185">
          <w:marLeft w:val="0"/>
          <w:marRight w:val="0"/>
          <w:marTop w:val="0"/>
          <w:marBottom w:val="0"/>
          <w:divBdr>
            <w:top w:val="none" w:sz="0" w:space="0" w:color="auto"/>
            <w:left w:val="none" w:sz="0" w:space="0" w:color="auto"/>
            <w:bottom w:val="none" w:sz="0" w:space="0" w:color="auto"/>
            <w:right w:val="none" w:sz="0" w:space="0" w:color="auto"/>
          </w:divBdr>
          <w:divsChild>
            <w:div w:id="2057270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6787270">
      <w:bodyDiv w:val="1"/>
      <w:marLeft w:val="0"/>
      <w:marRight w:val="0"/>
      <w:marTop w:val="0"/>
      <w:marBottom w:val="0"/>
      <w:divBdr>
        <w:top w:val="none" w:sz="0" w:space="0" w:color="auto"/>
        <w:left w:val="none" w:sz="0" w:space="0" w:color="auto"/>
        <w:bottom w:val="none" w:sz="0" w:space="0" w:color="auto"/>
        <w:right w:val="none" w:sz="0" w:space="0" w:color="auto"/>
      </w:divBdr>
      <w:divsChild>
        <w:div w:id="98111525">
          <w:marLeft w:val="0"/>
          <w:marRight w:val="0"/>
          <w:marTop w:val="0"/>
          <w:marBottom w:val="0"/>
          <w:divBdr>
            <w:top w:val="none" w:sz="0" w:space="0" w:color="auto"/>
            <w:left w:val="none" w:sz="0" w:space="0" w:color="auto"/>
            <w:bottom w:val="none" w:sz="0" w:space="0" w:color="auto"/>
            <w:right w:val="none" w:sz="0" w:space="0" w:color="auto"/>
          </w:divBdr>
        </w:div>
        <w:div w:id="287980325">
          <w:marLeft w:val="0"/>
          <w:marRight w:val="0"/>
          <w:marTop w:val="0"/>
          <w:marBottom w:val="0"/>
          <w:divBdr>
            <w:top w:val="none" w:sz="0" w:space="0" w:color="auto"/>
            <w:left w:val="none" w:sz="0" w:space="0" w:color="auto"/>
            <w:bottom w:val="none" w:sz="0" w:space="0" w:color="auto"/>
            <w:right w:val="none" w:sz="0" w:space="0" w:color="auto"/>
          </w:divBdr>
          <w:divsChild>
            <w:div w:id="1383021879">
              <w:marLeft w:val="-75"/>
              <w:marRight w:val="0"/>
              <w:marTop w:val="30"/>
              <w:marBottom w:val="30"/>
              <w:divBdr>
                <w:top w:val="none" w:sz="0" w:space="0" w:color="auto"/>
                <w:left w:val="none" w:sz="0" w:space="0" w:color="auto"/>
                <w:bottom w:val="none" w:sz="0" w:space="0" w:color="auto"/>
                <w:right w:val="none" w:sz="0" w:space="0" w:color="auto"/>
              </w:divBdr>
              <w:divsChild>
                <w:div w:id="35400137">
                  <w:marLeft w:val="0"/>
                  <w:marRight w:val="0"/>
                  <w:marTop w:val="0"/>
                  <w:marBottom w:val="0"/>
                  <w:divBdr>
                    <w:top w:val="none" w:sz="0" w:space="0" w:color="auto"/>
                    <w:left w:val="none" w:sz="0" w:space="0" w:color="auto"/>
                    <w:bottom w:val="none" w:sz="0" w:space="0" w:color="auto"/>
                    <w:right w:val="none" w:sz="0" w:space="0" w:color="auto"/>
                  </w:divBdr>
                  <w:divsChild>
                    <w:div w:id="607351359">
                      <w:marLeft w:val="0"/>
                      <w:marRight w:val="0"/>
                      <w:marTop w:val="0"/>
                      <w:marBottom w:val="0"/>
                      <w:divBdr>
                        <w:top w:val="none" w:sz="0" w:space="0" w:color="auto"/>
                        <w:left w:val="none" w:sz="0" w:space="0" w:color="auto"/>
                        <w:bottom w:val="none" w:sz="0" w:space="0" w:color="auto"/>
                        <w:right w:val="none" w:sz="0" w:space="0" w:color="auto"/>
                      </w:divBdr>
                    </w:div>
                  </w:divsChild>
                </w:div>
                <w:div w:id="135879483">
                  <w:marLeft w:val="0"/>
                  <w:marRight w:val="0"/>
                  <w:marTop w:val="0"/>
                  <w:marBottom w:val="0"/>
                  <w:divBdr>
                    <w:top w:val="none" w:sz="0" w:space="0" w:color="auto"/>
                    <w:left w:val="none" w:sz="0" w:space="0" w:color="auto"/>
                    <w:bottom w:val="none" w:sz="0" w:space="0" w:color="auto"/>
                    <w:right w:val="none" w:sz="0" w:space="0" w:color="auto"/>
                  </w:divBdr>
                  <w:divsChild>
                    <w:div w:id="310987558">
                      <w:marLeft w:val="0"/>
                      <w:marRight w:val="0"/>
                      <w:marTop w:val="0"/>
                      <w:marBottom w:val="0"/>
                      <w:divBdr>
                        <w:top w:val="none" w:sz="0" w:space="0" w:color="auto"/>
                        <w:left w:val="none" w:sz="0" w:space="0" w:color="auto"/>
                        <w:bottom w:val="none" w:sz="0" w:space="0" w:color="auto"/>
                        <w:right w:val="none" w:sz="0" w:space="0" w:color="auto"/>
                      </w:divBdr>
                    </w:div>
                  </w:divsChild>
                </w:div>
                <w:div w:id="137647787">
                  <w:marLeft w:val="0"/>
                  <w:marRight w:val="0"/>
                  <w:marTop w:val="0"/>
                  <w:marBottom w:val="0"/>
                  <w:divBdr>
                    <w:top w:val="none" w:sz="0" w:space="0" w:color="auto"/>
                    <w:left w:val="none" w:sz="0" w:space="0" w:color="auto"/>
                    <w:bottom w:val="none" w:sz="0" w:space="0" w:color="auto"/>
                    <w:right w:val="none" w:sz="0" w:space="0" w:color="auto"/>
                  </w:divBdr>
                  <w:divsChild>
                    <w:div w:id="35351793">
                      <w:marLeft w:val="0"/>
                      <w:marRight w:val="0"/>
                      <w:marTop w:val="0"/>
                      <w:marBottom w:val="0"/>
                      <w:divBdr>
                        <w:top w:val="none" w:sz="0" w:space="0" w:color="auto"/>
                        <w:left w:val="none" w:sz="0" w:space="0" w:color="auto"/>
                        <w:bottom w:val="none" w:sz="0" w:space="0" w:color="auto"/>
                        <w:right w:val="none" w:sz="0" w:space="0" w:color="auto"/>
                      </w:divBdr>
                    </w:div>
                  </w:divsChild>
                </w:div>
                <w:div w:id="153030107">
                  <w:marLeft w:val="0"/>
                  <w:marRight w:val="0"/>
                  <w:marTop w:val="0"/>
                  <w:marBottom w:val="0"/>
                  <w:divBdr>
                    <w:top w:val="none" w:sz="0" w:space="0" w:color="auto"/>
                    <w:left w:val="none" w:sz="0" w:space="0" w:color="auto"/>
                    <w:bottom w:val="none" w:sz="0" w:space="0" w:color="auto"/>
                    <w:right w:val="none" w:sz="0" w:space="0" w:color="auto"/>
                  </w:divBdr>
                  <w:divsChild>
                    <w:div w:id="655841416">
                      <w:marLeft w:val="0"/>
                      <w:marRight w:val="0"/>
                      <w:marTop w:val="0"/>
                      <w:marBottom w:val="0"/>
                      <w:divBdr>
                        <w:top w:val="none" w:sz="0" w:space="0" w:color="auto"/>
                        <w:left w:val="none" w:sz="0" w:space="0" w:color="auto"/>
                        <w:bottom w:val="none" w:sz="0" w:space="0" w:color="auto"/>
                        <w:right w:val="none" w:sz="0" w:space="0" w:color="auto"/>
                      </w:divBdr>
                    </w:div>
                  </w:divsChild>
                </w:div>
                <w:div w:id="183136710">
                  <w:marLeft w:val="0"/>
                  <w:marRight w:val="0"/>
                  <w:marTop w:val="0"/>
                  <w:marBottom w:val="0"/>
                  <w:divBdr>
                    <w:top w:val="none" w:sz="0" w:space="0" w:color="auto"/>
                    <w:left w:val="none" w:sz="0" w:space="0" w:color="auto"/>
                    <w:bottom w:val="none" w:sz="0" w:space="0" w:color="auto"/>
                    <w:right w:val="none" w:sz="0" w:space="0" w:color="auto"/>
                  </w:divBdr>
                  <w:divsChild>
                    <w:div w:id="2048291254">
                      <w:marLeft w:val="0"/>
                      <w:marRight w:val="0"/>
                      <w:marTop w:val="0"/>
                      <w:marBottom w:val="0"/>
                      <w:divBdr>
                        <w:top w:val="none" w:sz="0" w:space="0" w:color="auto"/>
                        <w:left w:val="none" w:sz="0" w:space="0" w:color="auto"/>
                        <w:bottom w:val="none" w:sz="0" w:space="0" w:color="auto"/>
                        <w:right w:val="none" w:sz="0" w:space="0" w:color="auto"/>
                      </w:divBdr>
                    </w:div>
                  </w:divsChild>
                </w:div>
                <w:div w:id="193856169">
                  <w:marLeft w:val="0"/>
                  <w:marRight w:val="0"/>
                  <w:marTop w:val="0"/>
                  <w:marBottom w:val="0"/>
                  <w:divBdr>
                    <w:top w:val="none" w:sz="0" w:space="0" w:color="auto"/>
                    <w:left w:val="none" w:sz="0" w:space="0" w:color="auto"/>
                    <w:bottom w:val="none" w:sz="0" w:space="0" w:color="auto"/>
                    <w:right w:val="none" w:sz="0" w:space="0" w:color="auto"/>
                  </w:divBdr>
                  <w:divsChild>
                    <w:div w:id="929047995">
                      <w:marLeft w:val="0"/>
                      <w:marRight w:val="0"/>
                      <w:marTop w:val="0"/>
                      <w:marBottom w:val="0"/>
                      <w:divBdr>
                        <w:top w:val="none" w:sz="0" w:space="0" w:color="auto"/>
                        <w:left w:val="none" w:sz="0" w:space="0" w:color="auto"/>
                        <w:bottom w:val="none" w:sz="0" w:space="0" w:color="auto"/>
                        <w:right w:val="none" w:sz="0" w:space="0" w:color="auto"/>
                      </w:divBdr>
                    </w:div>
                  </w:divsChild>
                </w:div>
                <w:div w:id="228543102">
                  <w:marLeft w:val="0"/>
                  <w:marRight w:val="0"/>
                  <w:marTop w:val="0"/>
                  <w:marBottom w:val="0"/>
                  <w:divBdr>
                    <w:top w:val="none" w:sz="0" w:space="0" w:color="auto"/>
                    <w:left w:val="none" w:sz="0" w:space="0" w:color="auto"/>
                    <w:bottom w:val="none" w:sz="0" w:space="0" w:color="auto"/>
                    <w:right w:val="none" w:sz="0" w:space="0" w:color="auto"/>
                  </w:divBdr>
                  <w:divsChild>
                    <w:div w:id="500894357">
                      <w:marLeft w:val="0"/>
                      <w:marRight w:val="0"/>
                      <w:marTop w:val="0"/>
                      <w:marBottom w:val="0"/>
                      <w:divBdr>
                        <w:top w:val="none" w:sz="0" w:space="0" w:color="auto"/>
                        <w:left w:val="none" w:sz="0" w:space="0" w:color="auto"/>
                        <w:bottom w:val="none" w:sz="0" w:space="0" w:color="auto"/>
                        <w:right w:val="none" w:sz="0" w:space="0" w:color="auto"/>
                      </w:divBdr>
                    </w:div>
                  </w:divsChild>
                </w:div>
                <w:div w:id="279606856">
                  <w:marLeft w:val="0"/>
                  <w:marRight w:val="0"/>
                  <w:marTop w:val="0"/>
                  <w:marBottom w:val="0"/>
                  <w:divBdr>
                    <w:top w:val="none" w:sz="0" w:space="0" w:color="auto"/>
                    <w:left w:val="none" w:sz="0" w:space="0" w:color="auto"/>
                    <w:bottom w:val="none" w:sz="0" w:space="0" w:color="auto"/>
                    <w:right w:val="none" w:sz="0" w:space="0" w:color="auto"/>
                  </w:divBdr>
                  <w:divsChild>
                    <w:div w:id="1852453178">
                      <w:marLeft w:val="0"/>
                      <w:marRight w:val="0"/>
                      <w:marTop w:val="0"/>
                      <w:marBottom w:val="0"/>
                      <w:divBdr>
                        <w:top w:val="none" w:sz="0" w:space="0" w:color="auto"/>
                        <w:left w:val="none" w:sz="0" w:space="0" w:color="auto"/>
                        <w:bottom w:val="none" w:sz="0" w:space="0" w:color="auto"/>
                        <w:right w:val="none" w:sz="0" w:space="0" w:color="auto"/>
                      </w:divBdr>
                    </w:div>
                  </w:divsChild>
                </w:div>
                <w:div w:id="288048432">
                  <w:marLeft w:val="0"/>
                  <w:marRight w:val="0"/>
                  <w:marTop w:val="0"/>
                  <w:marBottom w:val="0"/>
                  <w:divBdr>
                    <w:top w:val="none" w:sz="0" w:space="0" w:color="auto"/>
                    <w:left w:val="none" w:sz="0" w:space="0" w:color="auto"/>
                    <w:bottom w:val="none" w:sz="0" w:space="0" w:color="auto"/>
                    <w:right w:val="none" w:sz="0" w:space="0" w:color="auto"/>
                  </w:divBdr>
                  <w:divsChild>
                    <w:div w:id="417093709">
                      <w:marLeft w:val="0"/>
                      <w:marRight w:val="0"/>
                      <w:marTop w:val="0"/>
                      <w:marBottom w:val="0"/>
                      <w:divBdr>
                        <w:top w:val="none" w:sz="0" w:space="0" w:color="auto"/>
                        <w:left w:val="none" w:sz="0" w:space="0" w:color="auto"/>
                        <w:bottom w:val="none" w:sz="0" w:space="0" w:color="auto"/>
                        <w:right w:val="none" w:sz="0" w:space="0" w:color="auto"/>
                      </w:divBdr>
                    </w:div>
                  </w:divsChild>
                </w:div>
                <w:div w:id="366029657">
                  <w:marLeft w:val="0"/>
                  <w:marRight w:val="0"/>
                  <w:marTop w:val="0"/>
                  <w:marBottom w:val="0"/>
                  <w:divBdr>
                    <w:top w:val="none" w:sz="0" w:space="0" w:color="auto"/>
                    <w:left w:val="none" w:sz="0" w:space="0" w:color="auto"/>
                    <w:bottom w:val="none" w:sz="0" w:space="0" w:color="auto"/>
                    <w:right w:val="none" w:sz="0" w:space="0" w:color="auto"/>
                  </w:divBdr>
                  <w:divsChild>
                    <w:div w:id="1760364311">
                      <w:marLeft w:val="0"/>
                      <w:marRight w:val="0"/>
                      <w:marTop w:val="0"/>
                      <w:marBottom w:val="0"/>
                      <w:divBdr>
                        <w:top w:val="none" w:sz="0" w:space="0" w:color="auto"/>
                        <w:left w:val="none" w:sz="0" w:space="0" w:color="auto"/>
                        <w:bottom w:val="none" w:sz="0" w:space="0" w:color="auto"/>
                        <w:right w:val="none" w:sz="0" w:space="0" w:color="auto"/>
                      </w:divBdr>
                    </w:div>
                  </w:divsChild>
                </w:div>
                <w:div w:id="384910867">
                  <w:marLeft w:val="0"/>
                  <w:marRight w:val="0"/>
                  <w:marTop w:val="0"/>
                  <w:marBottom w:val="0"/>
                  <w:divBdr>
                    <w:top w:val="none" w:sz="0" w:space="0" w:color="auto"/>
                    <w:left w:val="none" w:sz="0" w:space="0" w:color="auto"/>
                    <w:bottom w:val="none" w:sz="0" w:space="0" w:color="auto"/>
                    <w:right w:val="none" w:sz="0" w:space="0" w:color="auto"/>
                  </w:divBdr>
                  <w:divsChild>
                    <w:div w:id="389378704">
                      <w:marLeft w:val="0"/>
                      <w:marRight w:val="0"/>
                      <w:marTop w:val="0"/>
                      <w:marBottom w:val="0"/>
                      <w:divBdr>
                        <w:top w:val="none" w:sz="0" w:space="0" w:color="auto"/>
                        <w:left w:val="none" w:sz="0" w:space="0" w:color="auto"/>
                        <w:bottom w:val="none" w:sz="0" w:space="0" w:color="auto"/>
                        <w:right w:val="none" w:sz="0" w:space="0" w:color="auto"/>
                      </w:divBdr>
                    </w:div>
                  </w:divsChild>
                </w:div>
                <w:div w:id="403340016">
                  <w:marLeft w:val="0"/>
                  <w:marRight w:val="0"/>
                  <w:marTop w:val="0"/>
                  <w:marBottom w:val="0"/>
                  <w:divBdr>
                    <w:top w:val="none" w:sz="0" w:space="0" w:color="auto"/>
                    <w:left w:val="none" w:sz="0" w:space="0" w:color="auto"/>
                    <w:bottom w:val="none" w:sz="0" w:space="0" w:color="auto"/>
                    <w:right w:val="none" w:sz="0" w:space="0" w:color="auto"/>
                  </w:divBdr>
                  <w:divsChild>
                    <w:div w:id="332998399">
                      <w:marLeft w:val="0"/>
                      <w:marRight w:val="0"/>
                      <w:marTop w:val="0"/>
                      <w:marBottom w:val="0"/>
                      <w:divBdr>
                        <w:top w:val="none" w:sz="0" w:space="0" w:color="auto"/>
                        <w:left w:val="none" w:sz="0" w:space="0" w:color="auto"/>
                        <w:bottom w:val="none" w:sz="0" w:space="0" w:color="auto"/>
                        <w:right w:val="none" w:sz="0" w:space="0" w:color="auto"/>
                      </w:divBdr>
                    </w:div>
                  </w:divsChild>
                </w:div>
                <w:div w:id="456072981">
                  <w:marLeft w:val="0"/>
                  <w:marRight w:val="0"/>
                  <w:marTop w:val="0"/>
                  <w:marBottom w:val="0"/>
                  <w:divBdr>
                    <w:top w:val="none" w:sz="0" w:space="0" w:color="auto"/>
                    <w:left w:val="none" w:sz="0" w:space="0" w:color="auto"/>
                    <w:bottom w:val="none" w:sz="0" w:space="0" w:color="auto"/>
                    <w:right w:val="none" w:sz="0" w:space="0" w:color="auto"/>
                  </w:divBdr>
                  <w:divsChild>
                    <w:div w:id="1348944071">
                      <w:marLeft w:val="0"/>
                      <w:marRight w:val="0"/>
                      <w:marTop w:val="0"/>
                      <w:marBottom w:val="0"/>
                      <w:divBdr>
                        <w:top w:val="none" w:sz="0" w:space="0" w:color="auto"/>
                        <w:left w:val="none" w:sz="0" w:space="0" w:color="auto"/>
                        <w:bottom w:val="none" w:sz="0" w:space="0" w:color="auto"/>
                        <w:right w:val="none" w:sz="0" w:space="0" w:color="auto"/>
                      </w:divBdr>
                    </w:div>
                  </w:divsChild>
                </w:div>
                <w:div w:id="462122215">
                  <w:marLeft w:val="0"/>
                  <w:marRight w:val="0"/>
                  <w:marTop w:val="0"/>
                  <w:marBottom w:val="0"/>
                  <w:divBdr>
                    <w:top w:val="none" w:sz="0" w:space="0" w:color="auto"/>
                    <w:left w:val="none" w:sz="0" w:space="0" w:color="auto"/>
                    <w:bottom w:val="none" w:sz="0" w:space="0" w:color="auto"/>
                    <w:right w:val="none" w:sz="0" w:space="0" w:color="auto"/>
                  </w:divBdr>
                  <w:divsChild>
                    <w:div w:id="1424182054">
                      <w:marLeft w:val="0"/>
                      <w:marRight w:val="0"/>
                      <w:marTop w:val="0"/>
                      <w:marBottom w:val="0"/>
                      <w:divBdr>
                        <w:top w:val="none" w:sz="0" w:space="0" w:color="auto"/>
                        <w:left w:val="none" w:sz="0" w:space="0" w:color="auto"/>
                        <w:bottom w:val="none" w:sz="0" w:space="0" w:color="auto"/>
                        <w:right w:val="none" w:sz="0" w:space="0" w:color="auto"/>
                      </w:divBdr>
                    </w:div>
                  </w:divsChild>
                </w:div>
                <w:div w:id="476647690">
                  <w:marLeft w:val="0"/>
                  <w:marRight w:val="0"/>
                  <w:marTop w:val="0"/>
                  <w:marBottom w:val="0"/>
                  <w:divBdr>
                    <w:top w:val="none" w:sz="0" w:space="0" w:color="auto"/>
                    <w:left w:val="none" w:sz="0" w:space="0" w:color="auto"/>
                    <w:bottom w:val="none" w:sz="0" w:space="0" w:color="auto"/>
                    <w:right w:val="none" w:sz="0" w:space="0" w:color="auto"/>
                  </w:divBdr>
                  <w:divsChild>
                    <w:div w:id="63265739">
                      <w:marLeft w:val="0"/>
                      <w:marRight w:val="0"/>
                      <w:marTop w:val="0"/>
                      <w:marBottom w:val="0"/>
                      <w:divBdr>
                        <w:top w:val="none" w:sz="0" w:space="0" w:color="auto"/>
                        <w:left w:val="none" w:sz="0" w:space="0" w:color="auto"/>
                        <w:bottom w:val="none" w:sz="0" w:space="0" w:color="auto"/>
                        <w:right w:val="none" w:sz="0" w:space="0" w:color="auto"/>
                      </w:divBdr>
                    </w:div>
                    <w:div w:id="470175583">
                      <w:marLeft w:val="0"/>
                      <w:marRight w:val="0"/>
                      <w:marTop w:val="0"/>
                      <w:marBottom w:val="0"/>
                      <w:divBdr>
                        <w:top w:val="none" w:sz="0" w:space="0" w:color="auto"/>
                        <w:left w:val="none" w:sz="0" w:space="0" w:color="auto"/>
                        <w:bottom w:val="none" w:sz="0" w:space="0" w:color="auto"/>
                        <w:right w:val="none" w:sz="0" w:space="0" w:color="auto"/>
                      </w:divBdr>
                    </w:div>
                  </w:divsChild>
                </w:div>
                <w:div w:id="528225889">
                  <w:marLeft w:val="0"/>
                  <w:marRight w:val="0"/>
                  <w:marTop w:val="0"/>
                  <w:marBottom w:val="0"/>
                  <w:divBdr>
                    <w:top w:val="none" w:sz="0" w:space="0" w:color="auto"/>
                    <w:left w:val="none" w:sz="0" w:space="0" w:color="auto"/>
                    <w:bottom w:val="none" w:sz="0" w:space="0" w:color="auto"/>
                    <w:right w:val="none" w:sz="0" w:space="0" w:color="auto"/>
                  </w:divBdr>
                  <w:divsChild>
                    <w:div w:id="1748527329">
                      <w:marLeft w:val="0"/>
                      <w:marRight w:val="0"/>
                      <w:marTop w:val="0"/>
                      <w:marBottom w:val="0"/>
                      <w:divBdr>
                        <w:top w:val="none" w:sz="0" w:space="0" w:color="auto"/>
                        <w:left w:val="none" w:sz="0" w:space="0" w:color="auto"/>
                        <w:bottom w:val="none" w:sz="0" w:space="0" w:color="auto"/>
                        <w:right w:val="none" w:sz="0" w:space="0" w:color="auto"/>
                      </w:divBdr>
                    </w:div>
                  </w:divsChild>
                </w:div>
                <w:div w:id="545483884">
                  <w:marLeft w:val="0"/>
                  <w:marRight w:val="0"/>
                  <w:marTop w:val="0"/>
                  <w:marBottom w:val="0"/>
                  <w:divBdr>
                    <w:top w:val="none" w:sz="0" w:space="0" w:color="auto"/>
                    <w:left w:val="none" w:sz="0" w:space="0" w:color="auto"/>
                    <w:bottom w:val="none" w:sz="0" w:space="0" w:color="auto"/>
                    <w:right w:val="none" w:sz="0" w:space="0" w:color="auto"/>
                  </w:divBdr>
                  <w:divsChild>
                    <w:div w:id="1697270600">
                      <w:marLeft w:val="0"/>
                      <w:marRight w:val="0"/>
                      <w:marTop w:val="0"/>
                      <w:marBottom w:val="0"/>
                      <w:divBdr>
                        <w:top w:val="none" w:sz="0" w:space="0" w:color="auto"/>
                        <w:left w:val="none" w:sz="0" w:space="0" w:color="auto"/>
                        <w:bottom w:val="none" w:sz="0" w:space="0" w:color="auto"/>
                        <w:right w:val="none" w:sz="0" w:space="0" w:color="auto"/>
                      </w:divBdr>
                    </w:div>
                  </w:divsChild>
                </w:div>
                <w:div w:id="750662575">
                  <w:marLeft w:val="0"/>
                  <w:marRight w:val="0"/>
                  <w:marTop w:val="0"/>
                  <w:marBottom w:val="0"/>
                  <w:divBdr>
                    <w:top w:val="none" w:sz="0" w:space="0" w:color="auto"/>
                    <w:left w:val="none" w:sz="0" w:space="0" w:color="auto"/>
                    <w:bottom w:val="none" w:sz="0" w:space="0" w:color="auto"/>
                    <w:right w:val="none" w:sz="0" w:space="0" w:color="auto"/>
                  </w:divBdr>
                  <w:divsChild>
                    <w:div w:id="1678732577">
                      <w:marLeft w:val="0"/>
                      <w:marRight w:val="0"/>
                      <w:marTop w:val="0"/>
                      <w:marBottom w:val="0"/>
                      <w:divBdr>
                        <w:top w:val="none" w:sz="0" w:space="0" w:color="auto"/>
                        <w:left w:val="none" w:sz="0" w:space="0" w:color="auto"/>
                        <w:bottom w:val="none" w:sz="0" w:space="0" w:color="auto"/>
                        <w:right w:val="none" w:sz="0" w:space="0" w:color="auto"/>
                      </w:divBdr>
                    </w:div>
                  </w:divsChild>
                </w:div>
                <w:div w:id="762186988">
                  <w:marLeft w:val="0"/>
                  <w:marRight w:val="0"/>
                  <w:marTop w:val="0"/>
                  <w:marBottom w:val="0"/>
                  <w:divBdr>
                    <w:top w:val="none" w:sz="0" w:space="0" w:color="auto"/>
                    <w:left w:val="none" w:sz="0" w:space="0" w:color="auto"/>
                    <w:bottom w:val="none" w:sz="0" w:space="0" w:color="auto"/>
                    <w:right w:val="none" w:sz="0" w:space="0" w:color="auto"/>
                  </w:divBdr>
                  <w:divsChild>
                    <w:div w:id="908226359">
                      <w:marLeft w:val="0"/>
                      <w:marRight w:val="0"/>
                      <w:marTop w:val="0"/>
                      <w:marBottom w:val="0"/>
                      <w:divBdr>
                        <w:top w:val="none" w:sz="0" w:space="0" w:color="auto"/>
                        <w:left w:val="none" w:sz="0" w:space="0" w:color="auto"/>
                        <w:bottom w:val="none" w:sz="0" w:space="0" w:color="auto"/>
                        <w:right w:val="none" w:sz="0" w:space="0" w:color="auto"/>
                      </w:divBdr>
                    </w:div>
                  </w:divsChild>
                </w:div>
                <w:div w:id="766652335">
                  <w:marLeft w:val="0"/>
                  <w:marRight w:val="0"/>
                  <w:marTop w:val="0"/>
                  <w:marBottom w:val="0"/>
                  <w:divBdr>
                    <w:top w:val="none" w:sz="0" w:space="0" w:color="auto"/>
                    <w:left w:val="none" w:sz="0" w:space="0" w:color="auto"/>
                    <w:bottom w:val="none" w:sz="0" w:space="0" w:color="auto"/>
                    <w:right w:val="none" w:sz="0" w:space="0" w:color="auto"/>
                  </w:divBdr>
                  <w:divsChild>
                    <w:div w:id="1477062730">
                      <w:marLeft w:val="0"/>
                      <w:marRight w:val="0"/>
                      <w:marTop w:val="0"/>
                      <w:marBottom w:val="0"/>
                      <w:divBdr>
                        <w:top w:val="none" w:sz="0" w:space="0" w:color="auto"/>
                        <w:left w:val="none" w:sz="0" w:space="0" w:color="auto"/>
                        <w:bottom w:val="none" w:sz="0" w:space="0" w:color="auto"/>
                        <w:right w:val="none" w:sz="0" w:space="0" w:color="auto"/>
                      </w:divBdr>
                    </w:div>
                  </w:divsChild>
                </w:div>
                <w:div w:id="814372941">
                  <w:marLeft w:val="0"/>
                  <w:marRight w:val="0"/>
                  <w:marTop w:val="0"/>
                  <w:marBottom w:val="0"/>
                  <w:divBdr>
                    <w:top w:val="none" w:sz="0" w:space="0" w:color="auto"/>
                    <w:left w:val="none" w:sz="0" w:space="0" w:color="auto"/>
                    <w:bottom w:val="none" w:sz="0" w:space="0" w:color="auto"/>
                    <w:right w:val="none" w:sz="0" w:space="0" w:color="auto"/>
                  </w:divBdr>
                  <w:divsChild>
                    <w:div w:id="1066415859">
                      <w:marLeft w:val="0"/>
                      <w:marRight w:val="0"/>
                      <w:marTop w:val="0"/>
                      <w:marBottom w:val="0"/>
                      <w:divBdr>
                        <w:top w:val="none" w:sz="0" w:space="0" w:color="auto"/>
                        <w:left w:val="none" w:sz="0" w:space="0" w:color="auto"/>
                        <w:bottom w:val="none" w:sz="0" w:space="0" w:color="auto"/>
                        <w:right w:val="none" w:sz="0" w:space="0" w:color="auto"/>
                      </w:divBdr>
                    </w:div>
                  </w:divsChild>
                </w:div>
                <w:div w:id="938562479">
                  <w:marLeft w:val="0"/>
                  <w:marRight w:val="0"/>
                  <w:marTop w:val="0"/>
                  <w:marBottom w:val="0"/>
                  <w:divBdr>
                    <w:top w:val="none" w:sz="0" w:space="0" w:color="auto"/>
                    <w:left w:val="none" w:sz="0" w:space="0" w:color="auto"/>
                    <w:bottom w:val="none" w:sz="0" w:space="0" w:color="auto"/>
                    <w:right w:val="none" w:sz="0" w:space="0" w:color="auto"/>
                  </w:divBdr>
                  <w:divsChild>
                    <w:div w:id="1442646802">
                      <w:marLeft w:val="0"/>
                      <w:marRight w:val="0"/>
                      <w:marTop w:val="0"/>
                      <w:marBottom w:val="0"/>
                      <w:divBdr>
                        <w:top w:val="none" w:sz="0" w:space="0" w:color="auto"/>
                        <w:left w:val="none" w:sz="0" w:space="0" w:color="auto"/>
                        <w:bottom w:val="none" w:sz="0" w:space="0" w:color="auto"/>
                        <w:right w:val="none" w:sz="0" w:space="0" w:color="auto"/>
                      </w:divBdr>
                    </w:div>
                  </w:divsChild>
                </w:div>
                <w:div w:id="952638428">
                  <w:marLeft w:val="0"/>
                  <w:marRight w:val="0"/>
                  <w:marTop w:val="0"/>
                  <w:marBottom w:val="0"/>
                  <w:divBdr>
                    <w:top w:val="none" w:sz="0" w:space="0" w:color="auto"/>
                    <w:left w:val="none" w:sz="0" w:space="0" w:color="auto"/>
                    <w:bottom w:val="none" w:sz="0" w:space="0" w:color="auto"/>
                    <w:right w:val="none" w:sz="0" w:space="0" w:color="auto"/>
                  </w:divBdr>
                  <w:divsChild>
                    <w:div w:id="747338532">
                      <w:marLeft w:val="0"/>
                      <w:marRight w:val="0"/>
                      <w:marTop w:val="0"/>
                      <w:marBottom w:val="0"/>
                      <w:divBdr>
                        <w:top w:val="none" w:sz="0" w:space="0" w:color="auto"/>
                        <w:left w:val="none" w:sz="0" w:space="0" w:color="auto"/>
                        <w:bottom w:val="none" w:sz="0" w:space="0" w:color="auto"/>
                        <w:right w:val="none" w:sz="0" w:space="0" w:color="auto"/>
                      </w:divBdr>
                    </w:div>
                  </w:divsChild>
                </w:div>
                <w:div w:id="962878936">
                  <w:marLeft w:val="0"/>
                  <w:marRight w:val="0"/>
                  <w:marTop w:val="0"/>
                  <w:marBottom w:val="0"/>
                  <w:divBdr>
                    <w:top w:val="none" w:sz="0" w:space="0" w:color="auto"/>
                    <w:left w:val="none" w:sz="0" w:space="0" w:color="auto"/>
                    <w:bottom w:val="none" w:sz="0" w:space="0" w:color="auto"/>
                    <w:right w:val="none" w:sz="0" w:space="0" w:color="auto"/>
                  </w:divBdr>
                  <w:divsChild>
                    <w:div w:id="1781877356">
                      <w:marLeft w:val="0"/>
                      <w:marRight w:val="0"/>
                      <w:marTop w:val="0"/>
                      <w:marBottom w:val="0"/>
                      <w:divBdr>
                        <w:top w:val="none" w:sz="0" w:space="0" w:color="auto"/>
                        <w:left w:val="none" w:sz="0" w:space="0" w:color="auto"/>
                        <w:bottom w:val="none" w:sz="0" w:space="0" w:color="auto"/>
                        <w:right w:val="none" w:sz="0" w:space="0" w:color="auto"/>
                      </w:divBdr>
                    </w:div>
                  </w:divsChild>
                </w:div>
                <w:div w:id="1002851446">
                  <w:marLeft w:val="0"/>
                  <w:marRight w:val="0"/>
                  <w:marTop w:val="0"/>
                  <w:marBottom w:val="0"/>
                  <w:divBdr>
                    <w:top w:val="none" w:sz="0" w:space="0" w:color="auto"/>
                    <w:left w:val="none" w:sz="0" w:space="0" w:color="auto"/>
                    <w:bottom w:val="none" w:sz="0" w:space="0" w:color="auto"/>
                    <w:right w:val="none" w:sz="0" w:space="0" w:color="auto"/>
                  </w:divBdr>
                  <w:divsChild>
                    <w:div w:id="1556700705">
                      <w:marLeft w:val="0"/>
                      <w:marRight w:val="0"/>
                      <w:marTop w:val="0"/>
                      <w:marBottom w:val="0"/>
                      <w:divBdr>
                        <w:top w:val="none" w:sz="0" w:space="0" w:color="auto"/>
                        <w:left w:val="none" w:sz="0" w:space="0" w:color="auto"/>
                        <w:bottom w:val="none" w:sz="0" w:space="0" w:color="auto"/>
                        <w:right w:val="none" w:sz="0" w:space="0" w:color="auto"/>
                      </w:divBdr>
                    </w:div>
                  </w:divsChild>
                </w:div>
                <w:div w:id="1042944773">
                  <w:marLeft w:val="0"/>
                  <w:marRight w:val="0"/>
                  <w:marTop w:val="0"/>
                  <w:marBottom w:val="0"/>
                  <w:divBdr>
                    <w:top w:val="none" w:sz="0" w:space="0" w:color="auto"/>
                    <w:left w:val="none" w:sz="0" w:space="0" w:color="auto"/>
                    <w:bottom w:val="none" w:sz="0" w:space="0" w:color="auto"/>
                    <w:right w:val="none" w:sz="0" w:space="0" w:color="auto"/>
                  </w:divBdr>
                  <w:divsChild>
                    <w:div w:id="1756852634">
                      <w:marLeft w:val="0"/>
                      <w:marRight w:val="0"/>
                      <w:marTop w:val="0"/>
                      <w:marBottom w:val="0"/>
                      <w:divBdr>
                        <w:top w:val="none" w:sz="0" w:space="0" w:color="auto"/>
                        <w:left w:val="none" w:sz="0" w:space="0" w:color="auto"/>
                        <w:bottom w:val="none" w:sz="0" w:space="0" w:color="auto"/>
                        <w:right w:val="none" w:sz="0" w:space="0" w:color="auto"/>
                      </w:divBdr>
                    </w:div>
                  </w:divsChild>
                </w:div>
                <w:div w:id="1046102424">
                  <w:marLeft w:val="0"/>
                  <w:marRight w:val="0"/>
                  <w:marTop w:val="0"/>
                  <w:marBottom w:val="0"/>
                  <w:divBdr>
                    <w:top w:val="none" w:sz="0" w:space="0" w:color="auto"/>
                    <w:left w:val="none" w:sz="0" w:space="0" w:color="auto"/>
                    <w:bottom w:val="none" w:sz="0" w:space="0" w:color="auto"/>
                    <w:right w:val="none" w:sz="0" w:space="0" w:color="auto"/>
                  </w:divBdr>
                  <w:divsChild>
                    <w:div w:id="1594783751">
                      <w:marLeft w:val="0"/>
                      <w:marRight w:val="0"/>
                      <w:marTop w:val="0"/>
                      <w:marBottom w:val="0"/>
                      <w:divBdr>
                        <w:top w:val="none" w:sz="0" w:space="0" w:color="auto"/>
                        <w:left w:val="none" w:sz="0" w:space="0" w:color="auto"/>
                        <w:bottom w:val="none" w:sz="0" w:space="0" w:color="auto"/>
                        <w:right w:val="none" w:sz="0" w:space="0" w:color="auto"/>
                      </w:divBdr>
                    </w:div>
                  </w:divsChild>
                </w:div>
                <w:div w:id="1064596630">
                  <w:marLeft w:val="0"/>
                  <w:marRight w:val="0"/>
                  <w:marTop w:val="0"/>
                  <w:marBottom w:val="0"/>
                  <w:divBdr>
                    <w:top w:val="none" w:sz="0" w:space="0" w:color="auto"/>
                    <w:left w:val="none" w:sz="0" w:space="0" w:color="auto"/>
                    <w:bottom w:val="none" w:sz="0" w:space="0" w:color="auto"/>
                    <w:right w:val="none" w:sz="0" w:space="0" w:color="auto"/>
                  </w:divBdr>
                  <w:divsChild>
                    <w:div w:id="419370551">
                      <w:marLeft w:val="0"/>
                      <w:marRight w:val="0"/>
                      <w:marTop w:val="0"/>
                      <w:marBottom w:val="0"/>
                      <w:divBdr>
                        <w:top w:val="none" w:sz="0" w:space="0" w:color="auto"/>
                        <w:left w:val="none" w:sz="0" w:space="0" w:color="auto"/>
                        <w:bottom w:val="none" w:sz="0" w:space="0" w:color="auto"/>
                        <w:right w:val="none" w:sz="0" w:space="0" w:color="auto"/>
                      </w:divBdr>
                    </w:div>
                  </w:divsChild>
                </w:div>
                <w:div w:id="1090078810">
                  <w:marLeft w:val="0"/>
                  <w:marRight w:val="0"/>
                  <w:marTop w:val="0"/>
                  <w:marBottom w:val="0"/>
                  <w:divBdr>
                    <w:top w:val="none" w:sz="0" w:space="0" w:color="auto"/>
                    <w:left w:val="none" w:sz="0" w:space="0" w:color="auto"/>
                    <w:bottom w:val="none" w:sz="0" w:space="0" w:color="auto"/>
                    <w:right w:val="none" w:sz="0" w:space="0" w:color="auto"/>
                  </w:divBdr>
                  <w:divsChild>
                    <w:div w:id="270170002">
                      <w:marLeft w:val="0"/>
                      <w:marRight w:val="0"/>
                      <w:marTop w:val="0"/>
                      <w:marBottom w:val="0"/>
                      <w:divBdr>
                        <w:top w:val="none" w:sz="0" w:space="0" w:color="auto"/>
                        <w:left w:val="none" w:sz="0" w:space="0" w:color="auto"/>
                        <w:bottom w:val="none" w:sz="0" w:space="0" w:color="auto"/>
                        <w:right w:val="none" w:sz="0" w:space="0" w:color="auto"/>
                      </w:divBdr>
                    </w:div>
                  </w:divsChild>
                </w:div>
                <w:div w:id="1127813629">
                  <w:marLeft w:val="0"/>
                  <w:marRight w:val="0"/>
                  <w:marTop w:val="0"/>
                  <w:marBottom w:val="0"/>
                  <w:divBdr>
                    <w:top w:val="none" w:sz="0" w:space="0" w:color="auto"/>
                    <w:left w:val="none" w:sz="0" w:space="0" w:color="auto"/>
                    <w:bottom w:val="none" w:sz="0" w:space="0" w:color="auto"/>
                    <w:right w:val="none" w:sz="0" w:space="0" w:color="auto"/>
                  </w:divBdr>
                  <w:divsChild>
                    <w:div w:id="514271086">
                      <w:marLeft w:val="0"/>
                      <w:marRight w:val="0"/>
                      <w:marTop w:val="0"/>
                      <w:marBottom w:val="0"/>
                      <w:divBdr>
                        <w:top w:val="none" w:sz="0" w:space="0" w:color="auto"/>
                        <w:left w:val="none" w:sz="0" w:space="0" w:color="auto"/>
                        <w:bottom w:val="none" w:sz="0" w:space="0" w:color="auto"/>
                        <w:right w:val="none" w:sz="0" w:space="0" w:color="auto"/>
                      </w:divBdr>
                    </w:div>
                  </w:divsChild>
                </w:div>
                <w:div w:id="1185828337">
                  <w:marLeft w:val="0"/>
                  <w:marRight w:val="0"/>
                  <w:marTop w:val="0"/>
                  <w:marBottom w:val="0"/>
                  <w:divBdr>
                    <w:top w:val="none" w:sz="0" w:space="0" w:color="auto"/>
                    <w:left w:val="none" w:sz="0" w:space="0" w:color="auto"/>
                    <w:bottom w:val="none" w:sz="0" w:space="0" w:color="auto"/>
                    <w:right w:val="none" w:sz="0" w:space="0" w:color="auto"/>
                  </w:divBdr>
                  <w:divsChild>
                    <w:div w:id="1901288149">
                      <w:marLeft w:val="0"/>
                      <w:marRight w:val="0"/>
                      <w:marTop w:val="0"/>
                      <w:marBottom w:val="0"/>
                      <w:divBdr>
                        <w:top w:val="none" w:sz="0" w:space="0" w:color="auto"/>
                        <w:left w:val="none" w:sz="0" w:space="0" w:color="auto"/>
                        <w:bottom w:val="none" w:sz="0" w:space="0" w:color="auto"/>
                        <w:right w:val="none" w:sz="0" w:space="0" w:color="auto"/>
                      </w:divBdr>
                    </w:div>
                  </w:divsChild>
                </w:div>
                <w:div w:id="1192189613">
                  <w:marLeft w:val="0"/>
                  <w:marRight w:val="0"/>
                  <w:marTop w:val="0"/>
                  <w:marBottom w:val="0"/>
                  <w:divBdr>
                    <w:top w:val="none" w:sz="0" w:space="0" w:color="auto"/>
                    <w:left w:val="none" w:sz="0" w:space="0" w:color="auto"/>
                    <w:bottom w:val="none" w:sz="0" w:space="0" w:color="auto"/>
                    <w:right w:val="none" w:sz="0" w:space="0" w:color="auto"/>
                  </w:divBdr>
                  <w:divsChild>
                    <w:div w:id="823930928">
                      <w:marLeft w:val="0"/>
                      <w:marRight w:val="0"/>
                      <w:marTop w:val="0"/>
                      <w:marBottom w:val="0"/>
                      <w:divBdr>
                        <w:top w:val="none" w:sz="0" w:space="0" w:color="auto"/>
                        <w:left w:val="none" w:sz="0" w:space="0" w:color="auto"/>
                        <w:bottom w:val="none" w:sz="0" w:space="0" w:color="auto"/>
                        <w:right w:val="none" w:sz="0" w:space="0" w:color="auto"/>
                      </w:divBdr>
                    </w:div>
                  </w:divsChild>
                </w:div>
                <w:div w:id="1279608733">
                  <w:marLeft w:val="0"/>
                  <w:marRight w:val="0"/>
                  <w:marTop w:val="0"/>
                  <w:marBottom w:val="0"/>
                  <w:divBdr>
                    <w:top w:val="none" w:sz="0" w:space="0" w:color="auto"/>
                    <w:left w:val="none" w:sz="0" w:space="0" w:color="auto"/>
                    <w:bottom w:val="none" w:sz="0" w:space="0" w:color="auto"/>
                    <w:right w:val="none" w:sz="0" w:space="0" w:color="auto"/>
                  </w:divBdr>
                  <w:divsChild>
                    <w:div w:id="1344094505">
                      <w:marLeft w:val="0"/>
                      <w:marRight w:val="0"/>
                      <w:marTop w:val="0"/>
                      <w:marBottom w:val="0"/>
                      <w:divBdr>
                        <w:top w:val="none" w:sz="0" w:space="0" w:color="auto"/>
                        <w:left w:val="none" w:sz="0" w:space="0" w:color="auto"/>
                        <w:bottom w:val="none" w:sz="0" w:space="0" w:color="auto"/>
                        <w:right w:val="none" w:sz="0" w:space="0" w:color="auto"/>
                      </w:divBdr>
                    </w:div>
                  </w:divsChild>
                </w:div>
                <w:div w:id="1285649859">
                  <w:marLeft w:val="0"/>
                  <w:marRight w:val="0"/>
                  <w:marTop w:val="0"/>
                  <w:marBottom w:val="0"/>
                  <w:divBdr>
                    <w:top w:val="none" w:sz="0" w:space="0" w:color="auto"/>
                    <w:left w:val="none" w:sz="0" w:space="0" w:color="auto"/>
                    <w:bottom w:val="none" w:sz="0" w:space="0" w:color="auto"/>
                    <w:right w:val="none" w:sz="0" w:space="0" w:color="auto"/>
                  </w:divBdr>
                  <w:divsChild>
                    <w:div w:id="1249196144">
                      <w:marLeft w:val="0"/>
                      <w:marRight w:val="0"/>
                      <w:marTop w:val="0"/>
                      <w:marBottom w:val="0"/>
                      <w:divBdr>
                        <w:top w:val="none" w:sz="0" w:space="0" w:color="auto"/>
                        <w:left w:val="none" w:sz="0" w:space="0" w:color="auto"/>
                        <w:bottom w:val="none" w:sz="0" w:space="0" w:color="auto"/>
                        <w:right w:val="none" w:sz="0" w:space="0" w:color="auto"/>
                      </w:divBdr>
                    </w:div>
                  </w:divsChild>
                </w:div>
                <w:div w:id="1304046367">
                  <w:marLeft w:val="0"/>
                  <w:marRight w:val="0"/>
                  <w:marTop w:val="0"/>
                  <w:marBottom w:val="0"/>
                  <w:divBdr>
                    <w:top w:val="none" w:sz="0" w:space="0" w:color="auto"/>
                    <w:left w:val="none" w:sz="0" w:space="0" w:color="auto"/>
                    <w:bottom w:val="none" w:sz="0" w:space="0" w:color="auto"/>
                    <w:right w:val="none" w:sz="0" w:space="0" w:color="auto"/>
                  </w:divBdr>
                  <w:divsChild>
                    <w:div w:id="999503577">
                      <w:marLeft w:val="0"/>
                      <w:marRight w:val="0"/>
                      <w:marTop w:val="0"/>
                      <w:marBottom w:val="0"/>
                      <w:divBdr>
                        <w:top w:val="none" w:sz="0" w:space="0" w:color="auto"/>
                        <w:left w:val="none" w:sz="0" w:space="0" w:color="auto"/>
                        <w:bottom w:val="none" w:sz="0" w:space="0" w:color="auto"/>
                        <w:right w:val="none" w:sz="0" w:space="0" w:color="auto"/>
                      </w:divBdr>
                    </w:div>
                  </w:divsChild>
                </w:div>
                <w:div w:id="1308122655">
                  <w:marLeft w:val="0"/>
                  <w:marRight w:val="0"/>
                  <w:marTop w:val="0"/>
                  <w:marBottom w:val="0"/>
                  <w:divBdr>
                    <w:top w:val="none" w:sz="0" w:space="0" w:color="auto"/>
                    <w:left w:val="none" w:sz="0" w:space="0" w:color="auto"/>
                    <w:bottom w:val="none" w:sz="0" w:space="0" w:color="auto"/>
                    <w:right w:val="none" w:sz="0" w:space="0" w:color="auto"/>
                  </w:divBdr>
                  <w:divsChild>
                    <w:div w:id="1346397790">
                      <w:marLeft w:val="0"/>
                      <w:marRight w:val="0"/>
                      <w:marTop w:val="0"/>
                      <w:marBottom w:val="0"/>
                      <w:divBdr>
                        <w:top w:val="none" w:sz="0" w:space="0" w:color="auto"/>
                        <w:left w:val="none" w:sz="0" w:space="0" w:color="auto"/>
                        <w:bottom w:val="none" w:sz="0" w:space="0" w:color="auto"/>
                        <w:right w:val="none" w:sz="0" w:space="0" w:color="auto"/>
                      </w:divBdr>
                    </w:div>
                  </w:divsChild>
                </w:div>
                <w:div w:id="1330907459">
                  <w:marLeft w:val="0"/>
                  <w:marRight w:val="0"/>
                  <w:marTop w:val="0"/>
                  <w:marBottom w:val="0"/>
                  <w:divBdr>
                    <w:top w:val="none" w:sz="0" w:space="0" w:color="auto"/>
                    <w:left w:val="none" w:sz="0" w:space="0" w:color="auto"/>
                    <w:bottom w:val="none" w:sz="0" w:space="0" w:color="auto"/>
                    <w:right w:val="none" w:sz="0" w:space="0" w:color="auto"/>
                  </w:divBdr>
                  <w:divsChild>
                    <w:div w:id="1962684358">
                      <w:marLeft w:val="0"/>
                      <w:marRight w:val="0"/>
                      <w:marTop w:val="0"/>
                      <w:marBottom w:val="0"/>
                      <w:divBdr>
                        <w:top w:val="none" w:sz="0" w:space="0" w:color="auto"/>
                        <w:left w:val="none" w:sz="0" w:space="0" w:color="auto"/>
                        <w:bottom w:val="none" w:sz="0" w:space="0" w:color="auto"/>
                        <w:right w:val="none" w:sz="0" w:space="0" w:color="auto"/>
                      </w:divBdr>
                    </w:div>
                  </w:divsChild>
                </w:div>
                <w:div w:id="1488279632">
                  <w:marLeft w:val="0"/>
                  <w:marRight w:val="0"/>
                  <w:marTop w:val="0"/>
                  <w:marBottom w:val="0"/>
                  <w:divBdr>
                    <w:top w:val="none" w:sz="0" w:space="0" w:color="auto"/>
                    <w:left w:val="none" w:sz="0" w:space="0" w:color="auto"/>
                    <w:bottom w:val="none" w:sz="0" w:space="0" w:color="auto"/>
                    <w:right w:val="none" w:sz="0" w:space="0" w:color="auto"/>
                  </w:divBdr>
                  <w:divsChild>
                    <w:div w:id="1109854204">
                      <w:marLeft w:val="0"/>
                      <w:marRight w:val="0"/>
                      <w:marTop w:val="0"/>
                      <w:marBottom w:val="0"/>
                      <w:divBdr>
                        <w:top w:val="none" w:sz="0" w:space="0" w:color="auto"/>
                        <w:left w:val="none" w:sz="0" w:space="0" w:color="auto"/>
                        <w:bottom w:val="none" w:sz="0" w:space="0" w:color="auto"/>
                        <w:right w:val="none" w:sz="0" w:space="0" w:color="auto"/>
                      </w:divBdr>
                    </w:div>
                  </w:divsChild>
                </w:div>
                <w:div w:id="1496605492">
                  <w:marLeft w:val="0"/>
                  <w:marRight w:val="0"/>
                  <w:marTop w:val="0"/>
                  <w:marBottom w:val="0"/>
                  <w:divBdr>
                    <w:top w:val="none" w:sz="0" w:space="0" w:color="auto"/>
                    <w:left w:val="none" w:sz="0" w:space="0" w:color="auto"/>
                    <w:bottom w:val="none" w:sz="0" w:space="0" w:color="auto"/>
                    <w:right w:val="none" w:sz="0" w:space="0" w:color="auto"/>
                  </w:divBdr>
                  <w:divsChild>
                    <w:div w:id="1803620856">
                      <w:marLeft w:val="0"/>
                      <w:marRight w:val="0"/>
                      <w:marTop w:val="0"/>
                      <w:marBottom w:val="0"/>
                      <w:divBdr>
                        <w:top w:val="none" w:sz="0" w:space="0" w:color="auto"/>
                        <w:left w:val="none" w:sz="0" w:space="0" w:color="auto"/>
                        <w:bottom w:val="none" w:sz="0" w:space="0" w:color="auto"/>
                        <w:right w:val="none" w:sz="0" w:space="0" w:color="auto"/>
                      </w:divBdr>
                    </w:div>
                  </w:divsChild>
                </w:div>
                <w:div w:id="1594163729">
                  <w:marLeft w:val="0"/>
                  <w:marRight w:val="0"/>
                  <w:marTop w:val="0"/>
                  <w:marBottom w:val="0"/>
                  <w:divBdr>
                    <w:top w:val="none" w:sz="0" w:space="0" w:color="auto"/>
                    <w:left w:val="none" w:sz="0" w:space="0" w:color="auto"/>
                    <w:bottom w:val="none" w:sz="0" w:space="0" w:color="auto"/>
                    <w:right w:val="none" w:sz="0" w:space="0" w:color="auto"/>
                  </w:divBdr>
                  <w:divsChild>
                    <w:div w:id="1119683790">
                      <w:marLeft w:val="0"/>
                      <w:marRight w:val="0"/>
                      <w:marTop w:val="0"/>
                      <w:marBottom w:val="0"/>
                      <w:divBdr>
                        <w:top w:val="none" w:sz="0" w:space="0" w:color="auto"/>
                        <w:left w:val="none" w:sz="0" w:space="0" w:color="auto"/>
                        <w:bottom w:val="none" w:sz="0" w:space="0" w:color="auto"/>
                        <w:right w:val="none" w:sz="0" w:space="0" w:color="auto"/>
                      </w:divBdr>
                    </w:div>
                  </w:divsChild>
                </w:div>
                <w:div w:id="1744720492">
                  <w:marLeft w:val="0"/>
                  <w:marRight w:val="0"/>
                  <w:marTop w:val="0"/>
                  <w:marBottom w:val="0"/>
                  <w:divBdr>
                    <w:top w:val="none" w:sz="0" w:space="0" w:color="auto"/>
                    <w:left w:val="none" w:sz="0" w:space="0" w:color="auto"/>
                    <w:bottom w:val="none" w:sz="0" w:space="0" w:color="auto"/>
                    <w:right w:val="none" w:sz="0" w:space="0" w:color="auto"/>
                  </w:divBdr>
                  <w:divsChild>
                    <w:div w:id="268203382">
                      <w:marLeft w:val="0"/>
                      <w:marRight w:val="0"/>
                      <w:marTop w:val="0"/>
                      <w:marBottom w:val="0"/>
                      <w:divBdr>
                        <w:top w:val="none" w:sz="0" w:space="0" w:color="auto"/>
                        <w:left w:val="none" w:sz="0" w:space="0" w:color="auto"/>
                        <w:bottom w:val="none" w:sz="0" w:space="0" w:color="auto"/>
                        <w:right w:val="none" w:sz="0" w:space="0" w:color="auto"/>
                      </w:divBdr>
                    </w:div>
                  </w:divsChild>
                </w:div>
                <w:div w:id="1793282477">
                  <w:marLeft w:val="0"/>
                  <w:marRight w:val="0"/>
                  <w:marTop w:val="0"/>
                  <w:marBottom w:val="0"/>
                  <w:divBdr>
                    <w:top w:val="none" w:sz="0" w:space="0" w:color="auto"/>
                    <w:left w:val="none" w:sz="0" w:space="0" w:color="auto"/>
                    <w:bottom w:val="none" w:sz="0" w:space="0" w:color="auto"/>
                    <w:right w:val="none" w:sz="0" w:space="0" w:color="auto"/>
                  </w:divBdr>
                  <w:divsChild>
                    <w:div w:id="1629042858">
                      <w:marLeft w:val="0"/>
                      <w:marRight w:val="0"/>
                      <w:marTop w:val="0"/>
                      <w:marBottom w:val="0"/>
                      <w:divBdr>
                        <w:top w:val="none" w:sz="0" w:space="0" w:color="auto"/>
                        <w:left w:val="none" w:sz="0" w:space="0" w:color="auto"/>
                        <w:bottom w:val="none" w:sz="0" w:space="0" w:color="auto"/>
                        <w:right w:val="none" w:sz="0" w:space="0" w:color="auto"/>
                      </w:divBdr>
                    </w:div>
                  </w:divsChild>
                </w:div>
                <w:div w:id="1806852436">
                  <w:marLeft w:val="0"/>
                  <w:marRight w:val="0"/>
                  <w:marTop w:val="0"/>
                  <w:marBottom w:val="0"/>
                  <w:divBdr>
                    <w:top w:val="none" w:sz="0" w:space="0" w:color="auto"/>
                    <w:left w:val="none" w:sz="0" w:space="0" w:color="auto"/>
                    <w:bottom w:val="none" w:sz="0" w:space="0" w:color="auto"/>
                    <w:right w:val="none" w:sz="0" w:space="0" w:color="auto"/>
                  </w:divBdr>
                  <w:divsChild>
                    <w:div w:id="114834425">
                      <w:marLeft w:val="0"/>
                      <w:marRight w:val="0"/>
                      <w:marTop w:val="0"/>
                      <w:marBottom w:val="0"/>
                      <w:divBdr>
                        <w:top w:val="none" w:sz="0" w:space="0" w:color="auto"/>
                        <w:left w:val="none" w:sz="0" w:space="0" w:color="auto"/>
                        <w:bottom w:val="none" w:sz="0" w:space="0" w:color="auto"/>
                        <w:right w:val="none" w:sz="0" w:space="0" w:color="auto"/>
                      </w:divBdr>
                    </w:div>
                  </w:divsChild>
                </w:div>
                <w:div w:id="1957058784">
                  <w:marLeft w:val="0"/>
                  <w:marRight w:val="0"/>
                  <w:marTop w:val="0"/>
                  <w:marBottom w:val="0"/>
                  <w:divBdr>
                    <w:top w:val="none" w:sz="0" w:space="0" w:color="auto"/>
                    <w:left w:val="none" w:sz="0" w:space="0" w:color="auto"/>
                    <w:bottom w:val="none" w:sz="0" w:space="0" w:color="auto"/>
                    <w:right w:val="none" w:sz="0" w:space="0" w:color="auto"/>
                  </w:divBdr>
                  <w:divsChild>
                    <w:div w:id="1303000404">
                      <w:marLeft w:val="0"/>
                      <w:marRight w:val="0"/>
                      <w:marTop w:val="0"/>
                      <w:marBottom w:val="0"/>
                      <w:divBdr>
                        <w:top w:val="none" w:sz="0" w:space="0" w:color="auto"/>
                        <w:left w:val="none" w:sz="0" w:space="0" w:color="auto"/>
                        <w:bottom w:val="none" w:sz="0" w:space="0" w:color="auto"/>
                        <w:right w:val="none" w:sz="0" w:space="0" w:color="auto"/>
                      </w:divBdr>
                    </w:div>
                  </w:divsChild>
                </w:div>
                <w:div w:id="2072456054">
                  <w:marLeft w:val="0"/>
                  <w:marRight w:val="0"/>
                  <w:marTop w:val="0"/>
                  <w:marBottom w:val="0"/>
                  <w:divBdr>
                    <w:top w:val="none" w:sz="0" w:space="0" w:color="auto"/>
                    <w:left w:val="none" w:sz="0" w:space="0" w:color="auto"/>
                    <w:bottom w:val="none" w:sz="0" w:space="0" w:color="auto"/>
                    <w:right w:val="none" w:sz="0" w:space="0" w:color="auto"/>
                  </w:divBdr>
                  <w:divsChild>
                    <w:div w:id="1807238569">
                      <w:marLeft w:val="0"/>
                      <w:marRight w:val="0"/>
                      <w:marTop w:val="0"/>
                      <w:marBottom w:val="0"/>
                      <w:divBdr>
                        <w:top w:val="none" w:sz="0" w:space="0" w:color="auto"/>
                        <w:left w:val="none" w:sz="0" w:space="0" w:color="auto"/>
                        <w:bottom w:val="none" w:sz="0" w:space="0" w:color="auto"/>
                        <w:right w:val="none" w:sz="0" w:space="0" w:color="auto"/>
                      </w:divBdr>
                    </w:div>
                  </w:divsChild>
                </w:div>
                <w:div w:id="2097045743">
                  <w:marLeft w:val="0"/>
                  <w:marRight w:val="0"/>
                  <w:marTop w:val="0"/>
                  <w:marBottom w:val="0"/>
                  <w:divBdr>
                    <w:top w:val="none" w:sz="0" w:space="0" w:color="auto"/>
                    <w:left w:val="none" w:sz="0" w:space="0" w:color="auto"/>
                    <w:bottom w:val="none" w:sz="0" w:space="0" w:color="auto"/>
                    <w:right w:val="none" w:sz="0" w:space="0" w:color="auto"/>
                  </w:divBdr>
                  <w:divsChild>
                    <w:div w:id="2130121105">
                      <w:marLeft w:val="0"/>
                      <w:marRight w:val="0"/>
                      <w:marTop w:val="0"/>
                      <w:marBottom w:val="0"/>
                      <w:divBdr>
                        <w:top w:val="none" w:sz="0" w:space="0" w:color="auto"/>
                        <w:left w:val="none" w:sz="0" w:space="0" w:color="auto"/>
                        <w:bottom w:val="none" w:sz="0" w:space="0" w:color="auto"/>
                        <w:right w:val="none" w:sz="0" w:space="0" w:color="auto"/>
                      </w:divBdr>
                    </w:div>
                  </w:divsChild>
                </w:div>
                <w:div w:id="2122213972">
                  <w:marLeft w:val="0"/>
                  <w:marRight w:val="0"/>
                  <w:marTop w:val="0"/>
                  <w:marBottom w:val="0"/>
                  <w:divBdr>
                    <w:top w:val="none" w:sz="0" w:space="0" w:color="auto"/>
                    <w:left w:val="none" w:sz="0" w:space="0" w:color="auto"/>
                    <w:bottom w:val="none" w:sz="0" w:space="0" w:color="auto"/>
                    <w:right w:val="none" w:sz="0" w:space="0" w:color="auto"/>
                  </w:divBdr>
                  <w:divsChild>
                    <w:div w:id="1268974045">
                      <w:marLeft w:val="0"/>
                      <w:marRight w:val="0"/>
                      <w:marTop w:val="0"/>
                      <w:marBottom w:val="0"/>
                      <w:divBdr>
                        <w:top w:val="none" w:sz="0" w:space="0" w:color="auto"/>
                        <w:left w:val="none" w:sz="0" w:space="0" w:color="auto"/>
                        <w:bottom w:val="none" w:sz="0" w:space="0" w:color="auto"/>
                        <w:right w:val="none" w:sz="0" w:space="0" w:color="auto"/>
                      </w:divBdr>
                    </w:div>
                  </w:divsChild>
                </w:div>
                <w:div w:id="2130200973">
                  <w:marLeft w:val="0"/>
                  <w:marRight w:val="0"/>
                  <w:marTop w:val="0"/>
                  <w:marBottom w:val="0"/>
                  <w:divBdr>
                    <w:top w:val="none" w:sz="0" w:space="0" w:color="auto"/>
                    <w:left w:val="none" w:sz="0" w:space="0" w:color="auto"/>
                    <w:bottom w:val="none" w:sz="0" w:space="0" w:color="auto"/>
                    <w:right w:val="none" w:sz="0" w:space="0" w:color="auto"/>
                  </w:divBdr>
                  <w:divsChild>
                    <w:div w:id="1997415850">
                      <w:marLeft w:val="0"/>
                      <w:marRight w:val="0"/>
                      <w:marTop w:val="0"/>
                      <w:marBottom w:val="0"/>
                      <w:divBdr>
                        <w:top w:val="none" w:sz="0" w:space="0" w:color="auto"/>
                        <w:left w:val="none" w:sz="0" w:space="0" w:color="auto"/>
                        <w:bottom w:val="none" w:sz="0" w:space="0" w:color="auto"/>
                        <w:right w:val="none" w:sz="0" w:space="0" w:color="auto"/>
                      </w:divBdr>
                    </w:div>
                  </w:divsChild>
                </w:div>
                <w:div w:id="2143451203">
                  <w:marLeft w:val="0"/>
                  <w:marRight w:val="0"/>
                  <w:marTop w:val="0"/>
                  <w:marBottom w:val="0"/>
                  <w:divBdr>
                    <w:top w:val="none" w:sz="0" w:space="0" w:color="auto"/>
                    <w:left w:val="none" w:sz="0" w:space="0" w:color="auto"/>
                    <w:bottom w:val="none" w:sz="0" w:space="0" w:color="auto"/>
                    <w:right w:val="none" w:sz="0" w:space="0" w:color="auto"/>
                  </w:divBdr>
                  <w:divsChild>
                    <w:div w:id="1019307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2785771">
          <w:marLeft w:val="0"/>
          <w:marRight w:val="0"/>
          <w:marTop w:val="0"/>
          <w:marBottom w:val="0"/>
          <w:divBdr>
            <w:top w:val="none" w:sz="0" w:space="0" w:color="auto"/>
            <w:left w:val="none" w:sz="0" w:space="0" w:color="auto"/>
            <w:bottom w:val="none" w:sz="0" w:space="0" w:color="auto"/>
            <w:right w:val="none" w:sz="0" w:space="0" w:color="auto"/>
          </w:divBdr>
        </w:div>
        <w:div w:id="643580406">
          <w:marLeft w:val="0"/>
          <w:marRight w:val="0"/>
          <w:marTop w:val="0"/>
          <w:marBottom w:val="0"/>
          <w:divBdr>
            <w:top w:val="none" w:sz="0" w:space="0" w:color="auto"/>
            <w:left w:val="none" w:sz="0" w:space="0" w:color="auto"/>
            <w:bottom w:val="none" w:sz="0" w:space="0" w:color="auto"/>
            <w:right w:val="none" w:sz="0" w:space="0" w:color="auto"/>
          </w:divBdr>
        </w:div>
        <w:div w:id="1177618242">
          <w:marLeft w:val="0"/>
          <w:marRight w:val="0"/>
          <w:marTop w:val="0"/>
          <w:marBottom w:val="0"/>
          <w:divBdr>
            <w:top w:val="none" w:sz="0" w:space="0" w:color="auto"/>
            <w:left w:val="none" w:sz="0" w:space="0" w:color="auto"/>
            <w:bottom w:val="none" w:sz="0" w:space="0" w:color="auto"/>
            <w:right w:val="none" w:sz="0" w:space="0" w:color="auto"/>
          </w:divBdr>
        </w:div>
        <w:div w:id="2081978022">
          <w:marLeft w:val="0"/>
          <w:marRight w:val="0"/>
          <w:marTop w:val="0"/>
          <w:marBottom w:val="0"/>
          <w:divBdr>
            <w:top w:val="none" w:sz="0" w:space="0" w:color="auto"/>
            <w:left w:val="none" w:sz="0" w:space="0" w:color="auto"/>
            <w:bottom w:val="none" w:sz="0" w:space="0" w:color="auto"/>
            <w:right w:val="none" w:sz="0" w:space="0" w:color="auto"/>
          </w:divBdr>
          <w:divsChild>
            <w:div w:id="300427482">
              <w:marLeft w:val="0"/>
              <w:marRight w:val="0"/>
              <w:marTop w:val="0"/>
              <w:marBottom w:val="0"/>
              <w:divBdr>
                <w:top w:val="none" w:sz="0" w:space="0" w:color="auto"/>
                <w:left w:val="none" w:sz="0" w:space="0" w:color="auto"/>
                <w:bottom w:val="none" w:sz="0" w:space="0" w:color="auto"/>
                <w:right w:val="none" w:sz="0" w:space="0" w:color="auto"/>
              </w:divBdr>
            </w:div>
            <w:div w:id="443497592">
              <w:marLeft w:val="0"/>
              <w:marRight w:val="0"/>
              <w:marTop w:val="0"/>
              <w:marBottom w:val="0"/>
              <w:divBdr>
                <w:top w:val="none" w:sz="0" w:space="0" w:color="auto"/>
                <w:left w:val="none" w:sz="0" w:space="0" w:color="auto"/>
                <w:bottom w:val="none" w:sz="0" w:space="0" w:color="auto"/>
                <w:right w:val="none" w:sz="0" w:space="0" w:color="auto"/>
              </w:divBdr>
            </w:div>
            <w:div w:id="484517951">
              <w:marLeft w:val="0"/>
              <w:marRight w:val="0"/>
              <w:marTop w:val="0"/>
              <w:marBottom w:val="0"/>
              <w:divBdr>
                <w:top w:val="none" w:sz="0" w:space="0" w:color="auto"/>
                <w:left w:val="none" w:sz="0" w:space="0" w:color="auto"/>
                <w:bottom w:val="none" w:sz="0" w:space="0" w:color="auto"/>
                <w:right w:val="none" w:sz="0" w:space="0" w:color="auto"/>
              </w:divBdr>
            </w:div>
            <w:div w:id="507989519">
              <w:marLeft w:val="0"/>
              <w:marRight w:val="0"/>
              <w:marTop w:val="0"/>
              <w:marBottom w:val="0"/>
              <w:divBdr>
                <w:top w:val="none" w:sz="0" w:space="0" w:color="auto"/>
                <w:left w:val="none" w:sz="0" w:space="0" w:color="auto"/>
                <w:bottom w:val="none" w:sz="0" w:space="0" w:color="auto"/>
                <w:right w:val="none" w:sz="0" w:space="0" w:color="auto"/>
              </w:divBdr>
            </w:div>
            <w:div w:id="636689547">
              <w:marLeft w:val="0"/>
              <w:marRight w:val="0"/>
              <w:marTop w:val="0"/>
              <w:marBottom w:val="0"/>
              <w:divBdr>
                <w:top w:val="none" w:sz="0" w:space="0" w:color="auto"/>
                <w:left w:val="none" w:sz="0" w:space="0" w:color="auto"/>
                <w:bottom w:val="none" w:sz="0" w:space="0" w:color="auto"/>
                <w:right w:val="none" w:sz="0" w:space="0" w:color="auto"/>
              </w:divBdr>
            </w:div>
            <w:div w:id="727655942">
              <w:marLeft w:val="0"/>
              <w:marRight w:val="0"/>
              <w:marTop w:val="0"/>
              <w:marBottom w:val="0"/>
              <w:divBdr>
                <w:top w:val="none" w:sz="0" w:space="0" w:color="auto"/>
                <w:left w:val="none" w:sz="0" w:space="0" w:color="auto"/>
                <w:bottom w:val="none" w:sz="0" w:space="0" w:color="auto"/>
                <w:right w:val="none" w:sz="0" w:space="0" w:color="auto"/>
              </w:divBdr>
            </w:div>
            <w:div w:id="978415532">
              <w:marLeft w:val="0"/>
              <w:marRight w:val="0"/>
              <w:marTop w:val="0"/>
              <w:marBottom w:val="0"/>
              <w:divBdr>
                <w:top w:val="none" w:sz="0" w:space="0" w:color="auto"/>
                <w:left w:val="none" w:sz="0" w:space="0" w:color="auto"/>
                <w:bottom w:val="none" w:sz="0" w:space="0" w:color="auto"/>
                <w:right w:val="none" w:sz="0" w:space="0" w:color="auto"/>
              </w:divBdr>
            </w:div>
            <w:div w:id="1032802625">
              <w:marLeft w:val="0"/>
              <w:marRight w:val="0"/>
              <w:marTop w:val="0"/>
              <w:marBottom w:val="0"/>
              <w:divBdr>
                <w:top w:val="none" w:sz="0" w:space="0" w:color="auto"/>
                <w:left w:val="none" w:sz="0" w:space="0" w:color="auto"/>
                <w:bottom w:val="none" w:sz="0" w:space="0" w:color="auto"/>
                <w:right w:val="none" w:sz="0" w:space="0" w:color="auto"/>
              </w:divBdr>
            </w:div>
            <w:div w:id="1128358923">
              <w:marLeft w:val="0"/>
              <w:marRight w:val="0"/>
              <w:marTop w:val="0"/>
              <w:marBottom w:val="0"/>
              <w:divBdr>
                <w:top w:val="none" w:sz="0" w:space="0" w:color="auto"/>
                <w:left w:val="none" w:sz="0" w:space="0" w:color="auto"/>
                <w:bottom w:val="none" w:sz="0" w:space="0" w:color="auto"/>
                <w:right w:val="none" w:sz="0" w:space="0" w:color="auto"/>
              </w:divBdr>
            </w:div>
            <w:div w:id="1181747541">
              <w:marLeft w:val="0"/>
              <w:marRight w:val="0"/>
              <w:marTop w:val="0"/>
              <w:marBottom w:val="0"/>
              <w:divBdr>
                <w:top w:val="none" w:sz="0" w:space="0" w:color="auto"/>
                <w:left w:val="none" w:sz="0" w:space="0" w:color="auto"/>
                <w:bottom w:val="none" w:sz="0" w:space="0" w:color="auto"/>
                <w:right w:val="none" w:sz="0" w:space="0" w:color="auto"/>
              </w:divBdr>
            </w:div>
            <w:div w:id="1279294468">
              <w:marLeft w:val="0"/>
              <w:marRight w:val="0"/>
              <w:marTop w:val="0"/>
              <w:marBottom w:val="0"/>
              <w:divBdr>
                <w:top w:val="none" w:sz="0" w:space="0" w:color="auto"/>
                <w:left w:val="none" w:sz="0" w:space="0" w:color="auto"/>
                <w:bottom w:val="none" w:sz="0" w:space="0" w:color="auto"/>
                <w:right w:val="none" w:sz="0" w:space="0" w:color="auto"/>
              </w:divBdr>
            </w:div>
            <w:div w:id="1480535471">
              <w:marLeft w:val="0"/>
              <w:marRight w:val="0"/>
              <w:marTop w:val="0"/>
              <w:marBottom w:val="0"/>
              <w:divBdr>
                <w:top w:val="none" w:sz="0" w:space="0" w:color="auto"/>
                <w:left w:val="none" w:sz="0" w:space="0" w:color="auto"/>
                <w:bottom w:val="none" w:sz="0" w:space="0" w:color="auto"/>
                <w:right w:val="none" w:sz="0" w:space="0" w:color="auto"/>
              </w:divBdr>
            </w:div>
            <w:div w:id="1634408428">
              <w:marLeft w:val="0"/>
              <w:marRight w:val="0"/>
              <w:marTop w:val="0"/>
              <w:marBottom w:val="0"/>
              <w:divBdr>
                <w:top w:val="none" w:sz="0" w:space="0" w:color="auto"/>
                <w:left w:val="none" w:sz="0" w:space="0" w:color="auto"/>
                <w:bottom w:val="none" w:sz="0" w:space="0" w:color="auto"/>
                <w:right w:val="none" w:sz="0" w:space="0" w:color="auto"/>
              </w:divBdr>
            </w:div>
            <w:div w:id="1698852041">
              <w:marLeft w:val="0"/>
              <w:marRight w:val="0"/>
              <w:marTop w:val="0"/>
              <w:marBottom w:val="0"/>
              <w:divBdr>
                <w:top w:val="none" w:sz="0" w:space="0" w:color="auto"/>
                <w:left w:val="none" w:sz="0" w:space="0" w:color="auto"/>
                <w:bottom w:val="none" w:sz="0" w:space="0" w:color="auto"/>
                <w:right w:val="none" w:sz="0" w:space="0" w:color="auto"/>
              </w:divBdr>
            </w:div>
            <w:div w:id="1760563255">
              <w:marLeft w:val="0"/>
              <w:marRight w:val="0"/>
              <w:marTop w:val="0"/>
              <w:marBottom w:val="0"/>
              <w:divBdr>
                <w:top w:val="none" w:sz="0" w:space="0" w:color="auto"/>
                <w:left w:val="none" w:sz="0" w:space="0" w:color="auto"/>
                <w:bottom w:val="none" w:sz="0" w:space="0" w:color="auto"/>
                <w:right w:val="none" w:sz="0" w:space="0" w:color="auto"/>
              </w:divBdr>
            </w:div>
            <w:div w:id="1941251775">
              <w:marLeft w:val="0"/>
              <w:marRight w:val="0"/>
              <w:marTop w:val="0"/>
              <w:marBottom w:val="0"/>
              <w:divBdr>
                <w:top w:val="none" w:sz="0" w:space="0" w:color="auto"/>
                <w:left w:val="none" w:sz="0" w:space="0" w:color="auto"/>
                <w:bottom w:val="none" w:sz="0" w:space="0" w:color="auto"/>
                <w:right w:val="none" w:sz="0" w:space="0" w:color="auto"/>
              </w:divBdr>
            </w:div>
            <w:div w:id="2032756995">
              <w:marLeft w:val="0"/>
              <w:marRight w:val="0"/>
              <w:marTop w:val="0"/>
              <w:marBottom w:val="0"/>
              <w:divBdr>
                <w:top w:val="none" w:sz="0" w:space="0" w:color="auto"/>
                <w:left w:val="none" w:sz="0" w:space="0" w:color="auto"/>
                <w:bottom w:val="none" w:sz="0" w:space="0" w:color="auto"/>
                <w:right w:val="none" w:sz="0" w:space="0" w:color="auto"/>
              </w:divBdr>
            </w:div>
            <w:div w:id="2067560783">
              <w:marLeft w:val="0"/>
              <w:marRight w:val="0"/>
              <w:marTop w:val="0"/>
              <w:marBottom w:val="0"/>
              <w:divBdr>
                <w:top w:val="none" w:sz="0" w:space="0" w:color="auto"/>
                <w:left w:val="none" w:sz="0" w:space="0" w:color="auto"/>
                <w:bottom w:val="none" w:sz="0" w:space="0" w:color="auto"/>
                <w:right w:val="none" w:sz="0" w:space="0" w:color="auto"/>
              </w:divBdr>
            </w:div>
            <w:div w:id="2134248785">
              <w:marLeft w:val="0"/>
              <w:marRight w:val="0"/>
              <w:marTop w:val="0"/>
              <w:marBottom w:val="0"/>
              <w:divBdr>
                <w:top w:val="none" w:sz="0" w:space="0" w:color="auto"/>
                <w:left w:val="none" w:sz="0" w:space="0" w:color="auto"/>
                <w:bottom w:val="none" w:sz="0" w:space="0" w:color="auto"/>
                <w:right w:val="none" w:sz="0" w:space="0" w:color="auto"/>
              </w:divBdr>
            </w:div>
          </w:divsChild>
        </w:div>
        <w:div w:id="2093311647">
          <w:marLeft w:val="0"/>
          <w:marRight w:val="0"/>
          <w:marTop w:val="0"/>
          <w:marBottom w:val="0"/>
          <w:divBdr>
            <w:top w:val="none" w:sz="0" w:space="0" w:color="auto"/>
            <w:left w:val="none" w:sz="0" w:space="0" w:color="auto"/>
            <w:bottom w:val="none" w:sz="0" w:space="0" w:color="auto"/>
            <w:right w:val="none" w:sz="0" w:space="0" w:color="auto"/>
          </w:divBdr>
          <w:divsChild>
            <w:div w:id="106509369">
              <w:marLeft w:val="-75"/>
              <w:marRight w:val="0"/>
              <w:marTop w:val="30"/>
              <w:marBottom w:val="30"/>
              <w:divBdr>
                <w:top w:val="none" w:sz="0" w:space="0" w:color="auto"/>
                <w:left w:val="none" w:sz="0" w:space="0" w:color="auto"/>
                <w:bottom w:val="none" w:sz="0" w:space="0" w:color="auto"/>
                <w:right w:val="none" w:sz="0" w:space="0" w:color="auto"/>
              </w:divBdr>
              <w:divsChild>
                <w:div w:id="1203692">
                  <w:marLeft w:val="0"/>
                  <w:marRight w:val="0"/>
                  <w:marTop w:val="0"/>
                  <w:marBottom w:val="0"/>
                  <w:divBdr>
                    <w:top w:val="none" w:sz="0" w:space="0" w:color="auto"/>
                    <w:left w:val="none" w:sz="0" w:space="0" w:color="auto"/>
                    <w:bottom w:val="none" w:sz="0" w:space="0" w:color="auto"/>
                    <w:right w:val="none" w:sz="0" w:space="0" w:color="auto"/>
                  </w:divBdr>
                  <w:divsChild>
                    <w:div w:id="853038553">
                      <w:marLeft w:val="0"/>
                      <w:marRight w:val="0"/>
                      <w:marTop w:val="0"/>
                      <w:marBottom w:val="0"/>
                      <w:divBdr>
                        <w:top w:val="none" w:sz="0" w:space="0" w:color="auto"/>
                        <w:left w:val="none" w:sz="0" w:space="0" w:color="auto"/>
                        <w:bottom w:val="none" w:sz="0" w:space="0" w:color="auto"/>
                        <w:right w:val="none" w:sz="0" w:space="0" w:color="auto"/>
                      </w:divBdr>
                    </w:div>
                  </w:divsChild>
                </w:div>
                <w:div w:id="71437710">
                  <w:marLeft w:val="0"/>
                  <w:marRight w:val="0"/>
                  <w:marTop w:val="0"/>
                  <w:marBottom w:val="0"/>
                  <w:divBdr>
                    <w:top w:val="none" w:sz="0" w:space="0" w:color="auto"/>
                    <w:left w:val="none" w:sz="0" w:space="0" w:color="auto"/>
                    <w:bottom w:val="none" w:sz="0" w:space="0" w:color="auto"/>
                    <w:right w:val="none" w:sz="0" w:space="0" w:color="auto"/>
                  </w:divBdr>
                  <w:divsChild>
                    <w:div w:id="1263614249">
                      <w:marLeft w:val="0"/>
                      <w:marRight w:val="0"/>
                      <w:marTop w:val="0"/>
                      <w:marBottom w:val="0"/>
                      <w:divBdr>
                        <w:top w:val="none" w:sz="0" w:space="0" w:color="auto"/>
                        <w:left w:val="none" w:sz="0" w:space="0" w:color="auto"/>
                        <w:bottom w:val="none" w:sz="0" w:space="0" w:color="auto"/>
                        <w:right w:val="none" w:sz="0" w:space="0" w:color="auto"/>
                      </w:divBdr>
                    </w:div>
                  </w:divsChild>
                </w:div>
                <w:div w:id="76175708">
                  <w:marLeft w:val="0"/>
                  <w:marRight w:val="0"/>
                  <w:marTop w:val="0"/>
                  <w:marBottom w:val="0"/>
                  <w:divBdr>
                    <w:top w:val="none" w:sz="0" w:space="0" w:color="auto"/>
                    <w:left w:val="none" w:sz="0" w:space="0" w:color="auto"/>
                    <w:bottom w:val="none" w:sz="0" w:space="0" w:color="auto"/>
                    <w:right w:val="none" w:sz="0" w:space="0" w:color="auto"/>
                  </w:divBdr>
                  <w:divsChild>
                    <w:div w:id="1929342840">
                      <w:marLeft w:val="0"/>
                      <w:marRight w:val="0"/>
                      <w:marTop w:val="0"/>
                      <w:marBottom w:val="0"/>
                      <w:divBdr>
                        <w:top w:val="none" w:sz="0" w:space="0" w:color="auto"/>
                        <w:left w:val="none" w:sz="0" w:space="0" w:color="auto"/>
                        <w:bottom w:val="none" w:sz="0" w:space="0" w:color="auto"/>
                        <w:right w:val="none" w:sz="0" w:space="0" w:color="auto"/>
                      </w:divBdr>
                    </w:div>
                  </w:divsChild>
                </w:div>
                <w:div w:id="117378242">
                  <w:marLeft w:val="0"/>
                  <w:marRight w:val="0"/>
                  <w:marTop w:val="0"/>
                  <w:marBottom w:val="0"/>
                  <w:divBdr>
                    <w:top w:val="none" w:sz="0" w:space="0" w:color="auto"/>
                    <w:left w:val="none" w:sz="0" w:space="0" w:color="auto"/>
                    <w:bottom w:val="none" w:sz="0" w:space="0" w:color="auto"/>
                    <w:right w:val="none" w:sz="0" w:space="0" w:color="auto"/>
                  </w:divBdr>
                  <w:divsChild>
                    <w:div w:id="683096608">
                      <w:marLeft w:val="0"/>
                      <w:marRight w:val="0"/>
                      <w:marTop w:val="0"/>
                      <w:marBottom w:val="0"/>
                      <w:divBdr>
                        <w:top w:val="none" w:sz="0" w:space="0" w:color="auto"/>
                        <w:left w:val="none" w:sz="0" w:space="0" w:color="auto"/>
                        <w:bottom w:val="none" w:sz="0" w:space="0" w:color="auto"/>
                        <w:right w:val="none" w:sz="0" w:space="0" w:color="auto"/>
                      </w:divBdr>
                    </w:div>
                  </w:divsChild>
                </w:div>
                <w:div w:id="144854744">
                  <w:marLeft w:val="0"/>
                  <w:marRight w:val="0"/>
                  <w:marTop w:val="0"/>
                  <w:marBottom w:val="0"/>
                  <w:divBdr>
                    <w:top w:val="none" w:sz="0" w:space="0" w:color="auto"/>
                    <w:left w:val="none" w:sz="0" w:space="0" w:color="auto"/>
                    <w:bottom w:val="none" w:sz="0" w:space="0" w:color="auto"/>
                    <w:right w:val="none" w:sz="0" w:space="0" w:color="auto"/>
                  </w:divBdr>
                  <w:divsChild>
                    <w:div w:id="1842810284">
                      <w:marLeft w:val="0"/>
                      <w:marRight w:val="0"/>
                      <w:marTop w:val="0"/>
                      <w:marBottom w:val="0"/>
                      <w:divBdr>
                        <w:top w:val="none" w:sz="0" w:space="0" w:color="auto"/>
                        <w:left w:val="none" w:sz="0" w:space="0" w:color="auto"/>
                        <w:bottom w:val="none" w:sz="0" w:space="0" w:color="auto"/>
                        <w:right w:val="none" w:sz="0" w:space="0" w:color="auto"/>
                      </w:divBdr>
                    </w:div>
                  </w:divsChild>
                </w:div>
                <w:div w:id="206843026">
                  <w:marLeft w:val="0"/>
                  <w:marRight w:val="0"/>
                  <w:marTop w:val="0"/>
                  <w:marBottom w:val="0"/>
                  <w:divBdr>
                    <w:top w:val="none" w:sz="0" w:space="0" w:color="auto"/>
                    <w:left w:val="none" w:sz="0" w:space="0" w:color="auto"/>
                    <w:bottom w:val="none" w:sz="0" w:space="0" w:color="auto"/>
                    <w:right w:val="none" w:sz="0" w:space="0" w:color="auto"/>
                  </w:divBdr>
                  <w:divsChild>
                    <w:div w:id="879125599">
                      <w:marLeft w:val="0"/>
                      <w:marRight w:val="0"/>
                      <w:marTop w:val="0"/>
                      <w:marBottom w:val="0"/>
                      <w:divBdr>
                        <w:top w:val="none" w:sz="0" w:space="0" w:color="auto"/>
                        <w:left w:val="none" w:sz="0" w:space="0" w:color="auto"/>
                        <w:bottom w:val="none" w:sz="0" w:space="0" w:color="auto"/>
                        <w:right w:val="none" w:sz="0" w:space="0" w:color="auto"/>
                      </w:divBdr>
                    </w:div>
                    <w:div w:id="1074544621">
                      <w:marLeft w:val="0"/>
                      <w:marRight w:val="0"/>
                      <w:marTop w:val="0"/>
                      <w:marBottom w:val="0"/>
                      <w:divBdr>
                        <w:top w:val="none" w:sz="0" w:space="0" w:color="auto"/>
                        <w:left w:val="none" w:sz="0" w:space="0" w:color="auto"/>
                        <w:bottom w:val="none" w:sz="0" w:space="0" w:color="auto"/>
                        <w:right w:val="none" w:sz="0" w:space="0" w:color="auto"/>
                      </w:divBdr>
                    </w:div>
                  </w:divsChild>
                </w:div>
                <w:div w:id="219218763">
                  <w:marLeft w:val="0"/>
                  <w:marRight w:val="0"/>
                  <w:marTop w:val="0"/>
                  <w:marBottom w:val="0"/>
                  <w:divBdr>
                    <w:top w:val="none" w:sz="0" w:space="0" w:color="auto"/>
                    <w:left w:val="none" w:sz="0" w:space="0" w:color="auto"/>
                    <w:bottom w:val="none" w:sz="0" w:space="0" w:color="auto"/>
                    <w:right w:val="none" w:sz="0" w:space="0" w:color="auto"/>
                  </w:divBdr>
                  <w:divsChild>
                    <w:div w:id="724138596">
                      <w:marLeft w:val="0"/>
                      <w:marRight w:val="0"/>
                      <w:marTop w:val="0"/>
                      <w:marBottom w:val="0"/>
                      <w:divBdr>
                        <w:top w:val="none" w:sz="0" w:space="0" w:color="auto"/>
                        <w:left w:val="none" w:sz="0" w:space="0" w:color="auto"/>
                        <w:bottom w:val="none" w:sz="0" w:space="0" w:color="auto"/>
                        <w:right w:val="none" w:sz="0" w:space="0" w:color="auto"/>
                      </w:divBdr>
                    </w:div>
                  </w:divsChild>
                </w:div>
                <w:div w:id="228003858">
                  <w:marLeft w:val="0"/>
                  <w:marRight w:val="0"/>
                  <w:marTop w:val="0"/>
                  <w:marBottom w:val="0"/>
                  <w:divBdr>
                    <w:top w:val="none" w:sz="0" w:space="0" w:color="auto"/>
                    <w:left w:val="none" w:sz="0" w:space="0" w:color="auto"/>
                    <w:bottom w:val="none" w:sz="0" w:space="0" w:color="auto"/>
                    <w:right w:val="none" w:sz="0" w:space="0" w:color="auto"/>
                  </w:divBdr>
                  <w:divsChild>
                    <w:div w:id="1841383606">
                      <w:marLeft w:val="0"/>
                      <w:marRight w:val="0"/>
                      <w:marTop w:val="0"/>
                      <w:marBottom w:val="0"/>
                      <w:divBdr>
                        <w:top w:val="none" w:sz="0" w:space="0" w:color="auto"/>
                        <w:left w:val="none" w:sz="0" w:space="0" w:color="auto"/>
                        <w:bottom w:val="none" w:sz="0" w:space="0" w:color="auto"/>
                        <w:right w:val="none" w:sz="0" w:space="0" w:color="auto"/>
                      </w:divBdr>
                    </w:div>
                  </w:divsChild>
                </w:div>
                <w:div w:id="239098767">
                  <w:marLeft w:val="0"/>
                  <w:marRight w:val="0"/>
                  <w:marTop w:val="0"/>
                  <w:marBottom w:val="0"/>
                  <w:divBdr>
                    <w:top w:val="none" w:sz="0" w:space="0" w:color="auto"/>
                    <w:left w:val="none" w:sz="0" w:space="0" w:color="auto"/>
                    <w:bottom w:val="none" w:sz="0" w:space="0" w:color="auto"/>
                    <w:right w:val="none" w:sz="0" w:space="0" w:color="auto"/>
                  </w:divBdr>
                  <w:divsChild>
                    <w:div w:id="1129974535">
                      <w:marLeft w:val="0"/>
                      <w:marRight w:val="0"/>
                      <w:marTop w:val="0"/>
                      <w:marBottom w:val="0"/>
                      <w:divBdr>
                        <w:top w:val="none" w:sz="0" w:space="0" w:color="auto"/>
                        <w:left w:val="none" w:sz="0" w:space="0" w:color="auto"/>
                        <w:bottom w:val="none" w:sz="0" w:space="0" w:color="auto"/>
                        <w:right w:val="none" w:sz="0" w:space="0" w:color="auto"/>
                      </w:divBdr>
                    </w:div>
                  </w:divsChild>
                </w:div>
                <w:div w:id="264075815">
                  <w:marLeft w:val="0"/>
                  <w:marRight w:val="0"/>
                  <w:marTop w:val="0"/>
                  <w:marBottom w:val="0"/>
                  <w:divBdr>
                    <w:top w:val="none" w:sz="0" w:space="0" w:color="auto"/>
                    <w:left w:val="none" w:sz="0" w:space="0" w:color="auto"/>
                    <w:bottom w:val="none" w:sz="0" w:space="0" w:color="auto"/>
                    <w:right w:val="none" w:sz="0" w:space="0" w:color="auto"/>
                  </w:divBdr>
                  <w:divsChild>
                    <w:div w:id="219095072">
                      <w:marLeft w:val="0"/>
                      <w:marRight w:val="0"/>
                      <w:marTop w:val="0"/>
                      <w:marBottom w:val="0"/>
                      <w:divBdr>
                        <w:top w:val="none" w:sz="0" w:space="0" w:color="auto"/>
                        <w:left w:val="none" w:sz="0" w:space="0" w:color="auto"/>
                        <w:bottom w:val="none" w:sz="0" w:space="0" w:color="auto"/>
                        <w:right w:val="none" w:sz="0" w:space="0" w:color="auto"/>
                      </w:divBdr>
                    </w:div>
                  </w:divsChild>
                </w:div>
                <w:div w:id="308902371">
                  <w:marLeft w:val="0"/>
                  <w:marRight w:val="0"/>
                  <w:marTop w:val="0"/>
                  <w:marBottom w:val="0"/>
                  <w:divBdr>
                    <w:top w:val="none" w:sz="0" w:space="0" w:color="auto"/>
                    <w:left w:val="none" w:sz="0" w:space="0" w:color="auto"/>
                    <w:bottom w:val="none" w:sz="0" w:space="0" w:color="auto"/>
                    <w:right w:val="none" w:sz="0" w:space="0" w:color="auto"/>
                  </w:divBdr>
                  <w:divsChild>
                    <w:div w:id="257371777">
                      <w:marLeft w:val="0"/>
                      <w:marRight w:val="0"/>
                      <w:marTop w:val="0"/>
                      <w:marBottom w:val="0"/>
                      <w:divBdr>
                        <w:top w:val="none" w:sz="0" w:space="0" w:color="auto"/>
                        <w:left w:val="none" w:sz="0" w:space="0" w:color="auto"/>
                        <w:bottom w:val="none" w:sz="0" w:space="0" w:color="auto"/>
                        <w:right w:val="none" w:sz="0" w:space="0" w:color="auto"/>
                      </w:divBdr>
                    </w:div>
                  </w:divsChild>
                </w:div>
                <w:div w:id="354238279">
                  <w:marLeft w:val="0"/>
                  <w:marRight w:val="0"/>
                  <w:marTop w:val="0"/>
                  <w:marBottom w:val="0"/>
                  <w:divBdr>
                    <w:top w:val="none" w:sz="0" w:space="0" w:color="auto"/>
                    <w:left w:val="none" w:sz="0" w:space="0" w:color="auto"/>
                    <w:bottom w:val="none" w:sz="0" w:space="0" w:color="auto"/>
                    <w:right w:val="none" w:sz="0" w:space="0" w:color="auto"/>
                  </w:divBdr>
                  <w:divsChild>
                    <w:div w:id="72896354">
                      <w:marLeft w:val="0"/>
                      <w:marRight w:val="0"/>
                      <w:marTop w:val="0"/>
                      <w:marBottom w:val="0"/>
                      <w:divBdr>
                        <w:top w:val="none" w:sz="0" w:space="0" w:color="auto"/>
                        <w:left w:val="none" w:sz="0" w:space="0" w:color="auto"/>
                        <w:bottom w:val="none" w:sz="0" w:space="0" w:color="auto"/>
                        <w:right w:val="none" w:sz="0" w:space="0" w:color="auto"/>
                      </w:divBdr>
                    </w:div>
                  </w:divsChild>
                </w:div>
                <w:div w:id="379326719">
                  <w:marLeft w:val="0"/>
                  <w:marRight w:val="0"/>
                  <w:marTop w:val="0"/>
                  <w:marBottom w:val="0"/>
                  <w:divBdr>
                    <w:top w:val="none" w:sz="0" w:space="0" w:color="auto"/>
                    <w:left w:val="none" w:sz="0" w:space="0" w:color="auto"/>
                    <w:bottom w:val="none" w:sz="0" w:space="0" w:color="auto"/>
                    <w:right w:val="none" w:sz="0" w:space="0" w:color="auto"/>
                  </w:divBdr>
                  <w:divsChild>
                    <w:div w:id="1254975489">
                      <w:marLeft w:val="0"/>
                      <w:marRight w:val="0"/>
                      <w:marTop w:val="0"/>
                      <w:marBottom w:val="0"/>
                      <w:divBdr>
                        <w:top w:val="none" w:sz="0" w:space="0" w:color="auto"/>
                        <w:left w:val="none" w:sz="0" w:space="0" w:color="auto"/>
                        <w:bottom w:val="none" w:sz="0" w:space="0" w:color="auto"/>
                        <w:right w:val="none" w:sz="0" w:space="0" w:color="auto"/>
                      </w:divBdr>
                    </w:div>
                  </w:divsChild>
                </w:div>
                <w:div w:id="440344895">
                  <w:marLeft w:val="0"/>
                  <w:marRight w:val="0"/>
                  <w:marTop w:val="0"/>
                  <w:marBottom w:val="0"/>
                  <w:divBdr>
                    <w:top w:val="none" w:sz="0" w:space="0" w:color="auto"/>
                    <w:left w:val="none" w:sz="0" w:space="0" w:color="auto"/>
                    <w:bottom w:val="none" w:sz="0" w:space="0" w:color="auto"/>
                    <w:right w:val="none" w:sz="0" w:space="0" w:color="auto"/>
                  </w:divBdr>
                  <w:divsChild>
                    <w:div w:id="260988068">
                      <w:marLeft w:val="0"/>
                      <w:marRight w:val="0"/>
                      <w:marTop w:val="0"/>
                      <w:marBottom w:val="0"/>
                      <w:divBdr>
                        <w:top w:val="none" w:sz="0" w:space="0" w:color="auto"/>
                        <w:left w:val="none" w:sz="0" w:space="0" w:color="auto"/>
                        <w:bottom w:val="none" w:sz="0" w:space="0" w:color="auto"/>
                        <w:right w:val="none" w:sz="0" w:space="0" w:color="auto"/>
                      </w:divBdr>
                    </w:div>
                  </w:divsChild>
                </w:div>
                <w:div w:id="524633112">
                  <w:marLeft w:val="0"/>
                  <w:marRight w:val="0"/>
                  <w:marTop w:val="0"/>
                  <w:marBottom w:val="0"/>
                  <w:divBdr>
                    <w:top w:val="none" w:sz="0" w:space="0" w:color="auto"/>
                    <w:left w:val="none" w:sz="0" w:space="0" w:color="auto"/>
                    <w:bottom w:val="none" w:sz="0" w:space="0" w:color="auto"/>
                    <w:right w:val="none" w:sz="0" w:space="0" w:color="auto"/>
                  </w:divBdr>
                  <w:divsChild>
                    <w:div w:id="1284993496">
                      <w:marLeft w:val="0"/>
                      <w:marRight w:val="0"/>
                      <w:marTop w:val="0"/>
                      <w:marBottom w:val="0"/>
                      <w:divBdr>
                        <w:top w:val="none" w:sz="0" w:space="0" w:color="auto"/>
                        <w:left w:val="none" w:sz="0" w:space="0" w:color="auto"/>
                        <w:bottom w:val="none" w:sz="0" w:space="0" w:color="auto"/>
                        <w:right w:val="none" w:sz="0" w:space="0" w:color="auto"/>
                      </w:divBdr>
                    </w:div>
                  </w:divsChild>
                </w:div>
                <w:div w:id="524640643">
                  <w:marLeft w:val="0"/>
                  <w:marRight w:val="0"/>
                  <w:marTop w:val="0"/>
                  <w:marBottom w:val="0"/>
                  <w:divBdr>
                    <w:top w:val="none" w:sz="0" w:space="0" w:color="auto"/>
                    <w:left w:val="none" w:sz="0" w:space="0" w:color="auto"/>
                    <w:bottom w:val="none" w:sz="0" w:space="0" w:color="auto"/>
                    <w:right w:val="none" w:sz="0" w:space="0" w:color="auto"/>
                  </w:divBdr>
                  <w:divsChild>
                    <w:div w:id="839931224">
                      <w:marLeft w:val="0"/>
                      <w:marRight w:val="0"/>
                      <w:marTop w:val="0"/>
                      <w:marBottom w:val="0"/>
                      <w:divBdr>
                        <w:top w:val="none" w:sz="0" w:space="0" w:color="auto"/>
                        <w:left w:val="none" w:sz="0" w:space="0" w:color="auto"/>
                        <w:bottom w:val="none" w:sz="0" w:space="0" w:color="auto"/>
                        <w:right w:val="none" w:sz="0" w:space="0" w:color="auto"/>
                      </w:divBdr>
                    </w:div>
                  </w:divsChild>
                </w:div>
                <w:div w:id="600264884">
                  <w:marLeft w:val="0"/>
                  <w:marRight w:val="0"/>
                  <w:marTop w:val="0"/>
                  <w:marBottom w:val="0"/>
                  <w:divBdr>
                    <w:top w:val="none" w:sz="0" w:space="0" w:color="auto"/>
                    <w:left w:val="none" w:sz="0" w:space="0" w:color="auto"/>
                    <w:bottom w:val="none" w:sz="0" w:space="0" w:color="auto"/>
                    <w:right w:val="none" w:sz="0" w:space="0" w:color="auto"/>
                  </w:divBdr>
                  <w:divsChild>
                    <w:div w:id="679818668">
                      <w:marLeft w:val="0"/>
                      <w:marRight w:val="0"/>
                      <w:marTop w:val="0"/>
                      <w:marBottom w:val="0"/>
                      <w:divBdr>
                        <w:top w:val="none" w:sz="0" w:space="0" w:color="auto"/>
                        <w:left w:val="none" w:sz="0" w:space="0" w:color="auto"/>
                        <w:bottom w:val="none" w:sz="0" w:space="0" w:color="auto"/>
                        <w:right w:val="none" w:sz="0" w:space="0" w:color="auto"/>
                      </w:divBdr>
                    </w:div>
                  </w:divsChild>
                </w:div>
                <w:div w:id="719861993">
                  <w:marLeft w:val="0"/>
                  <w:marRight w:val="0"/>
                  <w:marTop w:val="0"/>
                  <w:marBottom w:val="0"/>
                  <w:divBdr>
                    <w:top w:val="none" w:sz="0" w:space="0" w:color="auto"/>
                    <w:left w:val="none" w:sz="0" w:space="0" w:color="auto"/>
                    <w:bottom w:val="none" w:sz="0" w:space="0" w:color="auto"/>
                    <w:right w:val="none" w:sz="0" w:space="0" w:color="auto"/>
                  </w:divBdr>
                  <w:divsChild>
                    <w:div w:id="215894980">
                      <w:marLeft w:val="0"/>
                      <w:marRight w:val="0"/>
                      <w:marTop w:val="0"/>
                      <w:marBottom w:val="0"/>
                      <w:divBdr>
                        <w:top w:val="none" w:sz="0" w:space="0" w:color="auto"/>
                        <w:left w:val="none" w:sz="0" w:space="0" w:color="auto"/>
                        <w:bottom w:val="none" w:sz="0" w:space="0" w:color="auto"/>
                        <w:right w:val="none" w:sz="0" w:space="0" w:color="auto"/>
                      </w:divBdr>
                    </w:div>
                  </w:divsChild>
                </w:div>
                <w:div w:id="778378687">
                  <w:marLeft w:val="0"/>
                  <w:marRight w:val="0"/>
                  <w:marTop w:val="0"/>
                  <w:marBottom w:val="0"/>
                  <w:divBdr>
                    <w:top w:val="none" w:sz="0" w:space="0" w:color="auto"/>
                    <w:left w:val="none" w:sz="0" w:space="0" w:color="auto"/>
                    <w:bottom w:val="none" w:sz="0" w:space="0" w:color="auto"/>
                    <w:right w:val="none" w:sz="0" w:space="0" w:color="auto"/>
                  </w:divBdr>
                  <w:divsChild>
                    <w:div w:id="148401387">
                      <w:marLeft w:val="0"/>
                      <w:marRight w:val="0"/>
                      <w:marTop w:val="0"/>
                      <w:marBottom w:val="0"/>
                      <w:divBdr>
                        <w:top w:val="none" w:sz="0" w:space="0" w:color="auto"/>
                        <w:left w:val="none" w:sz="0" w:space="0" w:color="auto"/>
                        <w:bottom w:val="none" w:sz="0" w:space="0" w:color="auto"/>
                        <w:right w:val="none" w:sz="0" w:space="0" w:color="auto"/>
                      </w:divBdr>
                    </w:div>
                  </w:divsChild>
                </w:div>
                <w:div w:id="849101607">
                  <w:marLeft w:val="0"/>
                  <w:marRight w:val="0"/>
                  <w:marTop w:val="0"/>
                  <w:marBottom w:val="0"/>
                  <w:divBdr>
                    <w:top w:val="none" w:sz="0" w:space="0" w:color="auto"/>
                    <w:left w:val="none" w:sz="0" w:space="0" w:color="auto"/>
                    <w:bottom w:val="none" w:sz="0" w:space="0" w:color="auto"/>
                    <w:right w:val="none" w:sz="0" w:space="0" w:color="auto"/>
                  </w:divBdr>
                  <w:divsChild>
                    <w:div w:id="1443502230">
                      <w:marLeft w:val="0"/>
                      <w:marRight w:val="0"/>
                      <w:marTop w:val="0"/>
                      <w:marBottom w:val="0"/>
                      <w:divBdr>
                        <w:top w:val="none" w:sz="0" w:space="0" w:color="auto"/>
                        <w:left w:val="none" w:sz="0" w:space="0" w:color="auto"/>
                        <w:bottom w:val="none" w:sz="0" w:space="0" w:color="auto"/>
                        <w:right w:val="none" w:sz="0" w:space="0" w:color="auto"/>
                      </w:divBdr>
                    </w:div>
                  </w:divsChild>
                </w:div>
                <w:div w:id="859660085">
                  <w:marLeft w:val="0"/>
                  <w:marRight w:val="0"/>
                  <w:marTop w:val="0"/>
                  <w:marBottom w:val="0"/>
                  <w:divBdr>
                    <w:top w:val="none" w:sz="0" w:space="0" w:color="auto"/>
                    <w:left w:val="none" w:sz="0" w:space="0" w:color="auto"/>
                    <w:bottom w:val="none" w:sz="0" w:space="0" w:color="auto"/>
                    <w:right w:val="none" w:sz="0" w:space="0" w:color="auto"/>
                  </w:divBdr>
                  <w:divsChild>
                    <w:div w:id="1429736060">
                      <w:marLeft w:val="0"/>
                      <w:marRight w:val="0"/>
                      <w:marTop w:val="0"/>
                      <w:marBottom w:val="0"/>
                      <w:divBdr>
                        <w:top w:val="none" w:sz="0" w:space="0" w:color="auto"/>
                        <w:left w:val="none" w:sz="0" w:space="0" w:color="auto"/>
                        <w:bottom w:val="none" w:sz="0" w:space="0" w:color="auto"/>
                        <w:right w:val="none" w:sz="0" w:space="0" w:color="auto"/>
                      </w:divBdr>
                    </w:div>
                  </w:divsChild>
                </w:div>
                <w:div w:id="900481549">
                  <w:marLeft w:val="0"/>
                  <w:marRight w:val="0"/>
                  <w:marTop w:val="0"/>
                  <w:marBottom w:val="0"/>
                  <w:divBdr>
                    <w:top w:val="none" w:sz="0" w:space="0" w:color="auto"/>
                    <w:left w:val="none" w:sz="0" w:space="0" w:color="auto"/>
                    <w:bottom w:val="none" w:sz="0" w:space="0" w:color="auto"/>
                    <w:right w:val="none" w:sz="0" w:space="0" w:color="auto"/>
                  </w:divBdr>
                  <w:divsChild>
                    <w:div w:id="375131755">
                      <w:marLeft w:val="0"/>
                      <w:marRight w:val="0"/>
                      <w:marTop w:val="0"/>
                      <w:marBottom w:val="0"/>
                      <w:divBdr>
                        <w:top w:val="none" w:sz="0" w:space="0" w:color="auto"/>
                        <w:left w:val="none" w:sz="0" w:space="0" w:color="auto"/>
                        <w:bottom w:val="none" w:sz="0" w:space="0" w:color="auto"/>
                        <w:right w:val="none" w:sz="0" w:space="0" w:color="auto"/>
                      </w:divBdr>
                    </w:div>
                  </w:divsChild>
                </w:div>
                <w:div w:id="959725906">
                  <w:marLeft w:val="0"/>
                  <w:marRight w:val="0"/>
                  <w:marTop w:val="0"/>
                  <w:marBottom w:val="0"/>
                  <w:divBdr>
                    <w:top w:val="none" w:sz="0" w:space="0" w:color="auto"/>
                    <w:left w:val="none" w:sz="0" w:space="0" w:color="auto"/>
                    <w:bottom w:val="none" w:sz="0" w:space="0" w:color="auto"/>
                    <w:right w:val="none" w:sz="0" w:space="0" w:color="auto"/>
                  </w:divBdr>
                  <w:divsChild>
                    <w:div w:id="1836334699">
                      <w:marLeft w:val="0"/>
                      <w:marRight w:val="0"/>
                      <w:marTop w:val="0"/>
                      <w:marBottom w:val="0"/>
                      <w:divBdr>
                        <w:top w:val="none" w:sz="0" w:space="0" w:color="auto"/>
                        <w:left w:val="none" w:sz="0" w:space="0" w:color="auto"/>
                        <w:bottom w:val="none" w:sz="0" w:space="0" w:color="auto"/>
                        <w:right w:val="none" w:sz="0" w:space="0" w:color="auto"/>
                      </w:divBdr>
                    </w:div>
                  </w:divsChild>
                </w:div>
                <w:div w:id="977144277">
                  <w:marLeft w:val="0"/>
                  <w:marRight w:val="0"/>
                  <w:marTop w:val="0"/>
                  <w:marBottom w:val="0"/>
                  <w:divBdr>
                    <w:top w:val="none" w:sz="0" w:space="0" w:color="auto"/>
                    <w:left w:val="none" w:sz="0" w:space="0" w:color="auto"/>
                    <w:bottom w:val="none" w:sz="0" w:space="0" w:color="auto"/>
                    <w:right w:val="none" w:sz="0" w:space="0" w:color="auto"/>
                  </w:divBdr>
                  <w:divsChild>
                    <w:div w:id="286619594">
                      <w:marLeft w:val="0"/>
                      <w:marRight w:val="0"/>
                      <w:marTop w:val="0"/>
                      <w:marBottom w:val="0"/>
                      <w:divBdr>
                        <w:top w:val="none" w:sz="0" w:space="0" w:color="auto"/>
                        <w:left w:val="none" w:sz="0" w:space="0" w:color="auto"/>
                        <w:bottom w:val="none" w:sz="0" w:space="0" w:color="auto"/>
                        <w:right w:val="none" w:sz="0" w:space="0" w:color="auto"/>
                      </w:divBdr>
                    </w:div>
                  </w:divsChild>
                </w:div>
                <w:div w:id="1002780192">
                  <w:marLeft w:val="0"/>
                  <w:marRight w:val="0"/>
                  <w:marTop w:val="0"/>
                  <w:marBottom w:val="0"/>
                  <w:divBdr>
                    <w:top w:val="none" w:sz="0" w:space="0" w:color="auto"/>
                    <w:left w:val="none" w:sz="0" w:space="0" w:color="auto"/>
                    <w:bottom w:val="none" w:sz="0" w:space="0" w:color="auto"/>
                    <w:right w:val="none" w:sz="0" w:space="0" w:color="auto"/>
                  </w:divBdr>
                  <w:divsChild>
                    <w:div w:id="1306475152">
                      <w:marLeft w:val="0"/>
                      <w:marRight w:val="0"/>
                      <w:marTop w:val="0"/>
                      <w:marBottom w:val="0"/>
                      <w:divBdr>
                        <w:top w:val="none" w:sz="0" w:space="0" w:color="auto"/>
                        <w:left w:val="none" w:sz="0" w:space="0" w:color="auto"/>
                        <w:bottom w:val="none" w:sz="0" w:space="0" w:color="auto"/>
                        <w:right w:val="none" w:sz="0" w:space="0" w:color="auto"/>
                      </w:divBdr>
                    </w:div>
                  </w:divsChild>
                </w:div>
                <w:div w:id="1043865995">
                  <w:marLeft w:val="0"/>
                  <w:marRight w:val="0"/>
                  <w:marTop w:val="0"/>
                  <w:marBottom w:val="0"/>
                  <w:divBdr>
                    <w:top w:val="none" w:sz="0" w:space="0" w:color="auto"/>
                    <w:left w:val="none" w:sz="0" w:space="0" w:color="auto"/>
                    <w:bottom w:val="none" w:sz="0" w:space="0" w:color="auto"/>
                    <w:right w:val="none" w:sz="0" w:space="0" w:color="auto"/>
                  </w:divBdr>
                  <w:divsChild>
                    <w:div w:id="19207281">
                      <w:marLeft w:val="0"/>
                      <w:marRight w:val="0"/>
                      <w:marTop w:val="0"/>
                      <w:marBottom w:val="0"/>
                      <w:divBdr>
                        <w:top w:val="none" w:sz="0" w:space="0" w:color="auto"/>
                        <w:left w:val="none" w:sz="0" w:space="0" w:color="auto"/>
                        <w:bottom w:val="none" w:sz="0" w:space="0" w:color="auto"/>
                        <w:right w:val="none" w:sz="0" w:space="0" w:color="auto"/>
                      </w:divBdr>
                    </w:div>
                  </w:divsChild>
                </w:div>
                <w:div w:id="1101414094">
                  <w:marLeft w:val="0"/>
                  <w:marRight w:val="0"/>
                  <w:marTop w:val="0"/>
                  <w:marBottom w:val="0"/>
                  <w:divBdr>
                    <w:top w:val="none" w:sz="0" w:space="0" w:color="auto"/>
                    <w:left w:val="none" w:sz="0" w:space="0" w:color="auto"/>
                    <w:bottom w:val="none" w:sz="0" w:space="0" w:color="auto"/>
                    <w:right w:val="none" w:sz="0" w:space="0" w:color="auto"/>
                  </w:divBdr>
                  <w:divsChild>
                    <w:div w:id="1626888630">
                      <w:marLeft w:val="0"/>
                      <w:marRight w:val="0"/>
                      <w:marTop w:val="0"/>
                      <w:marBottom w:val="0"/>
                      <w:divBdr>
                        <w:top w:val="none" w:sz="0" w:space="0" w:color="auto"/>
                        <w:left w:val="none" w:sz="0" w:space="0" w:color="auto"/>
                        <w:bottom w:val="none" w:sz="0" w:space="0" w:color="auto"/>
                        <w:right w:val="none" w:sz="0" w:space="0" w:color="auto"/>
                      </w:divBdr>
                    </w:div>
                  </w:divsChild>
                </w:div>
                <w:div w:id="1262027400">
                  <w:marLeft w:val="0"/>
                  <w:marRight w:val="0"/>
                  <w:marTop w:val="0"/>
                  <w:marBottom w:val="0"/>
                  <w:divBdr>
                    <w:top w:val="none" w:sz="0" w:space="0" w:color="auto"/>
                    <w:left w:val="none" w:sz="0" w:space="0" w:color="auto"/>
                    <w:bottom w:val="none" w:sz="0" w:space="0" w:color="auto"/>
                    <w:right w:val="none" w:sz="0" w:space="0" w:color="auto"/>
                  </w:divBdr>
                  <w:divsChild>
                    <w:div w:id="2102288336">
                      <w:marLeft w:val="0"/>
                      <w:marRight w:val="0"/>
                      <w:marTop w:val="0"/>
                      <w:marBottom w:val="0"/>
                      <w:divBdr>
                        <w:top w:val="none" w:sz="0" w:space="0" w:color="auto"/>
                        <w:left w:val="none" w:sz="0" w:space="0" w:color="auto"/>
                        <w:bottom w:val="none" w:sz="0" w:space="0" w:color="auto"/>
                        <w:right w:val="none" w:sz="0" w:space="0" w:color="auto"/>
                      </w:divBdr>
                    </w:div>
                  </w:divsChild>
                </w:div>
                <w:div w:id="1349723217">
                  <w:marLeft w:val="0"/>
                  <w:marRight w:val="0"/>
                  <w:marTop w:val="0"/>
                  <w:marBottom w:val="0"/>
                  <w:divBdr>
                    <w:top w:val="none" w:sz="0" w:space="0" w:color="auto"/>
                    <w:left w:val="none" w:sz="0" w:space="0" w:color="auto"/>
                    <w:bottom w:val="none" w:sz="0" w:space="0" w:color="auto"/>
                    <w:right w:val="none" w:sz="0" w:space="0" w:color="auto"/>
                  </w:divBdr>
                  <w:divsChild>
                    <w:div w:id="281618487">
                      <w:marLeft w:val="0"/>
                      <w:marRight w:val="0"/>
                      <w:marTop w:val="0"/>
                      <w:marBottom w:val="0"/>
                      <w:divBdr>
                        <w:top w:val="none" w:sz="0" w:space="0" w:color="auto"/>
                        <w:left w:val="none" w:sz="0" w:space="0" w:color="auto"/>
                        <w:bottom w:val="none" w:sz="0" w:space="0" w:color="auto"/>
                        <w:right w:val="none" w:sz="0" w:space="0" w:color="auto"/>
                      </w:divBdr>
                    </w:div>
                  </w:divsChild>
                </w:div>
                <w:div w:id="1446345685">
                  <w:marLeft w:val="0"/>
                  <w:marRight w:val="0"/>
                  <w:marTop w:val="0"/>
                  <w:marBottom w:val="0"/>
                  <w:divBdr>
                    <w:top w:val="none" w:sz="0" w:space="0" w:color="auto"/>
                    <w:left w:val="none" w:sz="0" w:space="0" w:color="auto"/>
                    <w:bottom w:val="none" w:sz="0" w:space="0" w:color="auto"/>
                    <w:right w:val="none" w:sz="0" w:space="0" w:color="auto"/>
                  </w:divBdr>
                  <w:divsChild>
                    <w:div w:id="1110130341">
                      <w:marLeft w:val="0"/>
                      <w:marRight w:val="0"/>
                      <w:marTop w:val="0"/>
                      <w:marBottom w:val="0"/>
                      <w:divBdr>
                        <w:top w:val="none" w:sz="0" w:space="0" w:color="auto"/>
                        <w:left w:val="none" w:sz="0" w:space="0" w:color="auto"/>
                        <w:bottom w:val="none" w:sz="0" w:space="0" w:color="auto"/>
                        <w:right w:val="none" w:sz="0" w:space="0" w:color="auto"/>
                      </w:divBdr>
                    </w:div>
                  </w:divsChild>
                </w:div>
                <w:div w:id="1516572412">
                  <w:marLeft w:val="0"/>
                  <w:marRight w:val="0"/>
                  <w:marTop w:val="0"/>
                  <w:marBottom w:val="0"/>
                  <w:divBdr>
                    <w:top w:val="none" w:sz="0" w:space="0" w:color="auto"/>
                    <w:left w:val="none" w:sz="0" w:space="0" w:color="auto"/>
                    <w:bottom w:val="none" w:sz="0" w:space="0" w:color="auto"/>
                    <w:right w:val="none" w:sz="0" w:space="0" w:color="auto"/>
                  </w:divBdr>
                  <w:divsChild>
                    <w:div w:id="1335648051">
                      <w:marLeft w:val="0"/>
                      <w:marRight w:val="0"/>
                      <w:marTop w:val="0"/>
                      <w:marBottom w:val="0"/>
                      <w:divBdr>
                        <w:top w:val="none" w:sz="0" w:space="0" w:color="auto"/>
                        <w:left w:val="none" w:sz="0" w:space="0" w:color="auto"/>
                        <w:bottom w:val="none" w:sz="0" w:space="0" w:color="auto"/>
                        <w:right w:val="none" w:sz="0" w:space="0" w:color="auto"/>
                      </w:divBdr>
                    </w:div>
                  </w:divsChild>
                </w:div>
                <w:div w:id="1655988743">
                  <w:marLeft w:val="0"/>
                  <w:marRight w:val="0"/>
                  <w:marTop w:val="0"/>
                  <w:marBottom w:val="0"/>
                  <w:divBdr>
                    <w:top w:val="none" w:sz="0" w:space="0" w:color="auto"/>
                    <w:left w:val="none" w:sz="0" w:space="0" w:color="auto"/>
                    <w:bottom w:val="none" w:sz="0" w:space="0" w:color="auto"/>
                    <w:right w:val="none" w:sz="0" w:space="0" w:color="auto"/>
                  </w:divBdr>
                  <w:divsChild>
                    <w:div w:id="1949849018">
                      <w:marLeft w:val="0"/>
                      <w:marRight w:val="0"/>
                      <w:marTop w:val="0"/>
                      <w:marBottom w:val="0"/>
                      <w:divBdr>
                        <w:top w:val="none" w:sz="0" w:space="0" w:color="auto"/>
                        <w:left w:val="none" w:sz="0" w:space="0" w:color="auto"/>
                        <w:bottom w:val="none" w:sz="0" w:space="0" w:color="auto"/>
                        <w:right w:val="none" w:sz="0" w:space="0" w:color="auto"/>
                      </w:divBdr>
                    </w:div>
                  </w:divsChild>
                </w:div>
                <w:div w:id="1794060545">
                  <w:marLeft w:val="0"/>
                  <w:marRight w:val="0"/>
                  <w:marTop w:val="0"/>
                  <w:marBottom w:val="0"/>
                  <w:divBdr>
                    <w:top w:val="none" w:sz="0" w:space="0" w:color="auto"/>
                    <w:left w:val="none" w:sz="0" w:space="0" w:color="auto"/>
                    <w:bottom w:val="none" w:sz="0" w:space="0" w:color="auto"/>
                    <w:right w:val="none" w:sz="0" w:space="0" w:color="auto"/>
                  </w:divBdr>
                  <w:divsChild>
                    <w:div w:id="1140683867">
                      <w:marLeft w:val="0"/>
                      <w:marRight w:val="0"/>
                      <w:marTop w:val="0"/>
                      <w:marBottom w:val="0"/>
                      <w:divBdr>
                        <w:top w:val="none" w:sz="0" w:space="0" w:color="auto"/>
                        <w:left w:val="none" w:sz="0" w:space="0" w:color="auto"/>
                        <w:bottom w:val="none" w:sz="0" w:space="0" w:color="auto"/>
                        <w:right w:val="none" w:sz="0" w:space="0" w:color="auto"/>
                      </w:divBdr>
                    </w:div>
                  </w:divsChild>
                </w:div>
                <w:div w:id="1814563295">
                  <w:marLeft w:val="0"/>
                  <w:marRight w:val="0"/>
                  <w:marTop w:val="0"/>
                  <w:marBottom w:val="0"/>
                  <w:divBdr>
                    <w:top w:val="none" w:sz="0" w:space="0" w:color="auto"/>
                    <w:left w:val="none" w:sz="0" w:space="0" w:color="auto"/>
                    <w:bottom w:val="none" w:sz="0" w:space="0" w:color="auto"/>
                    <w:right w:val="none" w:sz="0" w:space="0" w:color="auto"/>
                  </w:divBdr>
                  <w:divsChild>
                    <w:div w:id="1988168901">
                      <w:marLeft w:val="0"/>
                      <w:marRight w:val="0"/>
                      <w:marTop w:val="0"/>
                      <w:marBottom w:val="0"/>
                      <w:divBdr>
                        <w:top w:val="none" w:sz="0" w:space="0" w:color="auto"/>
                        <w:left w:val="none" w:sz="0" w:space="0" w:color="auto"/>
                        <w:bottom w:val="none" w:sz="0" w:space="0" w:color="auto"/>
                        <w:right w:val="none" w:sz="0" w:space="0" w:color="auto"/>
                      </w:divBdr>
                    </w:div>
                  </w:divsChild>
                </w:div>
                <w:div w:id="1817213088">
                  <w:marLeft w:val="0"/>
                  <w:marRight w:val="0"/>
                  <w:marTop w:val="0"/>
                  <w:marBottom w:val="0"/>
                  <w:divBdr>
                    <w:top w:val="none" w:sz="0" w:space="0" w:color="auto"/>
                    <w:left w:val="none" w:sz="0" w:space="0" w:color="auto"/>
                    <w:bottom w:val="none" w:sz="0" w:space="0" w:color="auto"/>
                    <w:right w:val="none" w:sz="0" w:space="0" w:color="auto"/>
                  </w:divBdr>
                  <w:divsChild>
                    <w:div w:id="1685089073">
                      <w:marLeft w:val="0"/>
                      <w:marRight w:val="0"/>
                      <w:marTop w:val="0"/>
                      <w:marBottom w:val="0"/>
                      <w:divBdr>
                        <w:top w:val="none" w:sz="0" w:space="0" w:color="auto"/>
                        <w:left w:val="none" w:sz="0" w:space="0" w:color="auto"/>
                        <w:bottom w:val="none" w:sz="0" w:space="0" w:color="auto"/>
                        <w:right w:val="none" w:sz="0" w:space="0" w:color="auto"/>
                      </w:divBdr>
                    </w:div>
                  </w:divsChild>
                </w:div>
                <w:div w:id="1965186642">
                  <w:marLeft w:val="0"/>
                  <w:marRight w:val="0"/>
                  <w:marTop w:val="0"/>
                  <w:marBottom w:val="0"/>
                  <w:divBdr>
                    <w:top w:val="none" w:sz="0" w:space="0" w:color="auto"/>
                    <w:left w:val="none" w:sz="0" w:space="0" w:color="auto"/>
                    <w:bottom w:val="none" w:sz="0" w:space="0" w:color="auto"/>
                    <w:right w:val="none" w:sz="0" w:space="0" w:color="auto"/>
                  </w:divBdr>
                  <w:divsChild>
                    <w:div w:id="697045340">
                      <w:marLeft w:val="0"/>
                      <w:marRight w:val="0"/>
                      <w:marTop w:val="0"/>
                      <w:marBottom w:val="0"/>
                      <w:divBdr>
                        <w:top w:val="none" w:sz="0" w:space="0" w:color="auto"/>
                        <w:left w:val="none" w:sz="0" w:space="0" w:color="auto"/>
                        <w:bottom w:val="none" w:sz="0" w:space="0" w:color="auto"/>
                        <w:right w:val="none" w:sz="0" w:space="0" w:color="auto"/>
                      </w:divBdr>
                    </w:div>
                  </w:divsChild>
                </w:div>
                <w:div w:id="1999728428">
                  <w:marLeft w:val="0"/>
                  <w:marRight w:val="0"/>
                  <w:marTop w:val="0"/>
                  <w:marBottom w:val="0"/>
                  <w:divBdr>
                    <w:top w:val="none" w:sz="0" w:space="0" w:color="auto"/>
                    <w:left w:val="none" w:sz="0" w:space="0" w:color="auto"/>
                    <w:bottom w:val="none" w:sz="0" w:space="0" w:color="auto"/>
                    <w:right w:val="none" w:sz="0" w:space="0" w:color="auto"/>
                  </w:divBdr>
                  <w:divsChild>
                    <w:div w:id="1342659620">
                      <w:marLeft w:val="0"/>
                      <w:marRight w:val="0"/>
                      <w:marTop w:val="0"/>
                      <w:marBottom w:val="0"/>
                      <w:divBdr>
                        <w:top w:val="none" w:sz="0" w:space="0" w:color="auto"/>
                        <w:left w:val="none" w:sz="0" w:space="0" w:color="auto"/>
                        <w:bottom w:val="none" w:sz="0" w:space="0" w:color="auto"/>
                        <w:right w:val="none" w:sz="0" w:space="0" w:color="auto"/>
                      </w:divBdr>
                    </w:div>
                  </w:divsChild>
                </w:div>
                <w:div w:id="2054422873">
                  <w:marLeft w:val="0"/>
                  <w:marRight w:val="0"/>
                  <w:marTop w:val="0"/>
                  <w:marBottom w:val="0"/>
                  <w:divBdr>
                    <w:top w:val="none" w:sz="0" w:space="0" w:color="auto"/>
                    <w:left w:val="none" w:sz="0" w:space="0" w:color="auto"/>
                    <w:bottom w:val="none" w:sz="0" w:space="0" w:color="auto"/>
                    <w:right w:val="none" w:sz="0" w:space="0" w:color="auto"/>
                  </w:divBdr>
                  <w:divsChild>
                    <w:div w:id="399989416">
                      <w:marLeft w:val="0"/>
                      <w:marRight w:val="0"/>
                      <w:marTop w:val="0"/>
                      <w:marBottom w:val="0"/>
                      <w:divBdr>
                        <w:top w:val="none" w:sz="0" w:space="0" w:color="auto"/>
                        <w:left w:val="none" w:sz="0" w:space="0" w:color="auto"/>
                        <w:bottom w:val="none" w:sz="0" w:space="0" w:color="auto"/>
                        <w:right w:val="none" w:sz="0" w:space="0" w:color="auto"/>
                      </w:divBdr>
                    </w:div>
                  </w:divsChild>
                </w:div>
                <w:div w:id="2102021832">
                  <w:marLeft w:val="0"/>
                  <w:marRight w:val="0"/>
                  <w:marTop w:val="0"/>
                  <w:marBottom w:val="0"/>
                  <w:divBdr>
                    <w:top w:val="none" w:sz="0" w:space="0" w:color="auto"/>
                    <w:left w:val="none" w:sz="0" w:space="0" w:color="auto"/>
                    <w:bottom w:val="none" w:sz="0" w:space="0" w:color="auto"/>
                    <w:right w:val="none" w:sz="0" w:space="0" w:color="auto"/>
                  </w:divBdr>
                  <w:divsChild>
                    <w:div w:id="1100297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7709836">
      <w:bodyDiv w:val="1"/>
      <w:marLeft w:val="0"/>
      <w:marRight w:val="0"/>
      <w:marTop w:val="0"/>
      <w:marBottom w:val="0"/>
      <w:divBdr>
        <w:top w:val="none" w:sz="0" w:space="0" w:color="auto"/>
        <w:left w:val="none" w:sz="0" w:space="0" w:color="auto"/>
        <w:bottom w:val="none" w:sz="0" w:space="0" w:color="auto"/>
        <w:right w:val="none" w:sz="0" w:space="0" w:color="auto"/>
      </w:divBdr>
      <w:divsChild>
        <w:div w:id="52894363">
          <w:marLeft w:val="0"/>
          <w:marRight w:val="0"/>
          <w:marTop w:val="0"/>
          <w:marBottom w:val="0"/>
          <w:divBdr>
            <w:top w:val="none" w:sz="0" w:space="0" w:color="auto"/>
            <w:left w:val="none" w:sz="0" w:space="0" w:color="auto"/>
            <w:bottom w:val="none" w:sz="0" w:space="0" w:color="auto"/>
            <w:right w:val="none" w:sz="0" w:space="0" w:color="auto"/>
          </w:divBdr>
        </w:div>
        <w:div w:id="297223599">
          <w:marLeft w:val="0"/>
          <w:marRight w:val="0"/>
          <w:marTop w:val="0"/>
          <w:marBottom w:val="0"/>
          <w:divBdr>
            <w:top w:val="none" w:sz="0" w:space="0" w:color="auto"/>
            <w:left w:val="none" w:sz="0" w:space="0" w:color="auto"/>
            <w:bottom w:val="none" w:sz="0" w:space="0" w:color="auto"/>
            <w:right w:val="none" w:sz="0" w:space="0" w:color="auto"/>
          </w:divBdr>
          <w:divsChild>
            <w:div w:id="30426635">
              <w:marLeft w:val="0"/>
              <w:marRight w:val="0"/>
              <w:marTop w:val="0"/>
              <w:marBottom w:val="0"/>
              <w:divBdr>
                <w:top w:val="none" w:sz="0" w:space="0" w:color="auto"/>
                <w:left w:val="none" w:sz="0" w:space="0" w:color="auto"/>
                <w:bottom w:val="none" w:sz="0" w:space="0" w:color="auto"/>
                <w:right w:val="none" w:sz="0" w:space="0" w:color="auto"/>
              </w:divBdr>
            </w:div>
            <w:div w:id="106780755">
              <w:marLeft w:val="0"/>
              <w:marRight w:val="0"/>
              <w:marTop w:val="0"/>
              <w:marBottom w:val="0"/>
              <w:divBdr>
                <w:top w:val="none" w:sz="0" w:space="0" w:color="auto"/>
                <w:left w:val="none" w:sz="0" w:space="0" w:color="auto"/>
                <w:bottom w:val="none" w:sz="0" w:space="0" w:color="auto"/>
                <w:right w:val="none" w:sz="0" w:space="0" w:color="auto"/>
              </w:divBdr>
            </w:div>
            <w:div w:id="112600308">
              <w:marLeft w:val="0"/>
              <w:marRight w:val="0"/>
              <w:marTop w:val="0"/>
              <w:marBottom w:val="0"/>
              <w:divBdr>
                <w:top w:val="none" w:sz="0" w:space="0" w:color="auto"/>
                <w:left w:val="none" w:sz="0" w:space="0" w:color="auto"/>
                <w:bottom w:val="none" w:sz="0" w:space="0" w:color="auto"/>
                <w:right w:val="none" w:sz="0" w:space="0" w:color="auto"/>
              </w:divBdr>
            </w:div>
            <w:div w:id="146436106">
              <w:marLeft w:val="0"/>
              <w:marRight w:val="0"/>
              <w:marTop w:val="0"/>
              <w:marBottom w:val="0"/>
              <w:divBdr>
                <w:top w:val="none" w:sz="0" w:space="0" w:color="auto"/>
                <w:left w:val="none" w:sz="0" w:space="0" w:color="auto"/>
                <w:bottom w:val="none" w:sz="0" w:space="0" w:color="auto"/>
                <w:right w:val="none" w:sz="0" w:space="0" w:color="auto"/>
              </w:divBdr>
            </w:div>
            <w:div w:id="245069005">
              <w:marLeft w:val="0"/>
              <w:marRight w:val="0"/>
              <w:marTop w:val="0"/>
              <w:marBottom w:val="0"/>
              <w:divBdr>
                <w:top w:val="none" w:sz="0" w:space="0" w:color="auto"/>
                <w:left w:val="none" w:sz="0" w:space="0" w:color="auto"/>
                <w:bottom w:val="none" w:sz="0" w:space="0" w:color="auto"/>
                <w:right w:val="none" w:sz="0" w:space="0" w:color="auto"/>
              </w:divBdr>
            </w:div>
            <w:div w:id="329797930">
              <w:marLeft w:val="0"/>
              <w:marRight w:val="0"/>
              <w:marTop w:val="0"/>
              <w:marBottom w:val="0"/>
              <w:divBdr>
                <w:top w:val="none" w:sz="0" w:space="0" w:color="auto"/>
                <w:left w:val="none" w:sz="0" w:space="0" w:color="auto"/>
                <w:bottom w:val="none" w:sz="0" w:space="0" w:color="auto"/>
                <w:right w:val="none" w:sz="0" w:space="0" w:color="auto"/>
              </w:divBdr>
            </w:div>
            <w:div w:id="581840488">
              <w:marLeft w:val="0"/>
              <w:marRight w:val="0"/>
              <w:marTop w:val="0"/>
              <w:marBottom w:val="0"/>
              <w:divBdr>
                <w:top w:val="none" w:sz="0" w:space="0" w:color="auto"/>
                <w:left w:val="none" w:sz="0" w:space="0" w:color="auto"/>
                <w:bottom w:val="none" w:sz="0" w:space="0" w:color="auto"/>
                <w:right w:val="none" w:sz="0" w:space="0" w:color="auto"/>
              </w:divBdr>
            </w:div>
            <w:div w:id="713041696">
              <w:marLeft w:val="0"/>
              <w:marRight w:val="0"/>
              <w:marTop w:val="0"/>
              <w:marBottom w:val="0"/>
              <w:divBdr>
                <w:top w:val="none" w:sz="0" w:space="0" w:color="auto"/>
                <w:left w:val="none" w:sz="0" w:space="0" w:color="auto"/>
                <w:bottom w:val="none" w:sz="0" w:space="0" w:color="auto"/>
                <w:right w:val="none" w:sz="0" w:space="0" w:color="auto"/>
              </w:divBdr>
            </w:div>
            <w:div w:id="724910116">
              <w:marLeft w:val="0"/>
              <w:marRight w:val="0"/>
              <w:marTop w:val="0"/>
              <w:marBottom w:val="0"/>
              <w:divBdr>
                <w:top w:val="none" w:sz="0" w:space="0" w:color="auto"/>
                <w:left w:val="none" w:sz="0" w:space="0" w:color="auto"/>
                <w:bottom w:val="none" w:sz="0" w:space="0" w:color="auto"/>
                <w:right w:val="none" w:sz="0" w:space="0" w:color="auto"/>
              </w:divBdr>
            </w:div>
            <w:div w:id="778376227">
              <w:marLeft w:val="0"/>
              <w:marRight w:val="0"/>
              <w:marTop w:val="0"/>
              <w:marBottom w:val="0"/>
              <w:divBdr>
                <w:top w:val="none" w:sz="0" w:space="0" w:color="auto"/>
                <w:left w:val="none" w:sz="0" w:space="0" w:color="auto"/>
                <w:bottom w:val="none" w:sz="0" w:space="0" w:color="auto"/>
                <w:right w:val="none" w:sz="0" w:space="0" w:color="auto"/>
              </w:divBdr>
            </w:div>
            <w:div w:id="816334967">
              <w:marLeft w:val="0"/>
              <w:marRight w:val="0"/>
              <w:marTop w:val="0"/>
              <w:marBottom w:val="0"/>
              <w:divBdr>
                <w:top w:val="none" w:sz="0" w:space="0" w:color="auto"/>
                <w:left w:val="none" w:sz="0" w:space="0" w:color="auto"/>
                <w:bottom w:val="none" w:sz="0" w:space="0" w:color="auto"/>
                <w:right w:val="none" w:sz="0" w:space="0" w:color="auto"/>
              </w:divBdr>
            </w:div>
            <w:div w:id="866672731">
              <w:marLeft w:val="0"/>
              <w:marRight w:val="0"/>
              <w:marTop w:val="0"/>
              <w:marBottom w:val="0"/>
              <w:divBdr>
                <w:top w:val="none" w:sz="0" w:space="0" w:color="auto"/>
                <w:left w:val="none" w:sz="0" w:space="0" w:color="auto"/>
                <w:bottom w:val="none" w:sz="0" w:space="0" w:color="auto"/>
                <w:right w:val="none" w:sz="0" w:space="0" w:color="auto"/>
              </w:divBdr>
            </w:div>
            <w:div w:id="1355038575">
              <w:marLeft w:val="0"/>
              <w:marRight w:val="0"/>
              <w:marTop w:val="0"/>
              <w:marBottom w:val="0"/>
              <w:divBdr>
                <w:top w:val="none" w:sz="0" w:space="0" w:color="auto"/>
                <w:left w:val="none" w:sz="0" w:space="0" w:color="auto"/>
                <w:bottom w:val="none" w:sz="0" w:space="0" w:color="auto"/>
                <w:right w:val="none" w:sz="0" w:space="0" w:color="auto"/>
              </w:divBdr>
            </w:div>
            <w:div w:id="1418214113">
              <w:marLeft w:val="0"/>
              <w:marRight w:val="0"/>
              <w:marTop w:val="0"/>
              <w:marBottom w:val="0"/>
              <w:divBdr>
                <w:top w:val="none" w:sz="0" w:space="0" w:color="auto"/>
                <w:left w:val="none" w:sz="0" w:space="0" w:color="auto"/>
                <w:bottom w:val="none" w:sz="0" w:space="0" w:color="auto"/>
                <w:right w:val="none" w:sz="0" w:space="0" w:color="auto"/>
              </w:divBdr>
            </w:div>
            <w:div w:id="1449354573">
              <w:marLeft w:val="0"/>
              <w:marRight w:val="0"/>
              <w:marTop w:val="0"/>
              <w:marBottom w:val="0"/>
              <w:divBdr>
                <w:top w:val="none" w:sz="0" w:space="0" w:color="auto"/>
                <w:left w:val="none" w:sz="0" w:space="0" w:color="auto"/>
                <w:bottom w:val="none" w:sz="0" w:space="0" w:color="auto"/>
                <w:right w:val="none" w:sz="0" w:space="0" w:color="auto"/>
              </w:divBdr>
            </w:div>
            <w:div w:id="1652058486">
              <w:marLeft w:val="0"/>
              <w:marRight w:val="0"/>
              <w:marTop w:val="0"/>
              <w:marBottom w:val="0"/>
              <w:divBdr>
                <w:top w:val="none" w:sz="0" w:space="0" w:color="auto"/>
                <w:left w:val="none" w:sz="0" w:space="0" w:color="auto"/>
                <w:bottom w:val="none" w:sz="0" w:space="0" w:color="auto"/>
                <w:right w:val="none" w:sz="0" w:space="0" w:color="auto"/>
              </w:divBdr>
            </w:div>
            <w:div w:id="1980261260">
              <w:marLeft w:val="0"/>
              <w:marRight w:val="0"/>
              <w:marTop w:val="0"/>
              <w:marBottom w:val="0"/>
              <w:divBdr>
                <w:top w:val="none" w:sz="0" w:space="0" w:color="auto"/>
                <w:left w:val="none" w:sz="0" w:space="0" w:color="auto"/>
                <w:bottom w:val="none" w:sz="0" w:space="0" w:color="auto"/>
                <w:right w:val="none" w:sz="0" w:space="0" w:color="auto"/>
              </w:divBdr>
            </w:div>
            <w:div w:id="1998536919">
              <w:marLeft w:val="0"/>
              <w:marRight w:val="0"/>
              <w:marTop w:val="0"/>
              <w:marBottom w:val="0"/>
              <w:divBdr>
                <w:top w:val="none" w:sz="0" w:space="0" w:color="auto"/>
                <w:left w:val="none" w:sz="0" w:space="0" w:color="auto"/>
                <w:bottom w:val="none" w:sz="0" w:space="0" w:color="auto"/>
                <w:right w:val="none" w:sz="0" w:space="0" w:color="auto"/>
              </w:divBdr>
            </w:div>
            <w:div w:id="2074742465">
              <w:marLeft w:val="0"/>
              <w:marRight w:val="0"/>
              <w:marTop w:val="0"/>
              <w:marBottom w:val="0"/>
              <w:divBdr>
                <w:top w:val="none" w:sz="0" w:space="0" w:color="auto"/>
                <w:left w:val="none" w:sz="0" w:space="0" w:color="auto"/>
                <w:bottom w:val="none" w:sz="0" w:space="0" w:color="auto"/>
                <w:right w:val="none" w:sz="0" w:space="0" w:color="auto"/>
              </w:divBdr>
            </w:div>
          </w:divsChild>
        </w:div>
        <w:div w:id="652607937">
          <w:marLeft w:val="0"/>
          <w:marRight w:val="0"/>
          <w:marTop w:val="0"/>
          <w:marBottom w:val="0"/>
          <w:divBdr>
            <w:top w:val="none" w:sz="0" w:space="0" w:color="auto"/>
            <w:left w:val="none" w:sz="0" w:space="0" w:color="auto"/>
            <w:bottom w:val="none" w:sz="0" w:space="0" w:color="auto"/>
            <w:right w:val="none" w:sz="0" w:space="0" w:color="auto"/>
          </w:divBdr>
          <w:divsChild>
            <w:div w:id="1569195393">
              <w:marLeft w:val="-75"/>
              <w:marRight w:val="0"/>
              <w:marTop w:val="30"/>
              <w:marBottom w:val="30"/>
              <w:divBdr>
                <w:top w:val="none" w:sz="0" w:space="0" w:color="auto"/>
                <w:left w:val="none" w:sz="0" w:space="0" w:color="auto"/>
                <w:bottom w:val="none" w:sz="0" w:space="0" w:color="auto"/>
                <w:right w:val="none" w:sz="0" w:space="0" w:color="auto"/>
              </w:divBdr>
              <w:divsChild>
                <w:div w:id="21983398">
                  <w:marLeft w:val="0"/>
                  <w:marRight w:val="0"/>
                  <w:marTop w:val="0"/>
                  <w:marBottom w:val="0"/>
                  <w:divBdr>
                    <w:top w:val="none" w:sz="0" w:space="0" w:color="auto"/>
                    <w:left w:val="none" w:sz="0" w:space="0" w:color="auto"/>
                    <w:bottom w:val="none" w:sz="0" w:space="0" w:color="auto"/>
                    <w:right w:val="none" w:sz="0" w:space="0" w:color="auto"/>
                  </w:divBdr>
                  <w:divsChild>
                    <w:div w:id="1739743732">
                      <w:marLeft w:val="0"/>
                      <w:marRight w:val="0"/>
                      <w:marTop w:val="0"/>
                      <w:marBottom w:val="0"/>
                      <w:divBdr>
                        <w:top w:val="none" w:sz="0" w:space="0" w:color="auto"/>
                        <w:left w:val="none" w:sz="0" w:space="0" w:color="auto"/>
                        <w:bottom w:val="none" w:sz="0" w:space="0" w:color="auto"/>
                        <w:right w:val="none" w:sz="0" w:space="0" w:color="auto"/>
                      </w:divBdr>
                    </w:div>
                  </w:divsChild>
                </w:div>
                <w:div w:id="55132991">
                  <w:marLeft w:val="0"/>
                  <w:marRight w:val="0"/>
                  <w:marTop w:val="0"/>
                  <w:marBottom w:val="0"/>
                  <w:divBdr>
                    <w:top w:val="none" w:sz="0" w:space="0" w:color="auto"/>
                    <w:left w:val="none" w:sz="0" w:space="0" w:color="auto"/>
                    <w:bottom w:val="none" w:sz="0" w:space="0" w:color="auto"/>
                    <w:right w:val="none" w:sz="0" w:space="0" w:color="auto"/>
                  </w:divBdr>
                  <w:divsChild>
                    <w:div w:id="2067072574">
                      <w:marLeft w:val="0"/>
                      <w:marRight w:val="0"/>
                      <w:marTop w:val="0"/>
                      <w:marBottom w:val="0"/>
                      <w:divBdr>
                        <w:top w:val="none" w:sz="0" w:space="0" w:color="auto"/>
                        <w:left w:val="none" w:sz="0" w:space="0" w:color="auto"/>
                        <w:bottom w:val="none" w:sz="0" w:space="0" w:color="auto"/>
                        <w:right w:val="none" w:sz="0" w:space="0" w:color="auto"/>
                      </w:divBdr>
                    </w:div>
                  </w:divsChild>
                </w:div>
                <w:div w:id="249703235">
                  <w:marLeft w:val="0"/>
                  <w:marRight w:val="0"/>
                  <w:marTop w:val="0"/>
                  <w:marBottom w:val="0"/>
                  <w:divBdr>
                    <w:top w:val="none" w:sz="0" w:space="0" w:color="auto"/>
                    <w:left w:val="none" w:sz="0" w:space="0" w:color="auto"/>
                    <w:bottom w:val="none" w:sz="0" w:space="0" w:color="auto"/>
                    <w:right w:val="none" w:sz="0" w:space="0" w:color="auto"/>
                  </w:divBdr>
                  <w:divsChild>
                    <w:div w:id="1306275406">
                      <w:marLeft w:val="0"/>
                      <w:marRight w:val="0"/>
                      <w:marTop w:val="0"/>
                      <w:marBottom w:val="0"/>
                      <w:divBdr>
                        <w:top w:val="none" w:sz="0" w:space="0" w:color="auto"/>
                        <w:left w:val="none" w:sz="0" w:space="0" w:color="auto"/>
                        <w:bottom w:val="none" w:sz="0" w:space="0" w:color="auto"/>
                        <w:right w:val="none" w:sz="0" w:space="0" w:color="auto"/>
                      </w:divBdr>
                    </w:div>
                  </w:divsChild>
                </w:div>
                <w:div w:id="262492881">
                  <w:marLeft w:val="0"/>
                  <w:marRight w:val="0"/>
                  <w:marTop w:val="0"/>
                  <w:marBottom w:val="0"/>
                  <w:divBdr>
                    <w:top w:val="none" w:sz="0" w:space="0" w:color="auto"/>
                    <w:left w:val="none" w:sz="0" w:space="0" w:color="auto"/>
                    <w:bottom w:val="none" w:sz="0" w:space="0" w:color="auto"/>
                    <w:right w:val="none" w:sz="0" w:space="0" w:color="auto"/>
                  </w:divBdr>
                  <w:divsChild>
                    <w:div w:id="161240767">
                      <w:marLeft w:val="0"/>
                      <w:marRight w:val="0"/>
                      <w:marTop w:val="0"/>
                      <w:marBottom w:val="0"/>
                      <w:divBdr>
                        <w:top w:val="none" w:sz="0" w:space="0" w:color="auto"/>
                        <w:left w:val="none" w:sz="0" w:space="0" w:color="auto"/>
                        <w:bottom w:val="none" w:sz="0" w:space="0" w:color="auto"/>
                        <w:right w:val="none" w:sz="0" w:space="0" w:color="auto"/>
                      </w:divBdr>
                    </w:div>
                  </w:divsChild>
                </w:div>
                <w:div w:id="302929715">
                  <w:marLeft w:val="0"/>
                  <w:marRight w:val="0"/>
                  <w:marTop w:val="0"/>
                  <w:marBottom w:val="0"/>
                  <w:divBdr>
                    <w:top w:val="none" w:sz="0" w:space="0" w:color="auto"/>
                    <w:left w:val="none" w:sz="0" w:space="0" w:color="auto"/>
                    <w:bottom w:val="none" w:sz="0" w:space="0" w:color="auto"/>
                    <w:right w:val="none" w:sz="0" w:space="0" w:color="auto"/>
                  </w:divBdr>
                  <w:divsChild>
                    <w:div w:id="1838498838">
                      <w:marLeft w:val="0"/>
                      <w:marRight w:val="0"/>
                      <w:marTop w:val="0"/>
                      <w:marBottom w:val="0"/>
                      <w:divBdr>
                        <w:top w:val="none" w:sz="0" w:space="0" w:color="auto"/>
                        <w:left w:val="none" w:sz="0" w:space="0" w:color="auto"/>
                        <w:bottom w:val="none" w:sz="0" w:space="0" w:color="auto"/>
                        <w:right w:val="none" w:sz="0" w:space="0" w:color="auto"/>
                      </w:divBdr>
                    </w:div>
                  </w:divsChild>
                </w:div>
                <w:div w:id="399670570">
                  <w:marLeft w:val="0"/>
                  <w:marRight w:val="0"/>
                  <w:marTop w:val="0"/>
                  <w:marBottom w:val="0"/>
                  <w:divBdr>
                    <w:top w:val="none" w:sz="0" w:space="0" w:color="auto"/>
                    <w:left w:val="none" w:sz="0" w:space="0" w:color="auto"/>
                    <w:bottom w:val="none" w:sz="0" w:space="0" w:color="auto"/>
                    <w:right w:val="none" w:sz="0" w:space="0" w:color="auto"/>
                  </w:divBdr>
                  <w:divsChild>
                    <w:div w:id="1023435673">
                      <w:marLeft w:val="0"/>
                      <w:marRight w:val="0"/>
                      <w:marTop w:val="0"/>
                      <w:marBottom w:val="0"/>
                      <w:divBdr>
                        <w:top w:val="none" w:sz="0" w:space="0" w:color="auto"/>
                        <w:left w:val="none" w:sz="0" w:space="0" w:color="auto"/>
                        <w:bottom w:val="none" w:sz="0" w:space="0" w:color="auto"/>
                        <w:right w:val="none" w:sz="0" w:space="0" w:color="auto"/>
                      </w:divBdr>
                    </w:div>
                  </w:divsChild>
                </w:div>
                <w:div w:id="405998220">
                  <w:marLeft w:val="0"/>
                  <w:marRight w:val="0"/>
                  <w:marTop w:val="0"/>
                  <w:marBottom w:val="0"/>
                  <w:divBdr>
                    <w:top w:val="none" w:sz="0" w:space="0" w:color="auto"/>
                    <w:left w:val="none" w:sz="0" w:space="0" w:color="auto"/>
                    <w:bottom w:val="none" w:sz="0" w:space="0" w:color="auto"/>
                    <w:right w:val="none" w:sz="0" w:space="0" w:color="auto"/>
                  </w:divBdr>
                  <w:divsChild>
                    <w:div w:id="1687638426">
                      <w:marLeft w:val="0"/>
                      <w:marRight w:val="0"/>
                      <w:marTop w:val="0"/>
                      <w:marBottom w:val="0"/>
                      <w:divBdr>
                        <w:top w:val="none" w:sz="0" w:space="0" w:color="auto"/>
                        <w:left w:val="none" w:sz="0" w:space="0" w:color="auto"/>
                        <w:bottom w:val="none" w:sz="0" w:space="0" w:color="auto"/>
                        <w:right w:val="none" w:sz="0" w:space="0" w:color="auto"/>
                      </w:divBdr>
                    </w:div>
                  </w:divsChild>
                </w:div>
                <w:div w:id="424307824">
                  <w:marLeft w:val="0"/>
                  <w:marRight w:val="0"/>
                  <w:marTop w:val="0"/>
                  <w:marBottom w:val="0"/>
                  <w:divBdr>
                    <w:top w:val="none" w:sz="0" w:space="0" w:color="auto"/>
                    <w:left w:val="none" w:sz="0" w:space="0" w:color="auto"/>
                    <w:bottom w:val="none" w:sz="0" w:space="0" w:color="auto"/>
                    <w:right w:val="none" w:sz="0" w:space="0" w:color="auto"/>
                  </w:divBdr>
                  <w:divsChild>
                    <w:div w:id="914432537">
                      <w:marLeft w:val="0"/>
                      <w:marRight w:val="0"/>
                      <w:marTop w:val="0"/>
                      <w:marBottom w:val="0"/>
                      <w:divBdr>
                        <w:top w:val="none" w:sz="0" w:space="0" w:color="auto"/>
                        <w:left w:val="none" w:sz="0" w:space="0" w:color="auto"/>
                        <w:bottom w:val="none" w:sz="0" w:space="0" w:color="auto"/>
                        <w:right w:val="none" w:sz="0" w:space="0" w:color="auto"/>
                      </w:divBdr>
                    </w:div>
                  </w:divsChild>
                </w:div>
                <w:div w:id="436870434">
                  <w:marLeft w:val="0"/>
                  <w:marRight w:val="0"/>
                  <w:marTop w:val="0"/>
                  <w:marBottom w:val="0"/>
                  <w:divBdr>
                    <w:top w:val="none" w:sz="0" w:space="0" w:color="auto"/>
                    <w:left w:val="none" w:sz="0" w:space="0" w:color="auto"/>
                    <w:bottom w:val="none" w:sz="0" w:space="0" w:color="auto"/>
                    <w:right w:val="none" w:sz="0" w:space="0" w:color="auto"/>
                  </w:divBdr>
                  <w:divsChild>
                    <w:div w:id="1666350136">
                      <w:marLeft w:val="0"/>
                      <w:marRight w:val="0"/>
                      <w:marTop w:val="0"/>
                      <w:marBottom w:val="0"/>
                      <w:divBdr>
                        <w:top w:val="none" w:sz="0" w:space="0" w:color="auto"/>
                        <w:left w:val="none" w:sz="0" w:space="0" w:color="auto"/>
                        <w:bottom w:val="none" w:sz="0" w:space="0" w:color="auto"/>
                        <w:right w:val="none" w:sz="0" w:space="0" w:color="auto"/>
                      </w:divBdr>
                    </w:div>
                  </w:divsChild>
                </w:div>
                <w:div w:id="492381030">
                  <w:marLeft w:val="0"/>
                  <w:marRight w:val="0"/>
                  <w:marTop w:val="0"/>
                  <w:marBottom w:val="0"/>
                  <w:divBdr>
                    <w:top w:val="none" w:sz="0" w:space="0" w:color="auto"/>
                    <w:left w:val="none" w:sz="0" w:space="0" w:color="auto"/>
                    <w:bottom w:val="none" w:sz="0" w:space="0" w:color="auto"/>
                    <w:right w:val="none" w:sz="0" w:space="0" w:color="auto"/>
                  </w:divBdr>
                  <w:divsChild>
                    <w:div w:id="995306363">
                      <w:marLeft w:val="0"/>
                      <w:marRight w:val="0"/>
                      <w:marTop w:val="0"/>
                      <w:marBottom w:val="0"/>
                      <w:divBdr>
                        <w:top w:val="none" w:sz="0" w:space="0" w:color="auto"/>
                        <w:left w:val="none" w:sz="0" w:space="0" w:color="auto"/>
                        <w:bottom w:val="none" w:sz="0" w:space="0" w:color="auto"/>
                        <w:right w:val="none" w:sz="0" w:space="0" w:color="auto"/>
                      </w:divBdr>
                    </w:div>
                  </w:divsChild>
                </w:div>
                <w:div w:id="538126811">
                  <w:marLeft w:val="0"/>
                  <w:marRight w:val="0"/>
                  <w:marTop w:val="0"/>
                  <w:marBottom w:val="0"/>
                  <w:divBdr>
                    <w:top w:val="none" w:sz="0" w:space="0" w:color="auto"/>
                    <w:left w:val="none" w:sz="0" w:space="0" w:color="auto"/>
                    <w:bottom w:val="none" w:sz="0" w:space="0" w:color="auto"/>
                    <w:right w:val="none" w:sz="0" w:space="0" w:color="auto"/>
                  </w:divBdr>
                  <w:divsChild>
                    <w:div w:id="1672292826">
                      <w:marLeft w:val="0"/>
                      <w:marRight w:val="0"/>
                      <w:marTop w:val="0"/>
                      <w:marBottom w:val="0"/>
                      <w:divBdr>
                        <w:top w:val="none" w:sz="0" w:space="0" w:color="auto"/>
                        <w:left w:val="none" w:sz="0" w:space="0" w:color="auto"/>
                        <w:bottom w:val="none" w:sz="0" w:space="0" w:color="auto"/>
                        <w:right w:val="none" w:sz="0" w:space="0" w:color="auto"/>
                      </w:divBdr>
                    </w:div>
                  </w:divsChild>
                </w:div>
                <w:div w:id="595091661">
                  <w:marLeft w:val="0"/>
                  <w:marRight w:val="0"/>
                  <w:marTop w:val="0"/>
                  <w:marBottom w:val="0"/>
                  <w:divBdr>
                    <w:top w:val="none" w:sz="0" w:space="0" w:color="auto"/>
                    <w:left w:val="none" w:sz="0" w:space="0" w:color="auto"/>
                    <w:bottom w:val="none" w:sz="0" w:space="0" w:color="auto"/>
                    <w:right w:val="none" w:sz="0" w:space="0" w:color="auto"/>
                  </w:divBdr>
                  <w:divsChild>
                    <w:div w:id="300961114">
                      <w:marLeft w:val="0"/>
                      <w:marRight w:val="0"/>
                      <w:marTop w:val="0"/>
                      <w:marBottom w:val="0"/>
                      <w:divBdr>
                        <w:top w:val="none" w:sz="0" w:space="0" w:color="auto"/>
                        <w:left w:val="none" w:sz="0" w:space="0" w:color="auto"/>
                        <w:bottom w:val="none" w:sz="0" w:space="0" w:color="auto"/>
                        <w:right w:val="none" w:sz="0" w:space="0" w:color="auto"/>
                      </w:divBdr>
                    </w:div>
                  </w:divsChild>
                </w:div>
                <w:div w:id="604923711">
                  <w:marLeft w:val="0"/>
                  <w:marRight w:val="0"/>
                  <w:marTop w:val="0"/>
                  <w:marBottom w:val="0"/>
                  <w:divBdr>
                    <w:top w:val="none" w:sz="0" w:space="0" w:color="auto"/>
                    <w:left w:val="none" w:sz="0" w:space="0" w:color="auto"/>
                    <w:bottom w:val="none" w:sz="0" w:space="0" w:color="auto"/>
                    <w:right w:val="none" w:sz="0" w:space="0" w:color="auto"/>
                  </w:divBdr>
                  <w:divsChild>
                    <w:div w:id="191959185">
                      <w:marLeft w:val="0"/>
                      <w:marRight w:val="0"/>
                      <w:marTop w:val="0"/>
                      <w:marBottom w:val="0"/>
                      <w:divBdr>
                        <w:top w:val="none" w:sz="0" w:space="0" w:color="auto"/>
                        <w:left w:val="none" w:sz="0" w:space="0" w:color="auto"/>
                        <w:bottom w:val="none" w:sz="0" w:space="0" w:color="auto"/>
                        <w:right w:val="none" w:sz="0" w:space="0" w:color="auto"/>
                      </w:divBdr>
                    </w:div>
                  </w:divsChild>
                </w:div>
                <w:div w:id="621309339">
                  <w:marLeft w:val="0"/>
                  <w:marRight w:val="0"/>
                  <w:marTop w:val="0"/>
                  <w:marBottom w:val="0"/>
                  <w:divBdr>
                    <w:top w:val="none" w:sz="0" w:space="0" w:color="auto"/>
                    <w:left w:val="none" w:sz="0" w:space="0" w:color="auto"/>
                    <w:bottom w:val="none" w:sz="0" w:space="0" w:color="auto"/>
                    <w:right w:val="none" w:sz="0" w:space="0" w:color="auto"/>
                  </w:divBdr>
                  <w:divsChild>
                    <w:div w:id="882249273">
                      <w:marLeft w:val="0"/>
                      <w:marRight w:val="0"/>
                      <w:marTop w:val="0"/>
                      <w:marBottom w:val="0"/>
                      <w:divBdr>
                        <w:top w:val="none" w:sz="0" w:space="0" w:color="auto"/>
                        <w:left w:val="none" w:sz="0" w:space="0" w:color="auto"/>
                        <w:bottom w:val="none" w:sz="0" w:space="0" w:color="auto"/>
                        <w:right w:val="none" w:sz="0" w:space="0" w:color="auto"/>
                      </w:divBdr>
                    </w:div>
                  </w:divsChild>
                </w:div>
                <w:div w:id="627589541">
                  <w:marLeft w:val="0"/>
                  <w:marRight w:val="0"/>
                  <w:marTop w:val="0"/>
                  <w:marBottom w:val="0"/>
                  <w:divBdr>
                    <w:top w:val="none" w:sz="0" w:space="0" w:color="auto"/>
                    <w:left w:val="none" w:sz="0" w:space="0" w:color="auto"/>
                    <w:bottom w:val="none" w:sz="0" w:space="0" w:color="auto"/>
                    <w:right w:val="none" w:sz="0" w:space="0" w:color="auto"/>
                  </w:divBdr>
                  <w:divsChild>
                    <w:div w:id="1432893845">
                      <w:marLeft w:val="0"/>
                      <w:marRight w:val="0"/>
                      <w:marTop w:val="0"/>
                      <w:marBottom w:val="0"/>
                      <w:divBdr>
                        <w:top w:val="none" w:sz="0" w:space="0" w:color="auto"/>
                        <w:left w:val="none" w:sz="0" w:space="0" w:color="auto"/>
                        <w:bottom w:val="none" w:sz="0" w:space="0" w:color="auto"/>
                        <w:right w:val="none" w:sz="0" w:space="0" w:color="auto"/>
                      </w:divBdr>
                    </w:div>
                  </w:divsChild>
                </w:div>
                <w:div w:id="629746342">
                  <w:marLeft w:val="0"/>
                  <w:marRight w:val="0"/>
                  <w:marTop w:val="0"/>
                  <w:marBottom w:val="0"/>
                  <w:divBdr>
                    <w:top w:val="none" w:sz="0" w:space="0" w:color="auto"/>
                    <w:left w:val="none" w:sz="0" w:space="0" w:color="auto"/>
                    <w:bottom w:val="none" w:sz="0" w:space="0" w:color="auto"/>
                    <w:right w:val="none" w:sz="0" w:space="0" w:color="auto"/>
                  </w:divBdr>
                  <w:divsChild>
                    <w:div w:id="607933327">
                      <w:marLeft w:val="0"/>
                      <w:marRight w:val="0"/>
                      <w:marTop w:val="0"/>
                      <w:marBottom w:val="0"/>
                      <w:divBdr>
                        <w:top w:val="none" w:sz="0" w:space="0" w:color="auto"/>
                        <w:left w:val="none" w:sz="0" w:space="0" w:color="auto"/>
                        <w:bottom w:val="none" w:sz="0" w:space="0" w:color="auto"/>
                        <w:right w:val="none" w:sz="0" w:space="0" w:color="auto"/>
                      </w:divBdr>
                    </w:div>
                  </w:divsChild>
                </w:div>
                <w:div w:id="647980299">
                  <w:marLeft w:val="0"/>
                  <w:marRight w:val="0"/>
                  <w:marTop w:val="0"/>
                  <w:marBottom w:val="0"/>
                  <w:divBdr>
                    <w:top w:val="none" w:sz="0" w:space="0" w:color="auto"/>
                    <w:left w:val="none" w:sz="0" w:space="0" w:color="auto"/>
                    <w:bottom w:val="none" w:sz="0" w:space="0" w:color="auto"/>
                    <w:right w:val="none" w:sz="0" w:space="0" w:color="auto"/>
                  </w:divBdr>
                  <w:divsChild>
                    <w:div w:id="1249926759">
                      <w:marLeft w:val="0"/>
                      <w:marRight w:val="0"/>
                      <w:marTop w:val="0"/>
                      <w:marBottom w:val="0"/>
                      <w:divBdr>
                        <w:top w:val="none" w:sz="0" w:space="0" w:color="auto"/>
                        <w:left w:val="none" w:sz="0" w:space="0" w:color="auto"/>
                        <w:bottom w:val="none" w:sz="0" w:space="0" w:color="auto"/>
                        <w:right w:val="none" w:sz="0" w:space="0" w:color="auto"/>
                      </w:divBdr>
                    </w:div>
                  </w:divsChild>
                </w:div>
                <w:div w:id="786196862">
                  <w:marLeft w:val="0"/>
                  <w:marRight w:val="0"/>
                  <w:marTop w:val="0"/>
                  <w:marBottom w:val="0"/>
                  <w:divBdr>
                    <w:top w:val="none" w:sz="0" w:space="0" w:color="auto"/>
                    <w:left w:val="none" w:sz="0" w:space="0" w:color="auto"/>
                    <w:bottom w:val="none" w:sz="0" w:space="0" w:color="auto"/>
                    <w:right w:val="none" w:sz="0" w:space="0" w:color="auto"/>
                  </w:divBdr>
                  <w:divsChild>
                    <w:div w:id="1557545219">
                      <w:marLeft w:val="0"/>
                      <w:marRight w:val="0"/>
                      <w:marTop w:val="0"/>
                      <w:marBottom w:val="0"/>
                      <w:divBdr>
                        <w:top w:val="none" w:sz="0" w:space="0" w:color="auto"/>
                        <w:left w:val="none" w:sz="0" w:space="0" w:color="auto"/>
                        <w:bottom w:val="none" w:sz="0" w:space="0" w:color="auto"/>
                        <w:right w:val="none" w:sz="0" w:space="0" w:color="auto"/>
                      </w:divBdr>
                    </w:div>
                  </w:divsChild>
                </w:div>
                <w:div w:id="811409363">
                  <w:marLeft w:val="0"/>
                  <w:marRight w:val="0"/>
                  <w:marTop w:val="0"/>
                  <w:marBottom w:val="0"/>
                  <w:divBdr>
                    <w:top w:val="none" w:sz="0" w:space="0" w:color="auto"/>
                    <w:left w:val="none" w:sz="0" w:space="0" w:color="auto"/>
                    <w:bottom w:val="none" w:sz="0" w:space="0" w:color="auto"/>
                    <w:right w:val="none" w:sz="0" w:space="0" w:color="auto"/>
                  </w:divBdr>
                  <w:divsChild>
                    <w:div w:id="1135365333">
                      <w:marLeft w:val="0"/>
                      <w:marRight w:val="0"/>
                      <w:marTop w:val="0"/>
                      <w:marBottom w:val="0"/>
                      <w:divBdr>
                        <w:top w:val="none" w:sz="0" w:space="0" w:color="auto"/>
                        <w:left w:val="none" w:sz="0" w:space="0" w:color="auto"/>
                        <w:bottom w:val="none" w:sz="0" w:space="0" w:color="auto"/>
                        <w:right w:val="none" w:sz="0" w:space="0" w:color="auto"/>
                      </w:divBdr>
                    </w:div>
                  </w:divsChild>
                </w:div>
                <w:div w:id="836455987">
                  <w:marLeft w:val="0"/>
                  <w:marRight w:val="0"/>
                  <w:marTop w:val="0"/>
                  <w:marBottom w:val="0"/>
                  <w:divBdr>
                    <w:top w:val="none" w:sz="0" w:space="0" w:color="auto"/>
                    <w:left w:val="none" w:sz="0" w:space="0" w:color="auto"/>
                    <w:bottom w:val="none" w:sz="0" w:space="0" w:color="auto"/>
                    <w:right w:val="none" w:sz="0" w:space="0" w:color="auto"/>
                  </w:divBdr>
                  <w:divsChild>
                    <w:div w:id="1431119099">
                      <w:marLeft w:val="0"/>
                      <w:marRight w:val="0"/>
                      <w:marTop w:val="0"/>
                      <w:marBottom w:val="0"/>
                      <w:divBdr>
                        <w:top w:val="none" w:sz="0" w:space="0" w:color="auto"/>
                        <w:left w:val="none" w:sz="0" w:space="0" w:color="auto"/>
                        <w:bottom w:val="none" w:sz="0" w:space="0" w:color="auto"/>
                        <w:right w:val="none" w:sz="0" w:space="0" w:color="auto"/>
                      </w:divBdr>
                    </w:div>
                  </w:divsChild>
                </w:div>
                <w:div w:id="882333115">
                  <w:marLeft w:val="0"/>
                  <w:marRight w:val="0"/>
                  <w:marTop w:val="0"/>
                  <w:marBottom w:val="0"/>
                  <w:divBdr>
                    <w:top w:val="none" w:sz="0" w:space="0" w:color="auto"/>
                    <w:left w:val="none" w:sz="0" w:space="0" w:color="auto"/>
                    <w:bottom w:val="none" w:sz="0" w:space="0" w:color="auto"/>
                    <w:right w:val="none" w:sz="0" w:space="0" w:color="auto"/>
                  </w:divBdr>
                  <w:divsChild>
                    <w:div w:id="1087001270">
                      <w:marLeft w:val="0"/>
                      <w:marRight w:val="0"/>
                      <w:marTop w:val="0"/>
                      <w:marBottom w:val="0"/>
                      <w:divBdr>
                        <w:top w:val="none" w:sz="0" w:space="0" w:color="auto"/>
                        <w:left w:val="none" w:sz="0" w:space="0" w:color="auto"/>
                        <w:bottom w:val="none" w:sz="0" w:space="0" w:color="auto"/>
                        <w:right w:val="none" w:sz="0" w:space="0" w:color="auto"/>
                      </w:divBdr>
                    </w:div>
                  </w:divsChild>
                </w:div>
                <w:div w:id="911889993">
                  <w:marLeft w:val="0"/>
                  <w:marRight w:val="0"/>
                  <w:marTop w:val="0"/>
                  <w:marBottom w:val="0"/>
                  <w:divBdr>
                    <w:top w:val="none" w:sz="0" w:space="0" w:color="auto"/>
                    <w:left w:val="none" w:sz="0" w:space="0" w:color="auto"/>
                    <w:bottom w:val="none" w:sz="0" w:space="0" w:color="auto"/>
                    <w:right w:val="none" w:sz="0" w:space="0" w:color="auto"/>
                  </w:divBdr>
                  <w:divsChild>
                    <w:div w:id="1464344803">
                      <w:marLeft w:val="0"/>
                      <w:marRight w:val="0"/>
                      <w:marTop w:val="0"/>
                      <w:marBottom w:val="0"/>
                      <w:divBdr>
                        <w:top w:val="none" w:sz="0" w:space="0" w:color="auto"/>
                        <w:left w:val="none" w:sz="0" w:space="0" w:color="auto"/>
                        <w:bottom w:val="none" w:sz="0" w:space="0" w:color="auto"/>
                        <w:right w:val="none" w:sz="0" w:space="0" w:color="auto"/>
                      </w:divBdr>
                    </w:div>
                  </w:divsChild>
                </w:div>
                <w:div w:id="926310577">
                  <w:marLeft w:val="0"/>
                  <w:marRight w:val="0"/>
                  <w:marTop w:val="0"/>
                  <w:marBottom w:val="0"/>
                  <w:divBdr>
                    <w:top w:val="none" w:sz="0" w:space="0" w:color="auto"/>
                    <w:left w:val="none" w:sz="0" w:space="0" w:color="auto"/>
                    <w:bottom w:val="none" w:sz="0" w:space="0" w:color="auto"/>
                    <w:right w:val="none" w:sz="0" w:space="0" w:color="auto"/>
                  </w:divBdr>
                  <w:divsChild>
                    <w:div w:id="831945631">
                      <w:marLeft w:val="0"/>
                      <w:marRight w:val="0"/>
                      <w:marTop w:val="0"/>
                      <w:marBottom w:val="0"/>
                      <w:divBdr>
                        <w:top w:val="none" w:sz="0" w:space="0" w:color="auto"/>
                        <w:left w:val="none" w:sz="0" w:space="0" w:color="auto"/>
                        <w:bottom w:val="none" w:sz="0" w:space="0" w:color="auto"/>
                        <w:right w:val="none" w:sz="0" w:space="0" w:color="auto"/>
                      </w:divBdr>
                    </w:div>
                  </w:divsChild>
                </w:div>
                <w:div w:id="1030908910">
                  <w:marLeft w:val="0"/>
                  <w:marRight w:val="0"/>
                  <w:marTop w:val="0"/>
                  <w:marBottom w:val="0"/>
                  <w:divBdr>
                    <w:top w:val="none" w:sz="0" w:space="0" w:color="auto"/>
                    <w:left w:val="none" w:sz="0" w:space="0" w:color="auto"/>
                    <w:bottom w:val="none" w:sz="0" w:space="0" w:color="auto"/>
                    <w:right w:val="none" w:sz="0" w:space="0" w:color="auto"/>
                  </w:divBdr>
                  <w:divsChild>
                    <w:div w:id="1472554369">
                      <w:marLeft w:val="0"/>
                      <w:marRight w:val="0"/>
                      <w:marTop w:val="0"/>
                      <w:marBottom w:val="0"/>
                      <w:divBdr>
                        <w:top w:val="none" w:sz="0" w:space="0" w:color="auto"/>
                        <w:left w:val="none" w:sz="0" w:space="0" w:color="auto"/>
                        <w:bottom w:val="none" w:sz="0" w:space="0" w:color="auto"/>
                        <w:right w:val="none" w:sz="0" w:space="0" w:color="auto"/>
                      </w:divBdr>
                    </w:div>
                  </w:divsChild>
                </w:div>
                <w:div w:id="1039742095">
                  <w:marLeft w:val="0"/>
                  <w:marRight w:val="0"/>
                  <w:marTop w:val="0"/>
                  <w:marBottom w:val="0"/>
                  <w:divBdr>
                    <w:top w:val="none" w:sz="0" w:space="0" w:color="auto"/>
                    <w:left w:val="none" w:sz="0" w:space="0" w:color="auto"/>
                    <w:bottom w:val="none" w:sz="0" w:space="0" w:color="auto"/>
                    <w:right w:val="none" w:sz="0" w:space="0" w:color="auto"/>
                  </w:divBdr>
                  <w:divsChild>
                    <w:div w:id="72362906">
                      <w:marLeft w:val="0"/>
                      <w:marRight w:val="0"/>
                      <w:marTop w:val="0"/>
                      <w:marBottom w:val="0"/>
                      <w:divBdr>
                        <w:top w:val="none" w:sz="0" w:space="0" w:color="auto"/>
                        <w:left w:val="none" w:sz="0" w:space="0" w:color="auto"/>
                        <w:bottom w:val="none" w:sz="0" w:space="0" w:color="auto"/>
                        <w:right w:val="none" w:sz="0" w:space="0" w:color="auto"/>
                      </w:divBdr>
                    </w:div>
                  </w:divsChild>
                </w:div>
                <w:div w:id="1178810768">
                  <w:marLeft w:val="0"/>
                  <w:marRight w:val="0"/>
                  <w:marTop w:val="0"/>
                  <w:marBottom w:val="0"/>
                  <w:divBdr>
                    <w:top w:val="none" w:sz="0" w:space="0" w:color="auto"/>
                    <w:left w:val="none" w:sz="0" w:space="0" w:color="auto"/>
                    <w:bottom w:val="none" w:sz="0" w:space="0" w:color="auto"/>
                    <w:right w:val="none" w:sz="0" w:space="0" w:color="auto"/>
                  </w:divBdr>
                  <w:divsChild>
                    <w:div w:id="731661565">
                      <w:marLeft w:val="0"/>
                      <w:marRight w:val="0"/>
                      <w:marTop w:val="0"/>
                      <w:marBottom w:val="0"/>
                      <w:divBdr>
                        <w:top w:val="none" w:sz="0" w:space="0" w:color="auto"/>
                        <w:left w:val="none" w:sz="0" w:space="0" w:color="auto"/>
                        <w:bottom w:val="none" w:sz="0" w:space="0" w:color="auto"/>
                        <w:right w:val="none" w:sz="0" w:space="0" w:color="auto"/>
                      </w:divBdr>
                    </w:div>
                  </w:divsChild>
                </w:div>
                <w:div w:id="1198469778">
                  <w:marLeft w:val="0"/>
                  <w:marRight w:val="0"/>
                  <w:marTop w:val="0"/>
                  <w:marBottom w:val="0"/>
                  <w:divBdr>
                    <w:top w:val="none" w:sz="0" w:space="0" w:color="auto"/>
                    <w:left w:val="none" w:sz="0" w:space="0" w:color="auto"/>
                    <w:bottom w:val="none" w:sz="0" w:space="0" w:color="auto"/>
                    <w:right w:val="none" w:sz="0" w:space="0" w:color="auto"/>
                  </w:divBdr>
                  <w:divsChild>
                    <w:div w:id="1526989095">
                      <w:marLeft w:val="0"/>
                      <w:marRight w:val="0"/>
                      <w:marTop w:val="0"/>
                      <w:marBottom w:val="0"/>
                      <w:divBdr>
                        <w:top w:val="none" w:sz="0" w:space="0" w:color="auto"/>
                        <w:left w:val="none" w:sz="0" w:space="0" w:color="auto"/>
                        <w:bottom w:val="none" w:sz="0" w:space="0" w:color="auto"/>
                        <w:right w:val="none" w:sz="0" w:space="0" w:color="auto"/>
                      </w:divBdr>
                    </w:div>
                  </w:divsChild>
                </w:div>
                <w:div w:id="1206405454">
                  <w:marLeft w:val="0"/>
                  <w:marRight w:val="0"/>
                  <w:marTop w:val="0"/>
                  <w:marBottom w:val="0"/>
                  <w:divBdr>
                    <w:top w:val="none" w:sz="0" w:space="0" w:color="auto"/>
                    <w:left w:val="none" w:sz="0" w:space="0" w:color="auto"/>
                    <w:bottom w:val="none" w:sz="0" w:space="0" w:color="auto"/>
                    <w:right w:val="none" w:sz="0" w:space="0" w:color="auto"/>
                  </w:divBdr>
                  <w:divsChild>
                    <w:div w:id="2062053916">
                      <w:marLeft w:val="0"/>
                      <w:marRight w:val="0"/>
                      <w:marTop w:val="0"/>
                      <w:marBottom w:val="0"/>
                      <w:divBdr>
                        <w:top w:val="none" w:sz="0" w:space="0" w:color="auto"/>
                        <w:left w:val="none" w:sz="0" w:space="0" w:color="auto"/>
                        <w:bottom w:val="none" w:sz="0" w:space="0" w:color="auto"/>
                        <w:right w:val="none" w:sz="0" w:space="0" w:color="auto"/>
                      </w:divBdr>
                    </w:div>
                  </w:divsChild>
                </w:div>
                <w:div w:id="1270354613">
                  <w:marLeft w:val="0"/>
                  <w:marRight w:val="0"/>
                  <w:marTop w:val="0"/>
                  <w:marBottom w:val="0"/>
                  <w:divBdr>
                    <w:top w:val="none" w:sz="0" w:space="0" w:color="auto"/>
                    <w:left w:val="none" w:sz="0" w:space="0" w:color="auto"/>
                    <w:bottom w:val="none" w:sz="0" w:space="0" w:color="auto"/>
                    <w:right w:val="none" w:sz="0" w:space="0" w:color="auto"/>
                  </w:divBdr>
                  <w:divsChild>
                    <w:div w:id="495802806">
                      <w:marLeft w:val="0"/>
                      <w:marRight w:val="0"/>
                      <w:marTop w:val="0"/>
                      <w:marBottom w:val="0"/>
                      <w:divBdr>
                        <w:top w:val="none" w:sz="0" w:space="0" w:color="auto"/>
                        <w:left w:val="none" w:sz="0" w:space="0" w:color="auto"/>
                        <w:bottom w:val="none" w:sz="0" w:space="0" w:color="auto"/>
                        <w:right w:val="none" w:sz="0" w:space="0" w:color="auto"/>
                      </w:divBdr>
                    </w:div>
                  </w:divsChild>
                </w:div>
                <w:div w:id="1310482264">
                  <w:marLeft w:val="0"/>
                  <w:marRight w:val="0"/>
                  <w:marTop w:val="0"/>
                  <w:marBottom w:val="0"/>
                  <w:divBdr>
                    <w:top w:val="none" w:sz="0" w:space="0" w:color="auto"/>
                    <w:left w:val="none" w:sz="0" w:space="0" w:color="auto"/>
                    <w:bottom w:val="none" w:sz="0" w:space="0" w:color="auto"/>
                    <w:right w:val="none" w:sz="0" w:space="0" w:color="auto"/>
                  </w:divBdr>
                  <w:divsChild>
                    <w:div w:id="1284120814">
                      <w:marLeft w:val="0"/>
                      <w:marRight w:val="0"/>
                      <w:marTop w:val="0"/>
                      <w:marBottom w:val="0"/>
                      <w:divBdr>
                        <w:top w:val="none" w:sz="0" w:space="0" w:color="auto"/>
                        <w:left w:val="none" w:sz="0" w:space="0" w:color="auto"/>
                        <w:bottom w:val="none" w:sz="0" w:space="0" w:color="auto"/>
                        <w:right w:val="none" w:sz="0" w:space="0" w:color="auto"/>
                      </w:divBdr>
                    </w:div>
                  </w:divsChild>
                </w:div>
                <w:div w:id="1320354235">
                  <w:marLeft w:val="0"/>
                  <w:marRight w:val="0"/>
                  <w:marTop w:val="0"/>
                  <w:marBottom w:val="0"/>
                  <w:divBdr>
                    <w:top w:val="none" w:sz="0" w:space="0" w:color="auto"/>
                    <w:left w:val="none" w:sz="0" w:space="0" w:color="auto"/>
                    <w:bottom w:val="none" w:sz="0" w:space="0" w:color="auto"/>
                    <w:right w:val="none" w:sz="0" w:space="0" w:color="auto"/>
                  </w:divBdr>
                  <w:divsChild>
                    <w:div w:id="2036694170">
                      <w:marLeft w:val="0"/>
                      <w:marRight w:val="0"/>
                      <w:marTop w:val="0"/>
                      <w:marBottom w:val="0"/>
                      <w:divBdr>
                        <w:top w:val="none" w:sz="0" w:space="0" w:color="auto"/>
                        <w:left w:val="none" w:sz="0" w:space="0" w:color="auto"/>
                        <w:bottom w:val="none" w:sz="0" w:space="0" w:color="auto"/>
                        <w:right w:val="none" w:sz="0" w:space="0" w:color="auto"/>
                      </w:divBdr>
                    </w:div>
                  </w:divsChild>
                </w:div>
                <w:div w:id="1369451373">
                  <w:marLeft w:val="0"/>
                  <w:marRight w:val="0"/>
                  <w:marTop w:val="0"/>
                  <w:marBottom w:val="0"/>
                  <w:divBdr>
                    <w:top w:val="none" w:sz="0" w:space="0" w:color="auto"/>
                    <w:left w:val="none" w:sz="0" w:space="0" w:color="auto"/>
                    <w:bottom w:val="none" w:sz="0" w:space="0" w:color="auto"/>
                    <w:right w:val="none" w:sz="0" w:space="0" w:color="auto"/>
                  </w:divBdr>
                  <w:divsChild>
                    <w:div w:id="833842286">
                      <w:marLeft w:val="0"/>
                      <w:marRight w:val="0"/>
                      <w:marTop w:val="0"/>
                      <w:marBottom w:val="0"/>
                      <w:divBdr>
                        <w:top w:val="none" w:sz="0" w:space="0" w:color="auto"/>
                        <w:left w:val="none" w:sz="0" w:space="0" w:color="auto"/>
                        <w:bottom w:val="none" w:sz="0" w:space="0" w:color="auto"/>
                        <w:right w:val="none" w:sz="0" w:space="0" w:color="auto"/>
                      </w:divBdr>
                    </w:div>
                  </w:divsChild>
                </w:div>
                <w:div w:id="1398632663">
                  <w:marLeft w:val="0"/>
                  <w:marRight w:val="0"/>
                  <w:marTop w:val="0"/>
                  <w:marBottom w:val="0"/>
                  <w:divBdr>
                    <w:top w:val="none" w:sz="0" w:space="0" w:color="auto"/>
                    <w:left w:val="none" w:sz="0" w:space="0" w:color="auto"/>
                    <w:bottom w:val="none" w:sz="0" w:space="0" w:color="auto"/>
                    <w:right w:val="none" w:sz="0" w:space="0" w:color="auto"/>
                  </w:divBdr>
                  <w:divsChild>
                    <w:div w:id="488447907">
                      <w:marLeft w:val="0"/>
                      <w:marRight w:val="0"/>
                      <w:marTop w:val="0"/>
                      <w:marBottom w:val="0"/>
                      <w:divBdr>
                        <w:top w:val="none" w:sz="0" w:space="0" w:color="auto"/>
                        <w:left w:val="none" w:sz="0" w:space="0" w:color="auto"/>
                        <w:bottom w:val="none" w:sz="0" w:space="0" w:color="auto"/>
                        <w:right w:val="none" w:sz="0" w:space="0" w:color="auto"/>
                      </w:divBdr>
                    </w:div>
                  </w:divsChild>
                </w:div>
                <w:div w:id="1432432859">
                  <w:marLeft w:val="0"/>
                  <w:marRight w:val="0"/>
                  <w:marTop w:val="0"/>
                  <w:marBottom w:val="0"/>
                  <w:divBdr>
                    <w:top w:val="none" w:sz="0" w:space="0" w:color="auto"/>
                    <w:left w:val="none" w:sz="0" w:space="0" w:color="auto"/>
                    <w:bottom w:val="none" w:sz="0" w:space="0" w:color="auto"/>
                    <w:right w:val="none" w:sz="0" w:space="0" w:color="auto"/>
                  </w:divBdr>
                  <w:divsChild>
                    <w:div w:id="159153837">
                      <w:marLeft w:val="0"/>
                      <w:marRight w:val="0"/>
                      <w:marTop w:val="0"/>
                      <w:marBottom w:val="0"/>
                      <w:divBdr>
                        <w:top w:val="none" w:sz="0" w:space="0" w:color="auto"/>
                        <w:left w:val="none" w:sz="0" w:space="0" w:color="auto"/>
                        <w:bottom w:val="none" w:sz="0" w:space="0" w:color="auto"/>
                        <w:right w:val="none" w:sz="0" w:space="0" w:color="auto"/>
                      </w:divBdr>
                    </w:div>
                  </w:divsChild>
                </w:div>
                <w:div w:id="1437675828">
                  <w:marLeft w:val="0"/>
                  <w:marRight w:val="0"/>
                  <w:marTop w:val="0"/>
                  <w:marBottom w:val="0"/>
                  <w:divBdr>
                    <w:top w:val="none" w:sz="0" w:space="0" w:color="auto"/>
                    <w:left w:val="none" w:sz="0" w:space="0" w:color="auto"/>
                    <w:bottom w:val="none" w:sz="0" w:space="0" w:color="auto"/>
                    <w:right w:val="none" w:sz="0" w:space="0" w:color="auto"/>
                  </w:divBdr>
                  <w:divsChild>
                    <w:div w:id="544374498">
                      <w:marLeft w:val="0"/>
                      <w:marRight w:val="0"/>
                      <w:marTop w:val="0"/>
                      <w:marBottom w:val="0"/>
                      <w:divBdr>
                        <w:top w:val="none" w:sz="0" w:space="0" w:color="auto"/>
                        <w:left w:val="none" w:sz="0" w:space="0" w:color="auto"/>
                        <w:bottom w:val="none" w:sz="0" w:space="0" w:color="auto"/>
                        <w:right w:val="none" w:sz="0" w:space="0" w:color="auto"/>
                      </w:divBdr>
                    </w:div>
                  </w:divsChild>
                </w:div>
                <w:div w:id="1450512838">
                  <w:marLeft w:val="0"/>
                  <w:marRight w:val="0"/>
                  <w:marTop w:val="0"/>
                  <w:marBottom w:val="0"/>
                  <w:divBdr>
                    <w:top w:val="none" w:sz="0" w:space="0" w:color="auto"/>
                    <w:left w:val="none" w:sz="0" w:space="0" w:color="auto"/>
                    <w:bottom w:val="none" w:sz="0" w:space="0" w:color="auto"/>
                    <w:right w:val="none" w:sz="0" w:space="0" w:color="auto"/>
                  </w:divBdr>
                  <w:divsChild>
                    <w:div w:id="1375349225">
                      <w:marLeft w:val="0"/>
                      <w:marRight w:val="0"/>
                      <w:marTop w:val="0"/>
                      <w:marBottom w:val="0"/>
                      <w:divBdr>
                        <w:top w:val="none" w:sz="0" w:space="0" w:color="auto"/>
                        <w:left w:val="none" w:sz="0" w:space="0" w:color="auto"/>
                        <w:bottom w:val="none" w:sz="0" w:space="0" w:color="auto"/>
                        <w:right w:val="none" w:sz="0" w:space="0" w:color="auto"/>
                      </w:divBdr>
                    </w:div>
                    <w:div w:id="1529566813">
                      <w:marLeft w:val="0"/>
                      <w:marRight w:val="0"/>
                      <w:marTop w:val="0"/>
                      <w:marBottom w:val="0"/>
                      <w:divBdr>
                        <w:top w:val="none" w:sz="0" w:space="0" w:color="auto"/>
                        <w:left w:val="none" w:sz="0" w:space="0" w:color="auto"/>
                        <w:bottom w:val="none" w:sz="0" w:space="0" w:color="auto"/>
                        <w:right w:val="none" w:sz="0" w:space="0" w:color="auto"/>
                      </w:divBdr>
                    </w:div>
                  </w:divsChild>
                </w:div>
                <w:div w:id="1477910855">
                  <w:marLeft w:val="0"/>
                  <w:marRight w:val="0"/>
                  <w:marTop w:val="0"/>
                  <w:marBottom w:val="0"/>
                  <w:divBdr>
                    <w:top w:val="none" w:sz="0" w:space="0" w:color="auto"/>
                    <w:left w:val="none" w:sz="0" w:space="0" w:color="auto"/>
                    <w:bottom w:val="none" w:sz="0" w:space="0" w:color="auto"/>
                    <w:right w:val="none" w:sz="0" w:space="0" w:color="auto"/>
                  </w:divBdr>
                  <w:divsChild>
                    <w:div w:id="1063525510">
                      <w:marLeft w:val="0"/>
                      <w:marRight w:val="0"/>
                      <w:marTop w:val="0"/>
                      <w:marBottom w:val="0"/>
                      <w:divBdr>
                        <w:top w:val="none" w:sz="0" w:space="0" w:color="auto"/>
                        <w:left w:val="none" w:sz="0" w:space="0" w:color="auto"/>
                        <w:bottom w:val="none" w:sz="0" w:space="0" w:color="auto"/>
                        <w:right w:val="none" w:sz="0" w:space="0" w:color="auto"/>
                      </w:divBdr>
                    </w:div>
                  </w:divsChild>
                </w:div>
                <w:div w:id="1541627685">
                  <w:marLeft w:val="0"/>
                  <w:marRight w:val="0"/>
                  <w:marTop w:val="0"/>
                  <w:marBottom w:val="0"/>
                  <w:divBdr>
                    <w:top w:val="none" w:sz="0" w:space="0" w:color="auto"/>
                    <w:left w:val="none" w:sz="0" w:space="0" w:color="auto"/>
                    <w:bottom w:val="none" w:sz="0" w:space="0" w:color="auto"/>
                    <w:right w:val="none" w:sz="0" w:space="0" w:color="auto"/>
                  </w:divBdr>
                  <w:divsChild>
                    <w:div w:id="769853066">
                      <w:marLeft w:val="0"/>
                      <w:marRight w:val="0"/>
                      <w:marTop w:val="0"/>
                      <w:marBottom w:val="0"/>
                      <w:divBdr>
                        <w:top w:val="none" w:sz="0" w:space="0" w:color="auto"/>
                        <w:left w:val="none" w:sz="0" w:space="0" w:color="auto"/>
                        <w:bottom w:val="none" w:sz="0" w:space="0" w:color="auto"/>
                        <w:right w:val="none" w:sz="0" w:space="0" w:color="auto"/>
                      </w:divBdr>
                    </w:div>
                  </w:divsChild>
                </w:div>
                <w:div w:id="1589659501">
                  <w:marLeft w:val="0"/>
                  <w:marRight w:val="0"/>
                  <w:marTop w:val="0"/>
                  <w:marBottom w:val="0"/>
                  <w:divBdr>
                    <w:top w:val="none" w:sz="0" w:space="0" w:color="auto"/>
                    <w:left w:val="none" w:sz="0" w:space="0" w:color="auto"/>
                    <w:bottom w:val="none" w:sz="0" w:space="0" w:color="auto"/>
                    <w:right w:val="none" w:sz="0" w:space="0" w:color="auto"/>
                  </w:divBdr>
                  <w:divsChild>
                    <w:div w:id="1141386172">
                      <w:marLeft w:val="0"/>
                      <w:marRight w:val="0"/>
                      <w:marTop w:val="0"/>
                      <w:marBottom w:val="0"/>
                      <w:divBdr>
                        <w:top w:val="none" w:sz="0" w:space="0" w:color="auto"/>
                        <w:left w:val="none" w:sz="0" w:space="0" w:color="auto"/>
                        <w:bottom w:val="none" w:sz="0" w:space="0" w:color="auto"/>
                        <w:right w:val="none" w:sz="0" w:space="0" w:color="auto"/>
                      </w:divBdr>
                    </w:div>
                  </w:divsChild>
                </w:div>
                <w:div w:id="1658613799">
                  <w:marLeft w:val="0"/>
                  <w:marRight w:val="0"/>
                  <w:marTop w:val="0"/>
                  <w:marBottom w:val="0"/>
                  <w:divBdr>
                    <w:top w:val="none" w:sz="0" w:space="0" w:color="auto"/>
                    <w:left w:val="none" w:sz="0" w:space="0" w:color="auto"/>
                    <w:bottom w:val="none" w:sz="0" w:space="0" w:color="auto"/>
                    <w:right w:val="none" w:sz="0" w:space="0" w:color="auto"/>
                  </w:divBdr>
                  <w:divsChild>
                    <w:div w:id="885993621">
                      <w:marLeft w:val="0"/>
                      <w:marRight w:val="0"/>
                      <w:marTop w:val="0"/>
                      <w:marBottom w:val="0"/>
                      <w:divBdr>
                        <w:top w:val="none" w:sz="0" w:space="0" w:color="auto"/>
                        <w:left w:val="none" w:sz="0" w:space="0" w:color="auto"/>
                        <w:bottom w:val="none" w:sz="0" w:space="0" w:color="auto"/>
                        <w:right w:val="none" w:sz="0" w:space="0" w:color="auto"/>
                      </w:divBdr>
                    </w:div>
                  </w:divsChild>
                </w:div>
                <w:div w:id="1692561249">
                  <w:marLeft w:val="0"/>
                  <w:marRight w:val="0"/>
                  <w:marTop w:val="0"/>
                  <w:marBottom w:val="0"/>
                  <w:divBdr>
                    <w:top w:val="none" w:sz="0" w:space="0" w:color="auto"/>
                    <w:left w:val="none" w:sz="0" w:space="0" w:color="auto"/>
                    <w:bottom w:val="none" w:sz="0" w:space="0" w:color="auto"/>
                    <w:right w:val="none" w:sz="0" w:space="0" w:color="auto"/>
                  </w:divBdr>
                  <w:divsChild>
                    <w:div w:id="1519928387">
                      <w:marLeft w:val="0"/>
                      <w:marRight w:val="0"/>
                      <w:marTop w:val="0"/>
                      <w:marBottom w:val="0"/>
                      <w:divBdr>
                        <w:top w:val="none" w:sz="0" w:space="0" w:color="auto"/>
                        <w:left w:val="none" w:sz="0" w:space="0" w:color="auto"/>
                        <w:bottom w:val="none" w:sz="0" w:space="0" w:color="auto"/>
                        <w:right w:val="none" w:sz="0" w:space="0" w:color="auto"/>
                      </w:divBdr>
                    </w:div>
                  </w:divsChild>
                </w:div>
                <w:div w:id="1744598387">
                  <w:marLeft w:val="0"/>
                  <w:marRight w:val="0"/>
                  <w:marTop w:val="0"/>
                  <w:marBottom w:val="0"/>
                  <w:divBdr>
                    <w:top w:val="none" w:sz="0" w:space="0" w:color="auto"/>
                    <w:left w:val="none" w:sz="0" w:space="0" w:color="auto"/>
                    <w:bottom w:val="none" w:sz="0" w:space="0" w:color="auto"/>
                    <w:right w:val="none" w:sz="0" w:space="0" w:color="auto"/>
                  </w:divBdr>
                  <w:divsChild>
                    <w:div w:id="163403985">
                      <w:marLeft w:val="0"/>
                      <w:marRight w:val="0"/>
                      <w:marTop w:val="0"/>
                      <w:marBottom w:val="0"/>
                      <w:divBdr>
                        <w:top w:val="none" w:sz="0" w:space="0" w:color="auto"/>
                        <w:left w:val="none" w:sz="0" w:space="0" w:color="auto"/>
                        <w:bottom w:val="none" w:sz="0" w:space="0" w:color="auto"/>
                        <w:right w:val="none" w:sz="0" w:space="0" w:color="auto"/>
                      </w:divBdr>
                    </w:div>
                  </w:divsChild>
                </w:div>
                <w:div w:id="1766076733">
                  <w:marLeft w:val="0"/>
                  <w:marRight w:val="0"/>
                  <w:marTop w:val="0"/>
                  <w:marBottom w:val="0"/>
                  <w:divBdr>
                    <w:top w:val="none" w:sz="0" w:space="0" w:color="auto"/>
                    <w:left w:val="none" w:sz="0" w:space="0" w:color="auto"/>
                    <w:bottom w:val="none" w:sz="0" w:space="0" w:color="auto"/>
                    <w:right w:val="none" w:sz="0" w:space="0" w:color="auto"/>
                  </w:divBdr>
                  <w:divsChild>
                    <w:div w:id="1551959500">
                      <w:marLeft w:val="0"/>
                      <w:marRight w:val="0"/>
                      <w:marTop w:val="0"/>
                      <w:marBottom w:val="0"/>
                      <w:divBdr>
                        <w:top w:val="none" w:sz="0" w:space="0" w:color="auto"/>
                        <w:left w:val="none" w:sz="0" w:space="0" w:color="auto"/>
                        <w:bottom w:val="none" w:sz="0" w:space="0" w:color="auto"/>
                        <w:right w:val="none" w:sz="0" w:space="0" w:color="auto"/>
                      </w:divBdr>
                    </w:div>
                  </w:divsChild>
                </w:div>
                <w:div w:id="1858228818">
                  <w:marLeft w:val="0"/>
                  <w:marRight w:val="0"/>
                  <w:marTop w:val="0"/>
                  <w:marBottom w:val="0"/>
                  <w:divBdr>
                    <w:top w:val="none" w:sz="0" w:space="0" w:color="auto"/>
                    <w:left w:val="none" w:sz="0" w:space="0" w:color="auto"/>
                    <w:bottom w:val="none" w:sz="0" w:space="0" w:color="auto"/>
                    <w:right w:val="none" w:sz="0" w:space="0" w:color="auto"/>
                  </w:divBdr>
                  <w:divsChild>
                    <w:div w:id="171997879">
                      <w:marLeft w:val="0"/>
                      <w:marRight w:val="0"/>
                      <w:marTop w:val="0"/>
                      <w:marBottom w:val="0"/>
                      <w:divBdr>
                        <w:top w:val="none" w:sz="0" w:space="0" w:color="auto"/>
                        <w:left w:val="none" w:sz="0" w:space="0" w:color="auto"/>
                        <w:bottom w:val="none" w:sz="0" w:space="0" w:color="auto"/>
                        <w:right w:val="none" w:sz="0" w:space="0" w:color="auto"/>
                      </w:divBdr>
                    </w:div>
                  </w:divsChild>
                </w:div>
                <w:div w:id="1887718911">
                  <w:marLeft w:val="0"/>
                  <w:marRight w:val="0"/>
                  <w:marTop w:val="0"/>
                  <w:marBottom w:val="0"/>
                  <w:divBdr>
                    <w:top w:val="none" w:sz="0" w:space="0" w:color="auto"/>
                    <w:left w:val="none" w:sz="0" w:space="0" w:color="auto"/>
                    <w:bottom w:val="none" w:sz="0" w:space="0" w:color="auto"/>
                    <w:right w:val="none" w:sz="0" w:space="0" w:color="auto"/>
                  </w:divBdr>
                  <w:divsChild>
                    <w:div w:id="649603595">
                      <w:marLeft w:val="0"/>
                      <w:marRight w:val="0"/>
                      <w:marTop w:val="0"/>
                      <w:marBottom w:val="0"/>
                      <w:divBdr>
                        <w:top w:val="none" w:sz="0" w:space="0" w:color="auto"/>
                        <w:left w:val="none" w:sz="0" w:space="0" w:color="auto"/>
                        <w:bottom w:val="none" w:sz="0" w:space="0" w:color="auto"/>
                        <w:right w:val="none" w:sz="0" w:space="0" w:color="auto"/>
                      </w:divBdr>
                    </w:div>
                  </w:divsChild>
                </w:div>
                <w:div w:id="1915780632">
                  <w:marLeft w:val="0"/>
                  <w:marRight w:val="0"/>
                  <w:marTop w:val="0"/>
                  <w:marBottom w:val="0"/>
                  <w:divBdr>
                    <w:top w:val="none" w:sz="0" w:space="0" w:color="auto"/>
                    <w:left w:val="none" w:sz="0" w:space="0" w:color="auto"/>
                    <w:bottom w:val="none" w:sz="0" w:space="0" w:color="auto"/>
                    <w:right w:val="none" w:sz="0" w:space="0" w:color="auto"/>
                  </w:divBdr>
                  <w:divsChild>
                    <w:div w:id="1812090618">
                      <w:marLeft w:val="0"/>
                      <w:marRight w:val="0"/>
                      <w:marTop w:val="0"/>
                      <w:marBottom w:val="0"/>
                      <w:divBdr>
                        <w:top w:val="none" w:sz="0" w:space="0" w:color="auto"/>
                        <w:left w:val="none" w:sz="0" w:space="0" w:color="auto"/>
                        <w:bottom w:val="none" w:sz="0" w:space="0" w:color="auto"/>
                        <w:right w:val="none" w:sz="0" w:space="0" w:color="auto"/>
                      </w:divBdr>
                    </w:div>
                  </w:divsChild>
                </w:div>
                <w:div w:id="2019840897">
                  <w:marLeft w:val="0"/>
                  <w:marRight w:val="0"/>
                  <w:marTop w:val="0"/>
                  <w:marBottom w:val="0"/>
                  <w:divBdr>
                    <w:top w:val="none" w:sz="0" w:space="0" w:color="auto"/>
                    <w:left w:val="none" w:sz="0" w:space="0" w:color="auto"/>
                    <w:bottom w:val="none" w:sz="0" w:space="0" w:color="auto"/>
                    <w:right w:val="none" w:sz="0" w:space="0" w:color="auto"/>
                  </w:divBdr>
                  <w:divsChild>
                    <w:div w:id="196894977">
                      <w:marLeft w:val="0"/>
                      <w:marRight w:val="0"/>
                      <w:marTop w:val="0"/>
                      <w:marBottom w:val="0"/>
                      <w:divBdr>
                        <w:top w:val="none" w:sz="0" w:space="0" w:color="auto"/>
                        <w:left w:val="none" w:sz="0" w:space="0" w:color="auto"/>
                        <w:bottom w:val="none" w:sz="0" w:space="0" w:color="auto"/>
                        <w:right w:val="none" w:sz="0" w:space="0" w:color="auto"/>
                      </w:divBdr>
                    </w:div>
                  </w:divsChild>
                </w:div>
                <w:div w:id="2098557502">
                  <w:marLeft w:val="0"/>
                  <w:marRight w:val="0"/>
                  <w:marTop w:val="0"/>
                  <w:marBottom w:val="0"/>
                  <w:divBdr>
                    <w:top w:val="none" w:sz="0" w:space="0" w:color="auto"/>
                    <w:left w:val="none" w:sz="0" w:space="0" w:color="auto"/>
                    <w:bottom w:val="none" w:sz="0" w:space="0" w:color="auto"/>
                    <w:right w:val="none" w:sz="0" w:space="0" w:color="auto"/>
                  </w:divBdr>
                  <w:divsChild>
                    <w:div w:id="1007758155">
                      <w:marLeft w:val="0"/>
                      <w:marRight w:val="0"/>
                      <w:marTop w:val="0"/>
                      <w:marBottom w:val="0"/>
                      <w:divBdr>
                        <w:top w:val="none" w:sz="0" w:space="0" w:color="auto"/>
                        <w:left w:val="none" w:sz="0" w:space="0" w:color="auto"/>
                        <w:bottom w:val="none" w:sz="0" w:space="0" w:color="auto"/>
                        <w:right w:val="none" w:sz="0" w:space="0" w:color="auto"/>
                      </w:divBdr>
                    </w:div>
                  </w:divsChild>
                </w:div>
                <w:div w:id="2133085576">
                  <w:marLeft w:val="0"/>
                  <w:marRight w:val="0"/>
                  <w:marTop w:val="0"/>
                  <w:marBottom w:val="0"/>
                  <w:divBdr>
                    <w:top w:val="none" w:sz="0" w:space="0" w:color="auto"/>
                    <w:left w:val="none" w:sz="0" w:space="0" w:color="auto"/>
                    <w:bottom w:val="none" w:sz="0" w:space="0" w:color="auto"/>
                    <w:right w:val="none" w:sz="0" w:space="0" w:color="auto"/>
                  </w:divBdr>
                  <w:divsChild>
                    <w:div w:id="1290235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8412670">
          <w:marLeft w:val="0"/>
          <w:marRight w:val="0"/>
          <w:marTop w:val="0"/>
          <w:marBottom w:val="0"/>
          <w:divBdr>
            <w:top w:val="none" w:sz="0" w:space="0" w:color="auto"/>
            <w:left w:val="none" w:sz="0" w:space="0" w:color="auto"/>
            <w:bottom w:val="none" w:sz="0" w:space="0" w:color="auto"/>
            <w:right w:val="none" w:sz="0" w:space="0" w:color="auto"/>
          </w:divBdr>
        </w:div>
        <w:div w:id="1484614316">
          <w:marLeft w:val="0"/>
          <w:marRight w:val="0"/>
          <w:marTop w:val="0"/>
          <w:marBottom w:val="0"/>
          <w:divBdr>
            <w:top w:val="none" w:sz="0" w:space="0" w:color="auto"/>
            <w:left w:val="none" w:sz="0" w:space="0" w:color="auto"/>
            <w:bottom w:val="none" w:sz="0" w:space="0" w:color="auto"/>
            <w:right w:val="none" w:sz="0" w:space="0" w:color="auto"/>
          </w:divBdr>
        </w:div>
        <w:div w:id="1931311637">
          <w:marLeft w:val="0"/>
          <w:marRight w:val="0"/>
          <w:marTop w:val="0"/>
          <w:marBottom w:val="0"/>
          <w:divBdr>
            <w:top w:val="none" w:sz="0" w:space="0" w:color="auto"/>
            <w:left w:val="none" w:sz="0" w:space="0" w:color="auto"/>
            <w:bottom w:val="none" w:sz="0" w:space="0" w:color="auto"/>
            <w:right w:val="none" w:sz="0" w:space="0" w:color="auto"/>
          </w:divBdr>
          <w:divsChild>
            <w:div w:id="1111165642">
              <w:marLeft w:val="-75"/>
              <w:marRight w:val="0"/>
              <w:marTop w:val="30"/>
              <w:marBottom w:val="30"/>
              <w:divBdr>
                <w:top w:val="none" w:sz="0" w:space="0" w:color="auto"/>
                <w:left w:val="none" w:sz="0" w:space="0" w:color="auto"/>
                <w:bottom w:val="none" w:sz="0" w:space="0" w:color="auto"/>
                <w:right w:val="none" w:sz="0" w:space="0" w:color="auto"/>
              </w:divBdr>
              <w:divsChild>
                <w:div w:id="12540624">
                  <w:marLeft w:val="0"/>
                  <w:marRight w:val="0"/>
                  <w:marTop w:val="0"/>
                  <w:marBottom w:val="0"/>
                  <w:divBdr>
                    <w:top w:val="none" w:sz="0" w:space="0" w:color="auto"/>
                    <w:left w:val="none" w:sz="0" w:space="0" w:color="auto"/>
                    <w:bottom w:val="none" w:sz="0" w:space="0" w:color="auto"/>
                    <w:right w:val="none" w:sz="0" w:space="0" w:color="auto"/>
                  </w:divBdr>
                  <w:divsChild>
                    <w:div w:id="531458055">
                      <w:marLeft w:val="0"/>
                      <w:marRight w:val="0"/>
                      <w:marTop w:val="0"/>
                      <w:marBottom w:val="0"/>
                      <w:divBdr>
                        <w:top w:val="none" w:sz="0" w:space="0" w:color="auto"/>
                        <w:left w:val="none" w:sz="0" w:space="0" w:color="auto"/>
                        <w:bottom w:val="none" w:sz="0" w:space="0" w:color="auto"/>
                        <w:right w:val="none" w:sz="0" w:space="0" w:color="auto"/>
                      </w:divBdr>
                    </w:div>
                  </w:divsChild>
                </w:div>
                <w:div w:id="42220444">
                  <w:marLeft w:val="0"/>
                  <w:marRight w:val="0"/>
                  <w:marTop w:val="0"/>
                  <w:marBottom w:val="0"/>
                  <w:divBdr>
                    <w:top w:val="none" w:sz="0" w:space="0" w:color="auto"/>
                    <w:left w:val="none" w:sz="0" w:space="0" w:color="auto"/>
                    <w:bottom w:val="none" w:sz="0" w:space="0" w:color="auto"/>
                    <w:right w:val="none" w:sz="0" w:space="0" w:color="auto"/>
                  </w:divBdr>
                  <w:divsChild>
                    <w:div w:id="2108185319">
                      <w:marLeft w:val="0"/>
                      <w:marRight w:val="0"/>
                      <w:marTop w:val="0"/>
                      <w:marBottom w:val="0"/>
                      <w:divBdr>
                        <w:top w:val="none" w:sz="0" w:space="0" w:color="auto"/>
                        <w:left w:val="none" w:sz="0" w:space="0" w:color="auto"/>
                        <w:bottom w:val="none" w:sz="0" w:space="0" w:color="auto"/>
                        <w:right w:val="none" w:sz="0" w:space="0" w:color="auto"/>
                      </w:divBdr>
                    </w:div>
                  </w:divsChild>
                </w:div>
                <w:div w:id="43676048">
                  <w:marLeft w:val="0"/>
                  <w:marRight w:val="0"/>
                  <w:marTop w:val="0"/>
                  <w:marBottom w:val="0"/>
                  <w:divBdr>
                    <w:top w:val="none" w:sz="0" w:space="0" w:color="auto"/>
                    <w:left w:val="none" w:sz="0" w:space="0" w:color="auto"/>
                    <w:bottom w:val="none" w:sz="0" w:space="0" w:color="auto"/>
                    <w:right w:val="none" w:sz="0" w:space="0" w:color="auto"/>
                  </w:divBdr>
                  <w:divsChild>
                    <w:div w:id="68306585">
                      <w:marLeft w:val="0"/>
                      <w:marRight w:val="0"/>
                      <w:marTop w:val="0"/>
                      <w:marBottom w:val="0"/>
                      <w:divBdr>
                        <w:top w:val="none" w:sz="0" w:space="0" w:color="auto"/>
                        <w:left w:val="none" w:sz="0" w:space="0" w:color="auto"/>
                        <w:bottom w:val="none" w:sz="0" w:space="0" w:color="auto"/>
                        <w:right w:val="none" w:sz="0" w:space="0" w:color="auto"/>
                      </w:divBdr>
                    </w:div>
                  </w:divsChild>
                </w:div>
                <w:div w:id="141432443">
                  <w:marLeft w:val="0"/>
                  <w:marRight w:val="0"/>
                  <w:marTop w:val="0"/>
                  <w:marBottom w:val="0"/>
                  <w:divBdr>
                    <w:top w:val="none" w:sz="0" w:space="0" w:color="auto"/>
                    <w:left w:val="none" w:sz="0" w:space="0" w:color="auto"/>
                    <w:bottom w:val="none" w:sz="0" w:space="0" w:color="auto"/>
                    <w:right w:val="none" w:sz="0" w:space="0" w:color="auto"/>
                  </w:divBdr>
                  <w:divsChild>
                    <w:div w:id="1972243130">
                      <w:marLeft w:val="0"/>
                      <w:marRight w:val="0"/>
                      <w:marTop w:val="0"/>
                      <w:marBottom w:val="0"/>
                      <w:divBdr>
                        <w:top w:val="none" w:sz="0" w:space="0" w:color="auto"/>
                        <w:left w:val="none" w:sz="0" w:space="0" w:color="auto"/>
                        <w:bottom w:val="none" w:sz="0" w:space="0" w:color="auto"/>
                        <w:right w:val="none" w:sz="0" w:space="0" w:color="auto"/>
                      </w:divBdr>
                    </w:div>
                  </w:divsChild>
                </w:div>
                <w:div w:id="228615822">
                  <w:marLeft w:val="0"/>
                  <w:marRight w:val="0"/>
                  <w:marTop w:val="0"/>
                  <w:marBottom w:val="0"/>
                  <w:divBdr>
                    <w:top w:val="none" w:sz="0" w:space="0" w:color="auto"/>
                    <w:left w:val="none" w:sz="0" w:space="0" w:color="auto"/>
                    <w:bottom w:val="none" w:sz="0" w:space="0" w:color="auto"/>
                    <w:right w:val="none" w:sz="0" w:space="0" w:color="auto"/>
                  </w:divBdr>
                  <w:divsChild>
                    <w:div w:id="191310131">
                      <w:marLeft w:val="0"/>
                      <w:marRight w:val="0"/>
                      <w:marTop w:val="0"/>
                      <w:marBottom w:val="0"/>
                      <w:divBdr>
                        <w:top w:val="none" w:sz="0" w:space="0" w:color="auto"/>
                        <w:left w:val="none" w:sz="0" w:space="0" w:color="auto"/>
                        <w:bottom w:val="none" w:sz="0" w:space="0" w:color="auto"/>
                        <w:right w:val="none" w:sz="0" w:space="0" w:color="auto"/>
                      </w:divBdr>
                    </w:div>
                  </w:divsChild>
                </w:div>
                <w:div w:id="278607800">
                  <w:marLeft w:val="0"/>
                  <w:marRight w:val="0"/>
                  <w:marTop w:val="0"/>
                  <w:marBottom w:val="0"/>
                  <w:divBdr>
                    <w:top w:val="none" w:sz="0" w:space="0" w:color="auto"/>
                    <w:left w:val="none" w:sz="0" w:space="0" w:color="auto"/>
                    <w:bottom w:val="none" w:sz="0" w:space="0" w:color="auto"/>
                    <w:right w:val="none" w:sz="0" w:space="0" w:color="auto"/>
                  </w:divBdr>
                  <w:divsChild>
                    <w:div w:id="1857110591">
                      <w:marLeft w:val="0"/>
                      <w:marRight w:val="0"/>
                      <w:marTop w:val="0"/>
                      <w:marBottom w:val="0"/>
                      <w:divBdr>
                        <w:top w:val="none" w:sz="0" w:space="0" w:color="auto"/>
                        <w:left w:val="none" w:sz="0" w:space="0" w:color="auto"/>
                        <w:bottom w:val="none" w:sz="0" w:space="0" w:color="auto"/>
                        <w:right w:val="none" w:sz="0" w:space="0" w:color="auto"/>
                      </w:divBdr>
                    </w:div>
                  </w:divsChild>
                </w:div>
                <w:div w:id="382292882">
                  <w:marLeft w:val="0"/>
                  <w:marRight w:val="0"/>
                  <w:marTop w:val="0"/>
                  <w:marBottom w:val="0"/>
                  <w:divBdr>
                    <w:top w:val="none" w:sz="0" w:space="0" w:color="auto"/>
                    <w:left w:val="none" w:sz="0" w:space="0" w:color="auto"/>
                    <w:bottom w:val="none" w:sz="0" w:space="0" w:color="auto"/>
                    <w:right w:val="none" w:sz="0" w:space="0" w:color="auto"/>
                  </w:divBdr>
                  <w:divsChild>
                    <w:div w:id="1083333455">
                      <w:marLeft w:val="0"/>
                      <w:marRight w:val="0"/>
                      <w:marTop w:val="0"/>
                      <w:marBottom w:val="0"/>
                      <w:divBdr>
                        <w:top w:val="none" w:sz="0" w:space="0" w:color="auto"/>
                        <w:left w:val="none" w:sz="0" w:space="0" w:color="auto"/>
                        <w:bottom w:val="none" w:sz="0" w:space="0" w:color="auto"/>
                        <w:right w:val="none" w:sz="0" w:space="0" w:color="auto"/>
                      </w:divBdr>
                    </w:div>
                  </w:divsChild>
                </w:div>
                <w:div w:id="455098642">
                  <w:marLeft w:val="0"/>
                  <w:marRight w:val="0"/>
                  <w:marTop w:val="0"/>
                  <w:marBottom w:val="0"/>
                  <w:divBdr>
                    <w:top w:val="none" w:sz="0" w:space="0" w:color="auto"/>
                    <w:left w:val="none" w:sz="0" w:space="0" w:color="auto"/>
                    <w:bottom w:val="none" w:sz="0" w:space="0" w:color="auto"/>
                    <w:right w:val="none" w:sz="0" w:space="0" w:color="auto"/>
                  </w:divBdr>
                  <w:divsChild>
                    <w:div w:id="553739475">
                      <w:marLeft w:val="0"/>
                      <w:marRight w:val="0"/>
                      <w:marTop w:val="0"/>
                      <w:marBottom w:val="0"/>
                      <w:divBdr>
                        <w:top w:val="none" w:sz="0" w:space="0" w:color="auto"/>
                        <w:left w:val="none" w:sz="0" w:space="0" w:color="auto"/>
                        <w:bottom w:val="none" w:sz="0" w:space="0" w:color="auto"/>
                        <w:right w:val="none" w:sz="0" w:space="0" w:color="auto"/>
                      </w:divBdr>
                    </w:div>
                  </w:divsChild>
                </w:div>
                <w:div w:id="493187093">
                  <w:marLeft w:val="0"/>
                  <w:marRight w:val="0"/>
                  <w:marTop w:val="0"/>
                  <w:marBottom w:val="0"/>
                  <w:divBdr>
                    <w:top w:val="none" w:sz="0" w:space="0" w:color="auto"/>
                    <w:left w:val="none" w:sz="0" w:space="0" w:color="auto"/>
                    <w:bottom w:val="none" w:sz="0" w:space="0" w:color="auto"/>
                    <w:right w:val="none" w:sz="0" w:space="0" w:color="auto"/>
                  </w:divBdr>
                  <w:divsChild>
                    <w:div w:id="1797023605">
                      <w:marLeft w:val="0"/>
                      <w:marRight w:val="0"/>
                      <w:marTop w:val="0"/>
                      <w:marBottom w:val="0"/>
                      <w:divBdr>
                        <w:top w:val="none" w:sz="0" w:space="0" w:color="auto"/>
                        <w:left w:val="none" w:sz="0" w:space="0" w:color="auto"/>
                        <w:bottom w:val="none" w:sz="0" w:space="0" w:color="auto"/>
                        <w:right w:val="none" w:sz="0" w:space="0" w:color="auto"/>
                      </w:divBdr>
                    </w:div>
                  </w:divsChild>
                </w:div>
                <w:div w:id="522326851">
                  <w:marLeft w:val="0"/>
                  <w:marRight w:val="0"/>
                  <w:marTop w:val="0"/>
                  <w:marBottom w:val="0"/>
                  <w:divBdr>
                    <w:top w:val="none" w:sz="0" w:space="0" w:color="auto"/>
                    <w:left w:val="none" w:sz="0" w:space="0" w:color="auto"/>
                    <w:bottom w:val="none" w:sz="0" w:space="0" w:color="auto"/>
                    <w:right w:val="none" w:sz="0" w:space="0" w:color="auto"/>
                  </w:divBdr>
                  <w:divsChild>
                    <w:div w:id="1910261269">
                      <w:marLeft w:val="0"/>
                      <w:marRight w:val="0"/>
                      <w:marTop w:val="0"/>
                      <w:marBottom w:val="0"/>
                      <w:divBdr>
                        <w:top w:val="none" w:sz="0" w:space="0" w:color="auto"/>
                        <w:left w:val="none" w:sz="0" w:space="0" w:color="auto"/>
                        <w:bottom w:val="none" w:sz="0" w:space="0" w:color="auto"/>
                        <w:right w:val="none" w:sz="0" w:space="0" w:color="auto"/>
                      </w:divBdr>
                    </w:div>
                  </w:divsChild>
                </w:div>
                <w:div w:id="566694089">
                  <w:marLeft w:val="0"/>
                  <w:marRight w:val="0"/>
                  <w:marTop w:val="0"/>
                  <w:marBottom w:val="0"/>
                  <w:divBdr>
                    <w:top w:val="none" w:sz="0" w:space="0" w:color="auto"/>
                    <w:left w:val="none" w:sz="0" w:space="0" w:color="auto"/>
                    <w:bottom w:val="none" w:sz="0" w:space="0" w:color="auto"/>
                    <w:right w:val="none" w:sz="0" w:space="0" w:color="auto"/>
                  </w:divBdr>
                  <w:divsChild>
                    <w:div w:id="1998414922">
                      <w:marLeft w:val="0"/>
                      <w:marRight w:val="0"/>
                      <w:marTop w:val="0"/>
                      <w:marBottom w:val="0"/>
                      <w:divBdr>
                        <w:top w:val="none" w:sz="0" w:space="0" w:color="auto"/>
                        <w:left w:val="none" w:sz="0" w:space="0" w:color="auto"/>
                        <w:bottom w:val="none" w:sz="0" w:space="0" w:color="auto"/>
                        <w:right w:val="none" w:sz="0" w:space="0" w:color="auto"/>
                      </w:divBdr>
                    </w:div>
                  </w:divsChild>
                </w:div>
                <w:div w:id="575668956">
                  <w:marLeft w:val="0"/>
                  <w:marRight w:val="0"/>
                  <w:marTop w:val="0"/>
                  <w:marBottom w:val="0"/>
                  <w:divBdr>
                    <w:top w:val="none" w:sz="0" w:space="0" w:color="auto"/>
                    <w:left w:val="none" w:sz="0" w:space="0" w:color="auto"/>
                    <w:bottom w:val="none" w:sz="0" w:space="0" w:color="auto"/>
                    <w:right w:val="none" w:sz="0" w:space="0" w:color="auto"/>
                  </w:divBdr>
                  <w:divsChild>
                    <w:div w:id="1513253232">
                      <w:marLeft w:val="0"/>
                      <w:marRight w:val="0"/>
                      <w:marTop w:val="0"/>
                      <w:marBottom w:val="0"/>
                      <w:divBdr>
                        <w:top w:val="none" w:sz="0" w:space="0" w:color="auto"/>
                        <w:left w:val="none" w:sz="0" w:space="0" w:color="auto"/>
                        <w:bottom w:val="none" w:sz="0" w:space="0" w:color="auto"/>
                        <w:right w:val="none" w:sz="0" w:space="0" w:color="auto"/>
                      </w:divBdr>
                    </w:div>
                  </w:divsChild>
                </w:div>
                <w:div w:id="583034818">
                  <w:marLeft w:val="0"/>
                  <w:marRight w:val="0"/>
                  <w:marTop w:val="0"/>
                  <w:marBottom w:val="0"/>
                  <w:divBdr>
                    <w:top w:val="none" w:sz="0" w:space="0" w:color="auto"/>
                    <w:left w:val="none" w:sz="0" w:space="0" w:color="auto"/>
                    <w:bottom w:val="none" w:sz="0" w:space="0" w:color="auto"/>
                    <w:right w:val="none" w:sz="0" w:space="0" w:color="auto"/>
                  </w:divBdr>
                  <w:divsChild>
                    <w:div w:id="1553469011">
                      <w:marLeft w:val="0"/>
                      <w:marRight w:val="0"/>
                      <w:marTop w:val="0"/>
                      <w:marBottom w:val="0"/>
                      <w:divBdr>
                        <w:top w:val="none" w:sz="0" w:space="0" w:color="auto"/>
                        <w:left w:val="none" w:sz="0" w:space="0" w:color="auto"/>
                        <w:bottom w:val="none" w:sz="0" w:space="0" w:color="auto"/>
                        <w:right w:val="none" w:sz="0" w:space="0" w:color="auto"/>
                      </w:divBdr>
                    </w:div>
                  </w:divsChild>
                </w:div>
                <w:div w:id="630525706">
                  <w:marLeft w:val="0"/>
                  <w:marRight w:val="0"/>
                  <w:marTop w:val="0"/>
                  <w:marBottom w:val="0"/>
                  <w:divBdr>
                    <w:top w:val="none" w:sz="0" w:space="0" w:color="auto"/>
                    <w:left w:val="none" w:sz="0" w:space="0" w:color="auto"/>
                    <w:bottom w:val="none" w:sz="0" w:space="0" w:color="auto"/>
                    <w:right w:val="none" w:sz="0" w:space="0" w:color="auto"/>
                  </w:divBdr>
                  <w:divsChild>
                    <w:div w:id="998004399">
                      <w:marLeft w:val="0"/>
                      <w:marRight w:val="0"/>
                      <w:marTop w:val="0"/>
                      <w:marBottom w:val="0"/>
                      <w:divBdr>
                        <w:top w:val="none" w:sz="0" w:space="0" w:color="auto"/>
                        <w:left w:val="none" w:sz="0" w:space="0" w:color="auto"/>
                        <w:bottom w:val="none" w:sz="0" w:space="0" w:color="auto"/>
                        <w:right w:val="none" w:sz="0" w:space="0" w:color="auto"/>
                      </w:divBdr>
                    </w:div>
                  </w:divsChild>
                </w:div>
                <w:div w:id="691152223">
                  <w:marLeft w:val="0"/>
                  <w:marRight w:val="0"/>
                  <w:marTop w:val="0"/>
                  <w:marBottom w:val="0"/>
                  <w:divBdr>
                    <w:top w:val="none" w:sz="0" w:space="0" w:color="auto"/>
                    <w:left w:val="none" w:sz="0" w:space="0" w:color="auto"/>
                    <w:bottom w:val="none" w:sz="0" w:space="0" w:color="auto"/>
                    <w:right w:val="none" w:sz="0" w:space="0" w:color="auto"/>
                  </w:divBdr>
                  <w:divsChild>
                    <w:div w:id="707998314">
                      <w:marLeft w:val="0"/>
                      <w:marRight w:val="0"/>
                      <w:marTop w:val="0"/>
                      <w:marBottom w:val="0"/>
                      <w:divBdr>
                        <w:top w:val="none" w:sz="0" w:space="0" w:color="auto"/>
                        <w:left w:val="none" w:sz="0" w:space="0" w:color="auto"/>
                        <w:bottom w:val="none" w:sz="0" w:space="0" w:color="auto"/>
                        <w:right w:val="none" w:sz="0" w:space="0" w:color="auto"/>
                      </w:divBdr>
                    </w:div>
                  </w:divsChild>
                </w:div>
                <w:div w:id="697120103">
                  <w:marLeft w:val="0"/>
                  <w:marRight w:val="0"/>
                  <w:marTop w:val="0"/>
                  <w:marBottom w:val="0"/>
                  <w:divBdr>
                    <w:top w:val="none" w:sz="0" w:space="0" w:color="auto"/>
                    <w:left w:val="none" w:sz="0" w:space="0" w:color="auto"/>
                    <w:bottom w:val="none" w:sz="0" w:space="0" w:color="auto"/>
                    <w:right w:val="none" w:sz="0" w:space="0" w:color="auto"/>
                  </w:divBdr>
                  <w:divsChild>
                    <w:div w:id="654534611">
                      <w:marLeft w:val="0"/>
                      <w:marRight w:val="0"/>
                      <w:marTop w:val="0"/>
                      <w:marBottom w:val="0"/>
                      <w:divBdr>
                        <w:top w:val="none" w:sz="0" w:space="0" w:color="auto"/>
                        <w:left w:val="none" w:sz="0" w:space="0" w:color="auto"/>
                        <w:bottom w:val="none" w:sz="0" w:space="0" w:color="auto"/>
                        <w:right w:val="none" w:sz="0" w:space="0" w:color="auto"/>
                      </w:divBdr>
                    </w:div>
                  </w:divsChild>
                </w:div>
                <w:div w:id="719326173">
                  <w:marLeft w:val="0"/>
                  <w:marRight w:val="0"/>
                  <w:marTop w:val="0"/>
                  <w:marBottom w:val="0"/>
                  <w:divBdr>
                    <w:top w:val="none" w:sz="0" w:space="0" w:color="auto"/>
                    <w:left w:val="none" w:sz="0" w:space="0" w:color="auto"/>
                    <w:bottom w:val="none" w:sz="0" w:space="0" w:color="auto"/>
                    <w:right w:val="none" w:sz="0" w:space="0" w:color="auto"/>
                  </w:divBdr>
                  <w:divsChild>
                    <w:div w:id="616301866">
                      <w:marLeft w:val="0"/>
                      <w:marRight w:val="0"/>
                      <w:marTop w:val="0"/>
                      <w:marBottom w:val="0"/>
                      <w:divBdr>
                        <w:top w:val="none" w:sz="0" w:space="0" w:color="auto"/>
                        <w:left w:val="none" w:sz="0" w:space="0" w:color="auto"/>
                        <w:bottom w:val="none" w:sz="0" w:space="0" w:color="auto"/>
                        <w:right w:val="none" w:sz="0" w:space="0" w:color="auto"/>
                      </w:divBdr>
                    </w:div>
                  </w:divsChild>
                </w:div>
                <w:div w:id="764880256">
                  <w:marLeft w:val="0"/>
                  <w:marRight w:val="0"/>
                  <w:marTop w:val="0"/>
                  <w:marBottom w:val="0"/>
                  <w:divBdr>
                    <w:top w:val="none" w:sz="0" w:space="0" w:color="auto"/>
                    <w:left w:val="none" w:sz="0" w:space="0" w:color="auto"/>
                    <w:bottom w:val="none" w:sz="0" w:space="0" w:color="auto"/>
                    <w:right w:val="none" w:sz="0" w:space="0" w:color="auto"/>
                  </w:divBdr>
                  <w:divsChild>
                    <w:div w:id="1620720288">
                      <w:marLeft w:val="0"/>
                      <w:marRight w:val="0"/>
                      <w:marTop w:val="0"/>
                      <w:marBottom w:val="0"/>
                      <w:divBdr>
                        <w:top w:val="none" w:sz="0" w:space="0" w:color="auto"/>
                        <w:left w:val="none" w:sz="0" w:space="0" w:color="auto"/>
                        <w:bottom w:val="none" w:sz="0" w:space="0" w:color="auto"/>
                        <w:right w:val="none" w:sz="0" w:space="0" w:color="auto"/>
                      </w:divBdr>
                    </w:div>
                  </w:divsChild>
                </w:div>
                <w:div w:id="793910518">
                  <w:marLeft w:val="0"/>
                  <w:marRight w:val="0"/>
                  <w:marTop w:val="0"/>
                  <w:marBottom w:val="0"/>
                  <w:divBdr>
                    <w:top w:val="none" w:sz="0" w:space="0" w:color="auto"/>
                    <w:left w:val="none" w:sz="0" w:space="0" w:color="auto"/>
                    <w:bottom w:val="none" w:sz="0" w:space="0" w:color="auto"/>
                    <w:right w:val="none" w:sz="0" w:space="0" w:color="auto"/>
                  </w:divBdr>
                  <w:divsChild>
                    <w:div w:id="2138524782">
                      <w:marLeft w:val="0"/>
                      <w:marRight w:val="0"/>
                      <w:marTop w:val="0"/>
                      <w:marBottom w:val="0"/>
                      <w:divBdr>
                        <w:top w:val="none" w:sz="0" w:space="0" w:color="auto"/>
                        <w:left w:val="none" w:sz="0" w:space="0" w:color="auto"/>
                        <w:bottom w:val="none" w:sz="0" w:space="0" w:color="auto"/>
                        <w:right w:val="none" w:sz="0" w:space="0" w:color="auto"/>
                      </w:divBdr>
                    </w:div>
                  </w:divsChild>
                </w:div>
                <w:div w:id="801196386">
                  <w:marLeft w:val="0"/>
                  <w:marRight w:val="0"/>
                  <w:marTop w:val="0"/>
                  <w:marBottom w:val="0"/>
                  <w:divBdr>
                    <w:top w:val="none" w:sz="0" w:space="0" w:color="auto"/>
                    <w:left w:val="none" w:sz="0" w:space="0" w:color="auto"/>
                    <w:bottom w:val="none" w:sz="0" w:space="0" w:color="auto"/>
                    <w:right w:val="none" w:sz="0" w:space="0" w:color="auto"/>
                  </w:divBdr>
                  <w:divsChild>
                    <w:div w:id="525145514">
                      <w:marLeft w:val="0"/>
                      <w:marRight w:val="0"/>
                      <w:marTop w:val="0"/>
                      <w:marBottom w:val="0"/>
                      <w:divBdr>
                        <w:top w:val="none" w:sz="0" w:space="0" w:color="auto"/>
                        <w:left w:val="none" w:sz="0" w:space="0" w:color="auto"/>
                        <w:bottom w:val="none" w:sz="0" w:space="0" w:color="auto"/>
                        <w:right w:val="none" w:sz="0" w:space="0" w:color="auto"/>
                      </w:divBdr>
                    </w:div>
                  </w:divsChild>
                </w:div>
                <w:div w:id="815994933">
                  <w:marLeft w:val="0"/>
                  <w:marRight w:val="0"/>
                  <w:marTop w:val="0"/>
                  <w:marBottom w:val="0"/>
                  <w:divBdr>
                    <w:top w:val="none" w:sz="0" w:space="0" w:color="auto"/>
                    <w:left w:val="none" w:sz="0" w:space="0" w:color="auto"/>
                    <w:bottom w:val="none" w:sz="0" w:space="0" w:color="auto"/>
                    <w:right w:val="none" w:sz="0" w:space="0" w:color="auto"/>
                  </w:divBdr>
                  <w:divsChild>
                    <w:div w:id="639577019">
                      <w:marLeft w:val="0"/>
                      <w:marRight w:val="0"/>
                      <w:marTop w:val="0"/>
                      <w:marBottom w:val="0"/>
                      <w:divBdr>
                        <w:top w:val="none" w:sz="0" w:space="0" w:color="auto"/>
                        <w:left w:val="none" w:sz="0" w:space="0" w:color="auto"/>
                        <w:bottom w:val="none" w:sz="0" w:space="0" w:color="auto"/>
                        <w:right w:val="none" w:sz="0" w:space="0" w:color="auto"/>
                      </w:divBdr>
                    </w:div>
                  </w:divsChild>
                </w:div>
                <w:div w:id="877856259">
                  <w:marLeft w:val="0"/>
                  <w:marRight w:val="0"/>
                  <w:marTop w:val="0"/>
                  <w:marBottom w:val="0"/>
                  <w:divBdr>
                    <w:top w:val="none" w:sz="0" w:space="0" w:color="auto"/>
                    <w:left w:val="none" w:sz="0" w:space="0" w:color="auto"/>
                    <w:bottom w:val="none" w:sz="0" w:space="0" w:color="auto"/>
                    <w:right w:val="none" w:sz="0" w:space="0" w:color="auto"/>
                  </w:divBdr>
                  <w:divsChild>
                    <w:div w:id="199100551">
                      <w:marLeft w:val="0"/>
                      <w:marRight w:val="0"/>
                      <w:marTop w:val="0"/>
                      <w:marBottom w:val="0"/>
                      <w:divBdr>
                        <w:top w:val="none" w:sz="0" w:space="0" w:color="auto"/>
                        <w:left w:val="none" w:sz="0" w:space="0" w:color="auto"/>
                        <w:bottom w:val="none" w:sz="0" w:space="0" w:color="auto"/>
                        <w:right w:val="none" w:sz="0" w:space="0" w:color="auto"/>
                      </w:divBdr>
                    </w:div>
                  </w:divsChild>
                </w:div>
                <w:div w:id="928349254">
                  <w:marLeft w:val="0"/>
                  <w:marRight w:val="0"/>
                  <w:marTop w:val="0"/>
                  <w:marBottom w:val="0"/>
                  <w:divBdr>
                    <w:top w:val="none" w:sz="0" w:space="0" w:color="auto"/>
                    <w:left w:val="none" w:sz="0" w:space="0" w:color="auto"/>
                    <w:bottom w:val="none" w:sz="0" w:space="0" w:color="auto"/>
                    <w:right w:val="none" w:sz="0" w:space="0" w:color="auto"/>
                  </w:divBdr>
                  <w:divsChild>
                    <w:div w:id="1637562236">
                      <w:marLeft w:val="0"/>
                      <w:marRight w:val="0"/>
                      <w:marTop w:val="0"/>
                      <w:marBottom w:val="0"/>
                      <w:divBdr>
                        <w:top w:val="none" w:sz="0" w:space="0" w:color="auto"/>
                        <w:left w:val="none" w:sz="0" w:space="0" w:color="auto"/>
                        <w:bottom w:val="none" w:sz="0" w:space="0" w:color="auto"/>
                        <w:right w:val="none" w:sz="0" w:space="0" w:color="auto"/>
                      </w:divBdr>
                    </w:div>
                  </w:divsChild>
                </w:div>
                <w:div w:id="1200388174">
                  <w:marLeft w:val="0"/>
                  <w:marRight w:val="0"/>
                  <w:marTop w:val="0"/>
                  <w:marBottom w:val="0"/>
                  <w:divBdr>
                    <w:top w:val="none" w:sz="0" w:space="0" w:color="auto"/>
                    <w:left w:val="none" w:sz="0" w:space="0" w:color="auto"/>
                    <w:bottom w:val="none" w:sz="0" w:space="0" w:color="auto"/>
                    <w:right w:val="none" w:sz="0" w:space="0" w:color="auto"/>
                  </w:divBdr>
                  <w:divsChild>
                    <w:div w:id="1605847527">
                      <w:marLeft w:val="0"/>
                      <w:marRight w:val="0"/>
                      <w:marTop w:val="0"/>
                      <w:marBottom w:val="0"/>
                      <w:divBdr>
                        <w:top w:val="none" w:sz="0" w:space="0" w:color="auto"/>
                        <w:left w:val="none" w:sz="0" w:space="0" w:color="auto"/>
                        <w:bottom w:val="none" w:sz="0" w:space="0" w:color="auto"/>
                        <w:right w:val="none" w:sz="0" w:space="0" w:color="auto"/>
                      </w:divBdr>
                    </w:div>
                  </w:divsChild>
                </w:div>
                <w:div w:id="1203057562">
                  <w:marLeft w:val="0"/>
                  <w:marRight w:val="0"/>
                  <w:marTop w:val="0"/>
                  <w:marBottom w:val="0"/>
                  <w:divBdr>
                    <w:top w:val="none" w:sz="0" w:space="0" w:color="auto"/>
                    <w:left w:val="none" w:sz="0" w:space="0" w:color="auto"/>
                    <w:bottom w:val="none" w:sz="0" w:space="0" w:color="auto"/>
                    <w:right w:val="none" w:sz="0" w:space="0" w:color="auto"/>
                  </w:divBdr>
                  <w:divsChild>
                    <w:div w:id="1779569754">
                      <w:marLeft w:val="0"/>
                      <w:marRight w:val="0"/>
                      <w:marTop w:val="0"/>
                      <w:marBottom w:val="0"/>
                      <w:divBdr>
                        <w:top w:val="none" w:sz="0" w:space="0" w:color="auto"/>
                        <w:left w:val="none" w:sz="0" w:space="0" w:color="auto"/>
                        <w:bottom w:val="none" w:sz="0" w:space="0" w:color="auto"/>
                        <w:right w:val="none" w:sz="0" w:space="0" w:color="auto"/>
                      </w:divBdr>
                    </w:div>
                  </w:divsChild>
                </w:div>
                <w:div w:id="1344093351">
                  <w:marLeft w:val="0"/>
                  <w:marRight w:val="0"/>
                  <w:marTop w:val="0"/>
                  <w:marBottom w:val="0"/>
                  <w:divBdr>
                    <w:top w:val="none" w:sz="0" w:space="0" w:color="auto"/>
                    <w:left w:val="none" w:sz="0" w:space="0" w:color="auto"/>
                    <w:bottom w:val="none" w:sz="0" w:space="0" w:color="auto"/>
                    <w:right w:val="none" w:sz="0" w:space="0" w:color="auto"/>
                  </w:divBdr>
                  <w:divsChild>
                    <w:div w:id="1213998825">
                      <w:marLeft w:val="0"/>
                      <w:marRight w:val="0"/>
                      <w:marTop w:val="0"/>
                      <w:marBottom w:val="0"/>
                      <w:divBdr>
                        <w:top w:val="none" w:sz="0" w:space="0" w:color="auto"/>
                        <w:left w:val="none" w:sz="0" w:space="0" w:color="auto"/>
                        <w:bottom w:val="none" w:sz="0" w:space="0" w:color="auto"/>
                        <w:right w:val="none" w:sz="0" w:space="0" w:color="auto"/>
                      </w:divBdr>
                    </w:div>
                  </w:divsChild>
                </w:div>
                <w:div w:id="1351026928">
                  <w:marLeft w:val="0"/>
                  <w:marRight w:val="0"/>
                  <w:marTop w:val="0"/>
                  <w:marBottom w:val="0"/>
                  <w:divBdr>
                    <w:top w:val="none" w:sz="0" w:space="0" w:color="auto"/>
                    <w:left w:val="none" w:sz="0" w:space="0" w:color="auto"/>
                    <w:bottom w:val="none" w:sz="0" w:space="0" w:color="auto"/>
                    <w:right w:val="none" w:sz="0" w:space="0" w:color="auto"/>
                  </w:divBdr>
                  <w:divsChild>
                    <w:div w:id="746344079">
                      <w:marLeft w:val="0"/>
                      <w:marRight w:val="0"/>
                      <w:marTop w:val="0"/>
                      <w:marBottom w:val="0"/>
                      <w:divBdr>
                        <w:top w:val="none" w:sz="0" w:space="0" w:color="auto"/>
                        <w:left w:val="none" w:sz="0" w:space="0" w:color="auto"/>
                        <w:bottom w:val="none" w:sz="0" w:space="0" w:color="auto"/>
                        <w:right w:val="none" w:sz="0" w:space="0" w:color="auto"/>
                      </w:divBdr>
                    </w:div>
                  </w:divsChild>
                </w:div>
                <w:div w:id="1414400630">
                  <w:marLeft w:val="0"/>
                  <w:marRight w:val="0"/>
                  <w:marTop w:val="0"/>
                  <w:marBottom w:val="0"/>
                  <w:divBdr>
                    <w:top w:val="none" w:sz="0" w:space="0" w:color="auto"/>
                    <w:left w:val="none" w:sz="0" w:space="0" w:color="auto"/>
                    <w:bottom w:val="none" w:sz="0" w:space="0" w:color="auto"/>
                    <w:right w:val="none" w:sz="0" w:space="0" w:color="auto"/>
                  </w:divBdr>
                  <w:divsChild>
                    <w:div w:id="1601180889">
                      <w:marLeft w:val="0"/>
                      <w:marRight w:val="0"/>
                      <w:marTop w:val="0"/>
                      <w:marBottom w:val="0"/>
                      <w:divBdr>
                        <w:top w:val="none" w:sz="0" w:space="0" w:color="auto"/>
                        <w:left w:val="none" w:sz="0" w:space="0" w:color="auto"/>
                        <w:bottom w:val="none" w:sz="0" w:space="0" w:color="auto"/>
                        <w:right w:val="none" w:sz="0" w:space="0" w:color="auto"/>
                      </w:divBdr>
                    </w:div>
                  </w:divsChild>
                </w:div>
                <w:div w:id="1425112062">
                  <w:marLeft w:val="0"/>
                  <w:marRight w:val="0"/>
                  <w:marTop w:val="0"/>
                  <w:marBottom w:val="0"/>
                  <w:divBdr>
                    <w:top w:val="none" w:sz="0" w:space="0" w:color="auto"/>
                    <w:left w:val="none" w:sz="0" w:space="0" w:color="auto"/>
                    <w:bottom w:val="none" w:sz="0" w:space="0" w:color="auto"/>
                    <w:right w:val="none" w:sz="0" w:space="0" w:color="auto"/>
                  </w:divBdr>
                  <w:divsChild>
                    <w:div w:id="1311404049">
                      <w:marLeft w:val="0"/>
                      <w:marRight w:val="0"/>
                      <w:marTop w:val="0"/>
                      <w:marBottom w:val="0"/>
                      <w:divBdr>
                        <w:top w:val="none" w:sz="0" w:space="0" w:color="auto"/>
                        <w:left w:val="none" w:sz="0" w:space="0" w:color="auto"/>
                        <w:bottom w:val="none" w:sz="0" w:space="0" w:color="auto"/>
                        <w:right w:val="none" w:sz="0" w:space="0" w:color="auto"/>
                      </w:divBdr>
                    </w:div>
                  </w:divsChild>
                </w:div>
                <w:div w:id="1507406937">
                  <w:marLeft w:val="0"/>
                  <w:marRight w:val="0"/>
                  <w:marTop w:val="0"/>
                  <w:marBottom w:val="0"/>
                  <w:divBdr>
                    <w:top w:val="none" w:sz="0" w:space="0" w:color="auto"/>
                    <w:left w:val="none" w:sz="0" w:space="0" w:color="auto"/>
                    <w:bottom w:val="none" w:sz="0" w:space="0" w:color="auto"/>
                    <w:right w:val="none" w:sz="0" w:space="0" w:color="auto"/>
                  </w:divBdr>
                  <w:divsChild>
                    <w:div w:id="900795221">
                      <w:marLeft w:val="0"/>
                      <w:marRight w:val="0"/>
                      <w:marTop w:val="0"/>
                      <w:marBottom w:val="0"/>
                      <w:divBdr>
                        <w:top w:val="none" w:sz="0" w:space="0" w:color="auto"/>
                        <w:left w:val="none" w:sz="0" w:space="0" w:color="auto"/>
                        <w:bottom w:val="none" w:sz="0" w:space="0" w:color="auto"/>
                        <w:right w:val="none" w:sz="0" w:space="0" w:color="auto"/>
                      </w:divBdr>
                    </w:div>
                  </w:divsChild>
                </w:div>
                <w:div w:id="1552688541">
                  <w:marLeft w:val="0"/>
                  <w:marRight w:val="0"/>
                  <w:marTop w:val="0"/>
                  <w:marBottom w:val="0"/>
                  <w:divBdr>
                    <w:top w:val="none" w:sz="0" w:space="0" w:color="auto"/>
                    <w:left w:val="none" w:sz="0" w:space="0" w:color="auto"/>
                    <w:bottom w:val="none" w:sz="0" w:space="0" w:color="auto"/>
                    <w:right w:val="none" w:sz="0" w:space="0" w:color="auto"/>
                  </w:divBdr>
                  <w:divsChild>
                    <w:div w:id="1308589411">
                      <w:marLeft w:val="0"/>
                      <w:marRight w:val="0"/>
                      <w:marTop w:val="0"/>
                      <w:marBottom w:val="0"/>
                      <w:divBdr>
                        <w:top w:val="none" w:sz="0" w:space="0" w:color="auto"/>
                        <w:left w:val="none" w:sz="0" w:space="0" w:color="auto"/>
                        <w:bottom w:val="none" w:sz="0" w:space="0" w:color="auto"/>
                        <w:right w:val="none" w:sz="0" w:space="0" w:color="auto"/>
                      </w:divBdr>
                    </w:div>
                  </w:divsChild>
                </w:div>
                <w:div w:id="1625844374">
                  <w:marLeft w:val="0"/>
                  <w:marRight w:val="0"/>
                  <w:marTop w:val="0"/>
                  <w:marBottom w:val="0"/>
                  <w:divBdr>
                    <w:top w:val="none" w:sz="0" w:space="0" w:color="auto"/>
                    <w:left w:val="none" w:sz="0" w:space="0" w:color="auto"/>
                    <w:bottom w:val="none" w:sz="0" w:space="0" w:color="auto"/>
                    <w:right w:val="none" w:sz="0" w:space="0" w:color="auto"/>
                  </w:divBdr>
                  <w:divsChild>
                    <w:div w:id="1183784578">
                      <w:marLeft w:val="0"/>
                      <w:marRight w:val="0"/>
                      <w:marTop w:val="0"/>
                      <w:marBottom w:val="0"/>
                      <w:divBdr>
                        <w:top w:val="none" w:sz="0" w:space="0" w:color="auto"/>
                        <w:left w:val="none" w:sz="0" w:space="0" w:color="auto"/>
                        <w:bottom w:val="none" w:sz="0" w:space="0" w:color="auto"/>
                        <w:right w:val="none" w:sz="0" w:space="0" w:color="auto"/>
                      </w:divBdr>
                    </w:div>
                  </w:divsChild>
                </w:div>
                <w:div w:id="1823766168">
                  <w:marLeft w:val="0"/>
                  <w:marRight w:val="0"/>
                  <w:marTop w:val="0"/>
                  <w:marBottom w:val="0"/>
                  <w:divBdr>
                    <w:top w:val="none" w:sz="0" w:space="0" w:color="auto"/>
                    <w:left w:val="none" w:sz="0" w:space="0" w:color="auto"/>
                    <w:bottom w:val="none" w:sz="0" w:space="0" w:color="auto"/>
                    <w:right w:val="none" w:sz="0" w:space="0" w:color="auto"/>
                  </w:divBdr>
                  <w:divsChild>
                    <w:div w:id="614408854">
                      <w:marLeft w:val="0"/>
                      <w:marRight w:val="0"/>
                      <w:marTop w:val="0"/>
                      <w:marBottom w:val="0"/>
                      <w:divBdr>
                        <w:top w:val="none" w:sz="0" w:space="0" w:color="auto"/>
                        <w:left w:val="none" w:sz="0" w:space="0" w:color="auto"/>
                        <w:bottom w:val="none" w:sz="0" w:space="0" w:color="auto"/>
                        <w:right w:val="none" w:sz="0" w:space="0" w:color="auto"/>
                      </w:divBdr>
                    </w:div>
                  </w:divsChild>
                </w:div>
                <w:div w:id="1834301029">
                  <w:marLeft w:val="0"/>
                  <w:marRight w:val="0"/>
                  <w:marTop w:val="0"/>
                  <w:marBottom w:val="0"/>
                  <w:divBdr>
                    <w:top w:val="none" w:sz="0" w:space="0" w:color="auto"/>
                    <w:left w:val="none" w:sz="0" w:space="0" w:color="auto"/>
                    <w:bottom w:val="none" w:sz="0" w:space="0" w:color="auto"/>
                    <w:right w:val="none" w:sz="0" w:space="0" w:color="auto"/>
                  </w:divBdr>
                  <w:divsChild>
                    <w:div w:id="2050178509">
                      <w:marLeft w:val="0"/>
                      <w:marRight w:val="0"/>
                      <w:marTop w:val="0"/>
                      <w:marBottom w:val="0"/>
                      <w:divBdr>
                        <w:top w:val="none" w:sz="0" w:space="0" w:color="auto"/>
                        <w:left w:val="none" w:sz="0" w:space="0" w:color="auto"/>
                        <w:bottom w:val="none" w:sz="0" w:space="0" w:color="auto"/>
                        <w:right w:val="none" w:sz="0" w:space="0" w:color="auto"/>
                      </w:divBdr>
                    </w:div>
                    <w:div w:id="2142768725">
                      <w:marLeft w:val="0"/>
                      <w:marRight w:val="0"/>
                      <w:marTop w:val="0"/>
                      <w:marBottom w:val="0"/>
                      <w:divBdr>
                        <w:top w:val="none" w:sz="0" w:space="0" w:color="auto"/>
                        <w:left w:val="none" w:sz="0" w:space="0" w:color="auto"/>
                        <w:bottom w:val="none" w:sz="0" w:space="0" w:color="auto"/>
                        <w:right w:val="none" w:sz="0" w:space="0" w:color="auto"/>
                      </w:divBdr>
                    </w:div>
                  </w:divsChild>
                </w:div>
                <w:div w:id="1971550239">
                  <w:marLeft w:val="0"/>
                  <w:marRight w:val="0"/>
                  <w:marTop w:val="0"/>
                  <w:marBottom w:val="0"/>
                  <w:divBdr>
                    <w:top w:val="none" w:sz="0" w:space="0" w:color="auto"/>
                    <w:left w:val="none" w:sz="0" w:space="0" w:color="auto"/>
                    <w:bottom w:val="none" w:sz="0" w:space="0" w:color="auto"/>
                    <w:right w:val="none" w:sz="0" w:space="0" w:color="auto"/>
                  </w:divBdr>
                  <w:divsChild>
                    <w:div w:id="1195534363">
                      <w:marLeft w:val="0"/>
                      <w:marRight w:val="0"/>
                      <w:marTop w:val="0"/>
                      <w:marBottom w:val="0"/>
                      <w:divBdr>
                        <w:top w:val="none" w:sz="0" w:space="0" w:color="auto"/>
                        <w:left w:val="none" w:sz="0" w:space="0" w:color="auto"/>
                        <w:bottom w:val="none" w:sz="0" w:space="0" w:color="auto"/>
                        <w:right w:val="none" w:sz="0" w:space="0" w:color="auto"/>
                      </w:divBdr>
                    </w:div>
                  </w:divsChild>
                </w:div>
                <w:div w:id="1975018021">
                  <w:marLeft w:val="0"/>
                  <w:marRight w:val="0"/>
                  <w:marTop w:val="0"/>
                  <w:marBottom w:val="0"/>
                  <w:divBdr>
                    <w:top w:val="none" w:sz="0" w:space="0" w:color="auto"/>
                    <w:left w:val="none" w:sz="0" w:space="0" w:color="auto"/>
                    <w:bottom w:val="none" w:sz="0" w:space="0" w:color="auto"/>
                    <w:right w:val="none" w:sz="0" w:space="0" w:color="auto"/>
                  </w:divBdr>
                  <w:divsChild>
                    <w:div w:id="1580868133">
                      <w:marLeft w:val="0"/>
                      <w:marRight w:val="0"/>
                      <w:marTop w:val="0"/>
                      <w:marBottom w:val="0"/>
                      <w:divBdr>
                        <w:top w:val="none" w:sz="0" w:space="0" w:color="auto"/>
                        <w:left w:val="none" w:sz="0" w:space="0" w:color="auto"/>
                        <w:bottom w:val="none" w:sz="0" w:space="0" w:color="auto"/>
                        <w:right w:val="none" w:sz="0" w:space="0" w:color="auto"/>
                      </w:divBdr>
                    </w:div>
                  </w:divsChild>
                </w:div>
                <w:div w:id="2047412958">
                  <w:marLeft w:val="0"/>
                  <w:marRight w:val="0"/>
                  <w:marTop w:val="0"/>
                  <w:marBottom w:val="0"/>
                  <w:divBdr>
                    <w:top w:val="none" w:sz="0" w:space="0" w:color="auto"/>
                    <w:left w:val="none" w:sz="0" w:space="0" w:color="auto"/>
                    <w:bottom w:val="none" w:sz="0" w:space="0" w:color="auto"/>
                    <w:right w:val="none" w:sz="0" w:space="0" w:color="auto"/>
                  </w:divBdr>
                  <w:divsChild>
                    <w:div w:id="1987390403">
                      <w:marLeft w:val="0"/>
                      <w:marRight w:val="0"/>
                      <w:marTop w:val="0"/>
                      <w:marBottom w:val="0"/>
                      <w:divBdr>
                        <w:top w:val="none" w:sz="0" w:space="0" w:color="auto"/>
                        <w:left w:val="none" w:sz="0" w:space="0" w:color="auto"/>
                        <w:bottom w:val="none" w:sz="0" w:space="0" w:color="auto"/>
                        <w:right w:val="none" w:sz="0" w:space="0" w:color="auto"/>
                      </w:divBdr>
                    </w:div>
                  </w:divsChild>
                </w:div>
                <w:div w:id="2064058985">
                  <w:marLeft w:val="0"/>
                  <w:marRight w:val="0"/>
                  <w:marTop w:val="0"/>
                  <w:marBottom w:val="0"/>
                  <w:divBdr>
                    <w:top w:val="none" w:sz="0" w:space="0" w:color="auto"/>
                    <w:left w:val="none" w:sz="0" w:space="0" w:color="auto"/>
                    <w:bottom w:val="none" w:sz="0" w:space="0" w:color="auto"/>
                    <w:right w:val="none" w:sz="0" w:space="0" w:color="auto"/>
                  </w:divBdr>
                  <w:divsChild>
                    <w:div w:id="1920361736">
                      <w:marLeft w:val="0"/>
                      <w:marRight w:val="0"/>
                      <w:marTop w:val="0"/>
                      <w:marBottom w:val="0"/>
                      <w:divBdr>
                        <w:top w:val="none" w:sz="0" w:space="0" w:color="auto"/>
                        <w:left w:val="none" w:sz="0" w:space="0" w:color="auto"/>
                        <w:bottom w:val="none" w:sz="0" w:space="0" w:color="auto"/>
                        <w:right w:val="none" w:sz="0" w:space="0" w:color="auto"/>
                      </w:divBdr>
                    </w:div>
                  </w:divsChild>
                </w:div>
                <w:div w:id="2078624569">
                  <w:marLeft w:val="0"/>
                  <w:marRight w:val="0"/>
                  <w:marTop w:val="0"/>
                  <w:marBottom w:val="0"/>
                  <w:divBdr>
                    <w:top w:val="none" w:sz="0" w:space="0" w:color="auto"/>
                    <w:left w:val="none" w:sz="0" w:space="0" w:color="auto"/>
                    <w:bottom w:val="none" w:sz="0" w:space="0" w:color="auto"/>
                    <w:right w:val="none" w:sz="0" w:space="0" w:color="auto"/>
                  </w:divBdr>
                  <w:divsChild>
                    <w:div w:id="317423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2735065">
          <w:marLeft w:val="0"/>
          <w:marRight w:val="0"/>
          <w:marTop w:val="0"/>
          <w:marBottom w:val="0"/>
          <w:divBdr>
            <w:top w:val="none" w:sz="0" w:space="0" w:color="auto"/>
            <w:left w:val="none" w:sz="0" w:space="0" w:color="auto"/>
            <w:bottom w:val="none" w:sz="0" w:space="0" w:color="auto"/>
            <w:right w:val="none" w:sz="0" w:space="0" w:color="auto"/>
          </w:divBdr>
        </w:div>
      </w:divsChild>
    </w:div>
    <w:div w:id="2114283034">
      <w:bodyDiv w:val="1"/>
      <w:marLeft w:val="0"/>
      <w:marRight w:val="0"/>
      <w:marTop w:val="0"/>
      <w:marBottom w:val="0"/>
      <w:divBdr>
        <w:top w:val="none" w:sz="0" w:space="0" w:color="auto"/>
        <w:left w:val="none" w:sz="0" w:space="0" w:color="auto"/>
        <w:bottom w:val="none" w:sz="0" w:space="0" w:color="auto"/>
        <w:right w:val="none" w:sz="0" w:space="0" w:color="auto"/>
      </w:divBdr>
      <w:divsChild>
        <w:div w:id="199783894">
          <w:marLeft w:val="0"/>
          <w:marRight w:val="0"/>
          <w:marTop w:val="0"/>
          <w:marBottom w:val="0"/>
          <w:divBdr>
            <w:top w:val="none" w:sz="0" w:space="0" w:color="auto"/>
            <w:left w:val="none" w:sz="0" w:space="0" w:color="auto"/>
            <w:bottom w:val="none" w:sz="0" w:space="0" w:color="auto"/>
            <w:right w:val="none" w:sz="0" w:space="0" w:color="auto"/>
          </w:divBdr>
        </w:div>
        <w:div w:id="229923211">
          <w:marLeft w:val="0"/>
          <w:marRight w:val="0"/>
          <w:marTop w:val="0"/>
          <w:marBottom w:val="0"/>
          <w:divBdr>
            <w:top w:val="none" w:sz="0" w:space="0" w:color="auto"/>
            <w:left w:val="none" w:sz="0" w:space="0" w:color="auto"/>
            <w:bottom w:val="none" w:sz="0" w:space="0" w:color="auto"/>
            <w:right w:val="none" w:sz="0" w:space="0" w:color="auto"/>
          </w:divBdr>
        </w:div>
        <w:div w:id="1001347298">
          <w:marLeft w:val="0"/>
          <w:marRight w:val="0"/>
          <w:marTop w:val="0"/>
          <w:marBottom w:val="0"/>
          <w:divBdr>
            <w:top w:val="none" w:sz="0" w:space="0" w:color="auto"/>
            <w:left w:val="none" w:sz="0" w:space="0" w:color="auto"/>
            <w:bottom w:val="none" w:sz="0" w:space="0" w:color="auto"/>
            <w:right w:val="none" w:sz="0" w:space="0" w:color="auto"/>
          </w:divBdr>
          <w:divsChild>
            <w:div w:id="397291918">
              <w:marLeft w:val="-75"/>
              <w:marRight w:val="0"/>
              <w:marTop w:val="30"/>
              <w:marBottom w:val="30"/>
              <w:divBdr>
                <w:top w:val="none" w:sz="0" w:space="0" w:color="auto"/>
                <w:left w:val="none" w:sz="0" w:space="0" w:color="auto"/>
                <w:bottom w:val="none" w:sz="0" w:space="0" w:color="auto"/>
                <w:right w:val="none" w:sz="0" w:space="0" w:color="auto"/>
              </w:divBdr>
              <w:divsChild>
                <w:div w:id="2782439">
                  <w:marLeft w:val="0"/>
                  <w:marRight w:val="0"/>
                  <w:marTop w:val="0"/>
                  <w:marBottom w:val="0"/>
                  <w:divBdr>
                    <w:top w:val="none" w:sz="0" w:space="0" w:color="auto"/>
                    <w:left w:val="none" w:sz="0" w:space="0" w:color="auto"/>
                    <w:bottom w:val="none" w:sz="0" w:space="0" w:color="auto"/>
                    <w:right w:val="none" w:sz="0" w:space="0" w:color="auto"/>
                  </w:divBdr>
                  <w:divsChild>
                    <w:div w:id="1821728047">
                      <w:marLeft w:val="0"/>
                      <w:marRight w:val="0"/>
                      <w:marTop w:val="0"/>
                      <w:marBottom w:val="0"/>
                      <w:divBdr>
                        <w:top w:val="none" w:sz="0" w:space="0" w:color="auto"/>
                        <w:left w:val="none" w:sz="0" w:space="0" w:color="auto"/>
                        <w:bottom w:val="none" w:sz="0" w:space="0" w:color="auto"/>
                        <w:right w:val="none" w:sz="0" w:space="0" w:color="auto"/>
                      </w:divBdr>
                    </w:div>
                  </w:divsChild>
                </w:div>
                <w:div w:id="9181385">
                  <w:marLeft w:val="0"/>
                  <w:marRight w:val="0"/>
                  <w:marTop w:val="0"/>
                  <w:marBottom w:val="0"/>
                  <w:divBdr>
                    <w:top w:val="none" w:sz="0" w:space="0" w:color="auto"/>
                    <w:left w:val="none" w:sz="0" w:space="0" w:color="auto"/>
                    <w:bottom w:val="none" w:sz="0" w:space="0" w:color="auto"/>
                    <w:right w:val="none" w:sz="0" w:space="0" w:color="auto"/>
                  </w:divBdr>
                  <w:divsChild>
                    <w:div w:id="1505708831">
                      <w:marLeft w:val="0"/>
                      <w:marRight w:val="0"/>
                      <w:marTop w:val="0"/>
                      <w:marBottom w:val="0"/>
                      <w:divBdr>
                        <w:top w:val="none" w:sz="0" w:space="0" w:color="auto"/>
                        <w:left w:val="none" w:sz="0" w:space="0" w:color="auto"/>
                        <w:bottom w:val="none" w:sz="0" w:space="0" w:color="auto"/>
                        <w:right w:val="none" w:sz="0" w:space="0" w:color="auto"/>
                      </w:divBdr>
                    </w:div>
                  </w:divsChild>
                </w:div>
                <w:div w:id="20403920">
                  <w:marLeft w:val="0"/>
                  <w:marRight w:val="0"/>
                  <w:marTop w:val="0"/>
                  <w:marBottom w:val="0"/>
                  <w:divBdr>
                    <w:top w:val="none" w:sz="0" w:space="0" w:color="auto"/>
                    <w:left w:val="none" w:sz="0" w:space="0" w:color="auto"/>
                    <w:bottom w:val="none" w:sz="0" w:space="0" w:color="auto"/>
                    <w:right w:val="none" w:sz="0" w:space="0" w:color="auto"/>
                  </w:divBdr>
                  <w:divsChild>
                    <w:div w:id="1284340501">
                      <w:marLeft w:val="0"/>
                      <w:marRight w:val="0"/>
                      <w:marTop w:val="0"/>
                      <w:marBottom w:val="0"/>
                      <w:divBdr>
                        <w:top w:val="none" w:sz="0" w:space="0" w:color="auto"/>
                        <w:left w:val="none" w:sz="0" w:space="0" w:color="auto"/>
                        <w:bottom w:val="none" w:sz="0" w:space="0" w:color="auto"/>
                        <w:right w:val="none" w:sz="0" w:space="0" w:color="auto"/>
                      </w:divBdr>
                    </w:div>
                  </w:divsChild>
                </w:div>
                <w:div w:id="23290492">
                  <w:marLeft w:val="0"/>
                  <w:marRight w:val="0"/>
                  <w:marTop w:val="0"/>
                  <w:marBottom w:val="0"/>
                  <w:divBdr>
                    <w:top w:val="none" w:sz="0" w:space="0" w:color="auto"/>
                    <w:left w:val="none" w:sz="0" w:space="0" w:color="auto"/>
                    <w:bottom w:val="none" w:sz="0" w:space="0" w:color="auto"/>
                    <w:right w:val="none" w:sz="0" w:space="0" w:color="auto"/>
                  </w:divBdr>
                  <w:divsChild>
                    <w:div w:id="736055271">
                      <w:marLeft w:val="0"/>
                      <w:marRight w:val="0"/>
                      <w:marTop w:val="0"/>
                      <w:marBottom w:val="0"/>
                      <w:divBdr>
                        <w:top w:val="none" w:sz="0" w:space="0" w:color="auto"/>
                        <w:left w:val="none" w:sz="0" w:space="0" w:color="auto"/>
                        <w:bottom w:val="none" w:sz="0" w:space="0" w:color="auto"/>
                        <w:right w:val="none" w:sz="0" w:space="0" w:color="auto"/>
                      </w:divBdr>
                    </w:div>
                  </w:divsChild>
                </w:div>
                <w:div w:id="35471541">
                  <w:marLeft w:val="0"/>
                  <w:marRight w:val="0"/>
                  <w:marTop w:val="0"/>
                  <w:marBottom w:val="0"/>
                  <w:divBdr>
                    <w:top w:val="none" w:sz="0" w:space="0" w:color="auto"/>
                    <w:left w:val="none" w:sz="0" w:space="0" w:color="auto"/>
                    <w:bottom w:val="none" w:sz="0" w:space="0" w:color="auto"/>
                    <w:right w:val="none" w:sz="0" w:space="0" w:color="auto"/>
                  </w:divBdr>
                  <w:divsChild>
                    <w:div w:id="1718050105">
                      <w:marLeft w:val="0"/>
                      <w:marRight w:val="0"/>
                      <w:marTop w:val="0"/>
                      <w:marBottom w:val="0"/>
                      <w:divBdr>
                        <w:top w:val="none" w:sz="0" w:space="0" w:color="auto"/>
                        <w:left w:val="none" w:sz="0" w:space="0" w:color="auto"/>
                        <w:bottom w:val="none" w:sz="0" w:space="0" w:color="auto"/>
                        <w:right w:val="none" w:sz="0" w:space="0" w:color="auto"/>
                      </w:divBdr>
                    </w:div>
                  </w:divsChild>
                </w:div>
                <w:div w:id="55976829">
                  <w:marLeft w:val="0"/>
                  <w:marRight w:val="0"/>
                  <w:marTop w:val="0"/>
                  <w:marBottom w:val="0"/>
                  <w:divBdr>
                    <w:top w:val="none" w:sz="0" w:space="0" w:color="auto"/>
                    <w:left w:val="none" w:sz="0" w:space="0" w:color="auto"/>
                    <w:bottom w:val="none" w:sz="0" w:space="0" w:color="auto"/>
                    <w:right w:val="none" w:sz="0" w:space="0" w:color="auto"/>
                  </w:divBdr>
                  <w:divsChild>
                    <w:div w:id="16855667">
                      <w:marLeft w:val="0"/>
                      <w:marRight w:val="0"/>
                      <w:marTop w:val="0"/>
                      <w:marBottom w:val="0"/>
                      <w:divBdr>
                        <w:top w:val="none" w:sz="0" w:space="0" w:color="auto"/>
                        <w:left w:val="none" w:sz="0" w:space="0" w:color="auto"/>
                        <w:bottom w:val="none" w:sz="0" w:space="0" w:color="auto"/>
                        <w:right w:val="none" w:sz="0" w:space="0" w:color="auto"/>
                      </w:divBdr>
                    </w:div>
                  </w:divsChild>
                </w:div>
                <w:div w:id="100533548">
                  <w:marLeft w:val="0"/>
                  <w:marRight w:val="0"/>
                  <w:marTop w:val="0"/>
                  <w:marBottom w:val="0"/>
                  <w:divBdr>
                    <w:top w:val="none" w:sz="0" w:space="0" w:color="auto"/>
                    <w:left w:val="none" w:sz="0" w:space="0" w:color="auto"/>
                    <w:bottom w:val="none" w:sz="0" w:space="0" w:color="auto"/>
                    <w:right w:val="none" w:sz="0" w:space="0" w:color="auto"/>
                  </w:divBdr>
                  <w:divsChild>
                    <w:div w:id="1716463959">
                      <w:marLeft w:val="0"/>
                      <w:marRight w:val="0"/>
                      <w:marTop w:val="0"/>
                      <w:marBottom w:val="0"/>
                      <w:divBdr>
                        <w:top w:val="none" w:sz="0" w:space="0" w:color="auto"/>
                        <w:left w:val="none" w:sz="0" w:space="0" w:color="auto"/>
                        <w:bottom w:val="none" w:sz="0" w:space="0" w:color="auto"/>
                        <w:right w:val="none" w:sz="0" w:space="0" w:color="auto"/>
                      </w:divBdr>
                    </w:div>
                  </w:divsChild>
                </w:div>
                <w:div w:id="100925837">
                  <w:marLeft w:val="0"/>
                  <w:marRight w:val="0"/>
                  <w:marTop w:val="0"/>
                  <w:marBottom w:val="0"/>
                  <w:divBdr>
                    <w:top w:val="none" w:sz="0" w:space="0" w:color="auto"/>
                    <w:left w:val="none" w:sz="0" w:space="0" w:color="auto"/>
                    <w:bottom w:val="none" w:sz="0" w:space="0" w:color="auto"/>
                    <w:right w:val="none" w:sz="0" w:space="0" w:color="auto"/>
                  </w:divBdr>
                  <w:divsChild>
                    <w:div w:id="1447116097">
                      <w:marLeft w:val="0"/>
                      <w:marRight w:val="0"/>
                      <w:marTop w:val="0"/>
                      <w:marBottom w:val="0"/>
                      <w:divBdr>
                        <w:top w:val="none" w:sz="0" w:space="0" w:color="auto"/>
                        <w:left w:val="none" w:sz="0" w:space="0" w:color="auto"/>
                        <w:bottom w:val="none" w:sz="0" w:space="0" w:color="auto"/>
                        <w:right w:val="none" w:sz="0" w:space="0" w:color="auto"/>
                      </w:divBdr>
                    </w:div>
                  </w:divsChild>
                </w:div>
                <w:div w:id="129632272">
                  <w:marLeft w:val="0"/>
                  <w:marRight w:val="0"/>
                  <w:marTop w:val="0"/>
                  <w:marBottom w:val="0"/>
                  <w:divBdr>
                    <w:top w:val="none" w:sz="0" w:space="0" w:color="auto"/>
                    <w:left w:val="none" w:sz="0" w:space="0" w:color="auto"/>
                    <w:bottom w:val="none" w:sz="0" w:space="0" w:color="auto"/>
                    <w:right w:val="none" w:sz="0" w:space="0" w:color="auto"/>
                  </w:divBdr>
                  <w:divsChild>
                    <w:div w:id="1131748134">
                      <w:marLeft w:val="0"/>
                      <w:marRight w:val="0"/>
                      <w:marTop w:val="0"/>
                      <w:marBottom w:val="0"/>
                      <w:divBdr>
                        <w:top w:val="none" w:sz="0" w:space="0" w:color="auto"/>
                        <w:left w:val="none" w:sz="0" w:space="0" w:color="auto"/>
                        <w:bottom w:val="none" w:sz="0" w:space="0" w:color="auto"/>
                        <w:right w:val="none" w:sz="0" w:space="0" w:color="auto"/>
                      </w:divBdr>
                    </w:div>
                  </w:divsChild>
                </w:div>
                <w:div w:id="207422958">
                  <w:marLeft w:val="0"/>
                  <w:marRight w:val="0"/>
                  <w:marTop w:val="0"/>
                  <w:marBottom w:val="0"/>
                  <w:divBdr>
                    <w:top w:val="none" w:sz="0" w:space="0" w:color="auto"/>
                    <w:left w:val="none" w:sz="0" w:space="0" w:color="auto"/>
                    <w:bottom w:val="none" w:sz="0" w:space="0" w:color="auto"/>
                    <w:right w:val="none" w:sz="0" w:space="0" w:color="auto"/>
                  </w:divBdr>
                  <w:divsChild>
                    <w:div w:id="282735540">
                      <w:marLeft w:val="0"/>
                      <w:marRight w:val="0"/>
                      <w:marTop w:val="0"/>
                      <w:marBottom w:val="0"/>
                      <w:divBdr>
                        <w:top w:val="none" w:sz="0" w:space="0" w:color="auto"/>
                        <w:left w:val="none" w:sz="0" w:space="0" w:color="auto"/>
                        <w:bottom w:val="none" w:sz="0" w:space="0" w:color="auto"/>
                        <w:right w:val="none" w:sz="0" w:space="0" w:color="auto"/>
                      </w:divBdr>
                    </w:div>
                  </w:divsChild>
                </w:div>
                <w:div w:id="256792910">
                  <w:marLeft w:val="0"/>
                  <w:marRight w:val="0"/>
                  <w:marTop w:val="0"/>
                  <w:marBottom w:val="0"/>
                  <w:divBdr>
                    <w:top w:val="none" w:sz="0" w:space="0" w:color="auto"/>
                    <w:left w:val="none" w:sz="0" w:space="0" w:color="auto"/>
                    <w:bottom w:val="none" w:sz="0" w:space="0" w:color="auto"/>
                    <w:right w:val="none" w:sz="0" w:space="0" w:color="auto"/>
                  </w:divBdr>
                  <w:divsChild>
                    <w:div w:id="2105804110">
                      <w:marLeft w:val="0"/>
                      <w:marRight w:val="0"/>
                      <w:marTop w:val="0"/>
                      <w:marBottom w:val="0"/>
                      <w:divBdr>
                        <w:top w:val="none" w:sz="0" w:space="0" w:color="auto"/>
                        <w:left w:val="none" w:sz="0" w:space="0" w:color="auto"/>
                        <w:bottom w:val="none" w:sz="0" w:space="0" w:color="auto"/>
                        <w:right w:val="none" w:sz="0" w:space="0" w:color="auto"/>
                      </w:divBdr>
                    </w:div>
                  </w:divsChild>
                </w:div>
                <w:div w:id="292567386">
                  <w:marLeft w:val="0"/>
                  <w:marRight w:val="0"/>
                  <w:marTop w:val="0"/>
                  <w:marBottom w:val="0"/>
                  <w:divBdr>
                    <w:top w:val="none" w:sz="0" w:space="0" w:color="auto"/>
                    <w:left w:val="none" w:sz="0" w:space="0" w:color="auto"/>
                    <w:bottom w:val="none" w:sz="0" w:space="0" w:color="auto"/>
                    <w:right w:val="none" w:sz="0" w:space="0" w:color="auto"/>
                  </w:divBdr>
                  <w:divsChild>
                    <w:div w:id="661659837">
                      <w:marLeft w:val="0"/>
                      <w:marRight w:val="0"/>
                      <w:marTop w:val="0"/>
                      <w:marBottom w:val="0"/>
                      <w:divBdr>
                        <w:top w:val="none" w:sz="0" w:space="0" w:color="auto"/>
                        <w:left w:val="none" w:sz="0" w:space="0" w:color="auto"/>
                        <w:bottom w:val="none" w:sz="0" w:space="0" w:color="auto"/>
                        <w:right w:val="none" w:sz="0" w:space="0" w:color="auto"/>
                      </w:divBdr>
                    </w:div>
                  </w:divsChild>
                </w:div>
                <w:div w:id="315309179">
                  <w:marLeft w:val="0"/>
                  <w:marRight w:val="0"/>
                  <w:marTop w:val="0"/>
                  <w:marBottom w:val="0"/>
                  <w:divBdr>
                    <w:top w:val="none" w:sz="0" w:space="0" w:color="auto"/>
                    <w:left w:val="none" w:sz="0" w:space="0" w:color="auto"/>
                    <w:bottom w:val="none" w:sz="0" w:space="0" w:color="auto"/>
                    <w:right w:val="none" w:sz="0" w:space="0" w:color="auto"/>
                  </w:divBdr>
                  <w:divsChild>
                    <w:div w:id="917902877">
                      <w:marLeft w:val="0"/>
                      <w:marRight w:val="0"/>
                      <w:marTop w:val="0"/>
                      <w:marBottom w:val="0"/>
                      <w:divBdr>
                        <w:top w:val="none" w:sz="0" w:space="0" w:color="auto"/>
                        <w:left w:val="none" w:sz="0" w:space="0" w:color="auto"/>
                        <w:bottom w:val="none" w:sz="0" w:space="0" w:color="auto"/>
                        <w:right w:val="none" w:sz="0" w:space="0" w:color="auto"/>
                      </w:divBdr>
                    </w:div>
                    <w:div w:id="1587616230">
                      <w:marLeft w:val="0"/>
                      <w:marRight w:val="0"/>
                      <w:marTop w:val="0"/>
                      <w:marBottom w:val="0"/>
                      <w:divBdr>
                        <w:top w:val="none" w:sz="0" w:space="0" w:color="auto"/>
                        <w:left w:val="none" w:sz="0" w:space="0" w:color="auto"/>
                        <w:bottom w:val="none" w:sz="0" w:space="0" w:color="auto"/>
                        <w:right w:val="none" w:sz="0" w:space="0" w:color="auto"/>
                      </w:divBdr>
                    </w:div>
                  </w:divsChild>
                </w:div>
                <w:div w:id="428896274">
                  <w:marLeft w:val="0"/>
                  <w:marRight w:val="0"/>
                  <w:marTop w:val="0"/>
                  <w:marBottom w:val="0"/>
                  <w:divBdr>
                    <w:top w:val="none" w:sz="0" w:space="0" w:color="auto"/>
                    <w:left w:val="none" w:sz="0" w:space="0" w:color="auto"/>
                    <w:bottom w:val="none" w:sz="0" w:space="0" w:color="auto"/>
                    <w:right w:val="none" w:sz="0" w:space="0" w:color="auto"/>
                  </w:divBdr>
                  <w:divsChild>
                    <w:div w:id="282343896">
                      <w:marLeft w:val="0"/>
                      <w:marRight w:val="0"/>
                      <w:marTop w:val="0"/>
                      <w:marBottom w:val="0"/>
                      <w:divBdr>
                        <w:top w:val="none" w:sz="0" w:space="0" w:color="auto"/>
                        <w:left w:val="none" w:sz="0" w:space="0" w:color="auto"/>
                        <w:bottom w:val="none" w:sz="0" w:space="0" w:color="auto"/>
                        <w:right w:val="none" w:sz="0" w:space="0" w:color="auto"/>
                      </w:divBdr>
                    </w:div>
                  </w:divsChild>
                </w:div>
                <w:div w:id="451172196">
                  <w:marLeft w:val="0"/>
                  <w:marRight w:val="0"/>
                  <w:marTop w:val="0"/>
                  <w:marBottom w:val="0"/>
                  <w:divBdr>
                    <w:top w:val="none" w:sz="0" w:space="0" w:color="auto"/>
                    <w:left w:val="none" w:sz="0" w:space="0" w:color="auto"/>
                    <w:bottom w:val="none" w:sz="0" w:space="0" w:color="auto"/>
                    <w:right w:val="none" w:sz="0" w:space="0" w:color="auto"/>
                  </w:divBdr>
                  <w:divsChild>
                    <w:div w:id="2098138947">
                      <w:marLeft w:val="0"/>
                      <w:marRight w:val="0"/>
                      <w:marTop w:val="0"/>
                      <w:marBottom w:val="0"/>
                      <w:divBdr>
                        <w:top w:val="none" w:sz="0" w:space="0" w:color="auto"/>
                        <w:left w:val="none" w:sz="0" w:space="0" w:color="auto"/>
                        <w:bottom w:val="none" w:sz="0" w:space="0" w:color="auto"/>
                        <w:right w:val="none" w:sz="0" w:space="0" w:color="auto"/>
                      </w:divBdr>
                    </w:div>
                  </w:divsChild>
                </w:div>
                <w:div w:id="452676111">
                  <w:marLeft w:val="0"/>
                  <w:marRight w:val="0"/>
                  <w:marTop w:val="0"/>
                  <w:marBottom w:val="0"/>
                  <w:divBdr>
                    <w:top w:val="none" w:sz="0" w:space="0" w:color="auto"/>
                    <w:left w:val="none" w:sz="0" w:space="0" w:color="auto"/>
                    <w:bottom w:val="none" w:sz="0" w:space="0" w:color="auto"/>
                    <w:right w:val="none" w:sz="0" w:space="0" w:color="auto"/>
                  </w:divBdr>
                  <w:divsChild>
                    <w:div w:id="492648486">
                      <w:marLeft w:val="0"/>
                      <w:marRight w:val="0"/>
                      <w:marTop w:val="0"/>
                      <w:marBottom w:val="0"/>
                      <w:divBdr>
                        <w:top w:val="none" w:sz="0" w:space="0" w:color="auto"/>
                        <w:left w:val="none" w:sz="0" w:space="0" w:color="auto"/>
                        <w:bottom w:val="none" w:sz="0" w:space="0" w:color="auto"/>
                        <w:right w:val="none" w:sz="0" w:space="0" w:color="auto"/>
                      </w:divBdr>
                    </w:div>
                  </w:divsChild>
                </w:div>
                <w:div w:id="471947806">
                  <w:marLeft w:val="0"/>
                  <w:marRight w:val="0"/>
                  <w:marTop w:val="0"/>
                  <w:marBottom w:val="0"/>
                  <w:divBdr>
                    <w:top w:val="none" w:sz="0" w:space="0" w:color="auto"/>
                    <w:left w:val="none" w:sz="0" w:space="0" w:color="auto"/>
                    <w:bottom w:val="none" w:sz="0" w:space="0" w:color="auto"/>
                    <w:right w:val="none" w:sz="0" w:space="0" w:color="auto"/>
                  </w:divBdr>
                  <w:divsChild>
                    <w:div w:id="1034385140">
                      <w:marLeft w:val="0"/>
                      <w:marRight w:val="0"/>
                      <w:marTop w:val="0"/>
                      <w:marBottom w:val="0"/>
                      <w:divBdr>
                        <w:top w:val="none" w:sz="0" w:space="0" w:color="auto"/>
                        <w:left w:val="none" w:sz="0" w:space="0" w:color="auto"/>
                        <w:bottom w:val="none" w:sz="0" w:space="0" w:color="auto"/>
                        <w:right w:val="none" w:sz="0" w:space="0" w:color="auto"/>
                      </w:divBdr>
                    </w:div>
                  </w:divsChild>
                </w:div>
                <w:div w:id="569921997">
                  <w:marLeft w:val="0"/>
                  <w:marRight w:val="0"/>
                  <w:marTop w:val="0"/>
                  <w:marBottom w:val="0"/>
                  <w:divBdr>
                    <w:top w:val="none" w:sz="0" w:space="0" w:color="auto"/>
                    <w:left w:val="none" w:sz="0" w:space="0" w:color="auto"/>
                    <w:bottom w:val="none" w:sz="0" w:space="0" w:color="auto"/>
                    <w:right w:val="none" w:sz="0" w:space="0" w:color="auto"/>
                  </w:divBdr>
                  <w:divsChild>
                    <w:div w:id="760832254">
                      <w:marLeft w:val="0"/>
                      <w:marRight w:val="0"/>
                      <w:marTop w:val="0"/>
                      <w:marBottom w:val="0"/>
                      <w:divBdr>
                        <w:top w:val="none" w:sz="0" w:space="0" w:color="auto"/>
                        <w:left w:val="none" w:sz="0" w:space="0" w:color="auto"/>
                        <w:bottom w:val="none" w:sz="0" w:space="0" w:color="auto"/>
                        <w:right w:val="none" w:sz="0" w:space="0" w:color="auto"/>
                      </w:divBdr>
                    </w:div>
                  </w:divsChild>
                </w:div>
                <w:div w:id="610934973">
                  <w:marLeft w:val="0"/>
                  <w:marRight w:val="0"/>
                  <w:marTop w:val="0"/>
                  <w:marBottom w:val="0"/>
                  <w:divBdr>
                    <w:top w:val="none" w:sz="0" w:space="0" w:color="auto"/>
                    <w:left w:val="none" w:sz="0" w:space="0" w:color="auto"/>
                    <w:bottom w:val="none" w:sz="0" w:space="0" w:color="auto"/>
                    <w:right w:val="none" w:sz="0" w:space="0" w:color="auto"/>
                  </w:divBdr>
                  <w:divsChild>
                    <w:div w:id="55401009">
                      <w:marLeft w:val="0"/>
                      <w:marRight w:val="0"/>
                      <w:marTop w:val="0"/>
                      <w:marBottom w:val="0"/>
                      <w:divBdr>
                        <w:top w:val="none" w:sz="0" w:space="0" w:color="auto"/>
                        <w:left w:val="none" w:sz="0" w:space="0" w:color="auto"/>
                        <w:bottom w:val="none" w:sz="0" w:space="0" w:color="auto"/>
                        <w:right w:val="none" w:sz="0" w:space="0" w:color="auto"/>
                      </w:divBdr>
                    </w:div>
                  </w:divsChild>
                </w:div>
                <w:div w:id="827095608">
                  <w:marLeft w:val="0"/>
                  <w:marRight w:val="0"/>
                  <w:marTop w:val="0"/>
                  <w:marBottom w:val="0"/>
                  <w:divBdr>
                    <w:top w:val="none" w:sz="0" w:space="0" w:color="auto"/>
                    <w:left w:val="none" w:sz="0" w:space="0" w:color="auto"/>
                    <w:bottom w:val="none" w:sz="0" w:space="0" w:color="auto"/>
                    <w:right w:val="none" w:sz="0" w:space="0" w:color="auto"/>
                  </w:divBdr>
                  <w:divsChild>
                    <w:div w:id="355469120">
                      <w:marLeft w:val="0"/>
                      <w:marRight w:val="0"/>
                      <w:marTop w:val="0"/>
                      <w:marBottom w:val="0"/>
                      <w:divBdr>
                        <w:top w:val="none" w:sz="0" w:space="0" w:color="auto"/>
                        <w:left w:val="none" w:sz="0" w:space="0" w:color="auto"/>
                        <w:bottom w:val="none" w:sz="0" w:space="0" w:color="auto"/>
                        <w:right w:val="none" w:sz="0" w:space="0" w:color="auto"/>
                      </w:divBdr>
                    </w:div>
                  </w:divsChild>
                </w:div>
                <w:div w:id="852457153">
                  <w:marLeft w:val="0"/>
                  <w:marRight w:val="0"/>
                  <w:marTop w:val="0"/>
                  <w:marBottom w:val="0"/>
                  <w:divBdr>
                    <w:top w:val="none" w:sz="0" w:space="0" w:color="auto"/>
                    <w:left w:val="none" w:sz="0" w:space="0" w:color="auto"/>
                    <w:bottom w:val="none" w:sz="0" w:space="0" w:color="auto"/>
                    <w:right w:val="none" w:sz="0" w:space="0" w:color="auto"/>
                  </w:divBdr>
                  <w:divsChild>
                    <w:div w:id="1393693965">
                      <w:marLeft w:val="0"/>
                      <w:marRight w:val="0"/>
                      <w:marTop w:val="0"/>
                      <w:marBottom w:val="0"/>
                      <w:divBdr>
                        <w:top w:val="none" w:sz="0" w:space="0" w:color="auto"/>
                        <w:left w:val="none" w:sz="0" w:space="0" w:color="auto"/>
                        <w:bottom w:val="none" w:sz="0" w:space="0" w:color="auto"/>
                        <w:right w:val="none" w:sz="0" w:space="0" w:color="auto"/>
                      </w:divBdr>
                    </w:div>
                  </w:divsChild>
                </w:div>
                <w:div w:id="856818589">
                  <w:marLeft w:val="0"/>
                  <w:marRight w:val="0"/>
                  <w:marTop w:val="0"/>
                  <w:marBottom w:val="0"/>
                  <w:divBdr>
                    <w:top w:val="none" w:sz="0" w:space="0" w:color="auto"/>
                    <w:left w:val="none" w:sz="0" w:space="0" w:color="auto"/>
                    <w:bottom w:val="none" w:sz="0" w:space="0" w:color="auto"/>
                    <w:right w:val="none" w:sz="0" w:space="0" w:color="auto"/>
                  </w:divBdr>
                  <w:divsChild>
                    <w:div w:id="627974204">
                      <w:marLeft w:val="0"/>
                      <w:marRight w:val="0"/>
                      <w:marTop w:val="0"/>
                      <w:marBottom w:val="0"/>
                      <w:divBdr>
                        <w:top w:val="none" w:sz="0" w:space="0" w:color="auto"/>
                        <w:left w:val="none" w:sz="0" w:space="0" w:color="auto"/>
                        <w:bottom w:val="none" w:sz="0" w:space="0" w:color="auto"/>
                        <w:right w:val="none" w:sz="0" w:space="0" w:color="auto"/>
                      </w:divBdr>
                    </w:div>
                  </w:divsChild>
                </w:div>
                <w:div w:id="864951217">
                  <w:marLeft w:val="0"/>
                  <w:marRight w:val="0"/>
                  <w:marTop w:val="0"/>
                  <w:marBottom w:val="0"/>
                  <w:divBdr>
                    <w:top w:val="none" w:sz="0" w:space="0" w:color="auto"/>
                    <w:left w:val="none" w:sz="0" w:space="0" w:color="auto"/>
                    <w:bottom w:val="none" w:sz="0" w:space="0" w:color="auto"/>
                    <w:right w:val="none" w:sz="0" w:space="0" w:color="auto"/>
                  </w:divBdr>
                  <w:divsChild>
                    <w:div w:id="1801068888">
                      <w:marLeft w:val="0"/>
                      <w:marRight w:val="0"/>
                      <w:marTop w:val="0"/>
                      <w:marBottom w:val="0"/>
                      <w:divBdr>
                        <w:top w:val="none" w:sz="0" w:space="0" w:color="auto"/>
                        <w:left w:val="none" w:sz="0" w:space="0" w:color="auto"/>
                        <w:bottom w:val="none" w:sz="0" w:space="0" w:color="auto"/>
                        <w:right w:val="none" w:sz="0" w:space="0" w:color="auto"/>
                      </w:divBdr>
                    </w:div>
                  </w:divsChild>
                </w:div>
                <w:div w:id="912157309">
                  <w:marLeft w:val="0"/>
                  <w:marRight w:val="0"/>
                  <w:marTop w:val="0"/>
                  <w:marBottom w:val="0"/>
                  <w:divBdr>
                    <w:top w:val="none" w:sz="0" w:space="0" w:color="auto"/>
                    <w:left w:val="none" w:sz="0" w:space="0" w:color="auto"/>
                    <w:bottom w:val="none" w:sz="0" w:space="0" w:color="auto"/>
                    <w:right w:val="none" w:sz="0" w:space="0" w:color="auto"/>
                  </w:divBdr>
                  <w:divsChild>
                    <w:div w:id="2003464912">
                      <w:marLeft w:val="0"/>
                      <w:marRight w:val="0"/>
                      <w:marTop w:val="0"/>
                      <w:marBottom w:val="0"/>
                      <w:divBdr>
                        <w:top w:val="none" w:sz="0" w:space="0" w:color="auto"/>
                        <w:left w:val="none" w:sz="0" w:space="0" w:color="auto"/>
                        <w:bottom w:val="none" w:sz="0" w:space="0" w:color="auto"/>
                        <w:right w:val="none" w:sz="0" w:space="0" w:color="auto"/>
                      </w:divBdr>
                    </w:div>
                  </w:divsChild>
                </w:div>
                <w:div w:id="980842292">
                  <w:marLeft w:val="0"/>
                  <w:marRight w:val="0"/>
                  <w:marTop w:val="0"/>
                  <w:marBottom w:val="0"/>
                  <w:divBdr>
                    <w:top w:val="none" w:sz="0" w:space="0" w:color="auto"/>
                    <w:left w:val="none" w:sz="0" w:space="0" w:color="auto"/>
                    <w:bottom w:val="none" w:sz="0" w:space="0" w:color="auto"/>
                    <w:right w:val="none" w:sz="0" w:space="0" w:color="auto"/>
                  </w:divBdr>
                  <w:divsChild>
                    <w:div w:id="1637641989">
                      <w:marLeft w:val="0"/>
                      <w:marRight w:val="0"/>
                      <w:marTop w:val="0"/>
                      <w:marBottom w:val="0"/>
                      <w:divBdr>
                        <w:top w:val="none" w:sz="0" w:space="0" w:color="auto"/>
                        <w:left w:val="none" w:sz="0" w:space="0" w:color="auto"/>
                        <w:bottom w:val="none" w:sz="0" w:space="0" w:color="auto"/>
                        <w:right w:val="none" w:sz="0" w:space="0" w:color="auto"/>
                      </w:divBdr>
                    </w:div>
                  </w:divsChild>
                </w:div>
                <w:div w:id="984160226">
                  <w:marLeft w:val="0"/>
                  <w:marRight w:val="0"/>
                  <w:marTop w:val="0"/>
                  <w:marBottom w:val="0"/>
                  <w:divBdr>
                    <w:top w:val="none" w:sz="0" w:space="0" w:color="auto"/>
                    <w:left w:val="none" w:sz="0" w:space="0" w:color="auto"/>
                    <w:bottom w:val="none" w:sz="0" w:space="0" w:color="auto"/>
                    <w:right w:val="none" w:sz="0" w:space="0" w:color="auto"/>
                  </w:divBdr>
                  <w:divsChild>
                    <w:div w:id="1716812633">
                      <w:marLeft w:val="0"/>
                      <w:marRight w:val="0"/>
                      <w:marTop w:val="0"/>
                      <w:marBottom w:val="0"/>
                      <w:divBdr>
                        <w:top w:val="none" w:sz="0" w:space="0" w:color="auto"/>
                        <w:left w:val="none" w:sz="0" w:space="0" w:color="auto"/>
                        <w:bottom w:val="none" w:sz="0" w:space="0" w:color="auto"/>
                        <w:right w:val="none" w:sz="0" w:space="0" w:color="auto"/>
                      </w:divBdr>
                    </w:div>
                  </w:divsChild>
                </w:div>
                <w:div w:id="1032879026">
                  <w:marLeft w:val="0"/>
                  <w:marRight w:val="0"/>
                  <w:marTop w:val="0"/>
                  <w:marBottom w:val="0"/>
                  <w:divBdr>
                    <w:top w:val="none" w:sz="0" w:space="0" w:color="auto"/>
                    <w:left w:val="none" w:sz="0" w:space="0" w:color="auto"/>
                    <w:bottom w:val="none" w:sz="0" w:space="0" w:color="auto"/>
                    <w:right w:val="none" w:sz="0" w:space="0" w:color="auto"/>
                  </w:divBdr>
                  <w:divsChild>
                    <w:div w:id="1949463381">
                      <w:marLeft w:val="0"/>
                      <w:marRight w:val="0"/>
                      <w:marTop w:val="0"/>
                      <w:marBottom w:val="0"/>
                      <w:divBdr>
                        <w:top w:val="none" w:sz="0" w:space="0" w:color="auto"/>
                        <w:left w:val="none" w:sz="0" w:space="0" w:color="auto"/>
                        <w:bottom w:val="none" w:sz="0" w:space="0" w:color="auto"/>
                        <w:right w:val="none" w:sz="0" w:space="0" w:color="auto"/>
                      </w:divBdr>
                    </w:div>
                  </w:divsChild>
                </w:div>
                <w:div w:id="1036664984">
                  <w:marLeft w:val="0"/>
                  <w:marRight w:val="0"/>
                  <w:marTop w:val="0"/>
                  <w:marBottom w:val="0"/>
                  <w:divBdr>
                    <w:top w:val="none" w:sz="0" w:space="0" w:color="auto"/>
                    <w:left w:val="none" w:sz="0" w:space="0" w:color="auto"/>
                    <w:bottom w:val="none" w:sz="0" w:space="0" w:color="auto"/>
                    <w:right w:val="none" w:sz="0" w:space="0" w:color="auto"/>
                  </w:divBdr>
                  <w:divsChild>
                    <w:div w:id="885918389">
                      <w:marLeft w:val="0"/>
                      <w:marRight w:val="0"/>
                      <w:marTop w:val="0"/>
                      <w:marBottom w:val="0"/>
                      <w:divBdr>
                        <w:top w:val="none" w:sz="0" w:space="0" w:color="auto"/>
                        <w:left w:val="none" w:sz="0" w:space="0" w:color="auto"/>
                        <w:bottom w:val="none" w:sz="0" w:space="0" w:color="auto"/>
                        <w:right w:val="none" w:sz="0" w:space="0" w:color="auto"/>
                      </w:divBdr>
                    </w:div>
                  </w:divsChild>
                </w:div>
                <w:div w:id="1050374765">
                  <w:marLeft w:val="0"/>
                  <w:marRight w:val="0"/>
                  <w:marTop w:val="0"/>
                  <w:marBottom w:val="0"/>
                  <w:divBdr>
                    <w:top w:val="none" w:sz="0" w:space="0" w:color="auto"/>
                    <w:left w:val="none" w:sz="0" w:space="0" w:color="auto"/>
                    <w:bottom w:val="none" w:sz="0" w:space="0" w:color="auto"/>
                    <w:right w:val="none" w:sz="0" w:space="0" w:color="auto"/>
                  </w:divBdr>
                  <w:divsChild>
                    <w:div w:id="164370418">
                      <w:marLeft w:val="0"/>
                      <w:marRight w:val="0"/>
                      <w:marTop w:val="0"/>
                      <w:marBottom w:val="0"/>
                      <w:divBdr>
                        <w:top w:val="none" w:sz="0" w:space="0" w:color="auto"/>
                        <w:left w:val="none" w:sz="0" w:space="0" w:color="auto"/>
                        <w:bottom w:val="none" w:sz="0" w:space="0" w:color="auto"/>
                        <w:right w:val="none" w:sz="0" w:space="0" w:color="auto"/>
                      </w:divBdr>
                    </w:div>
                  </w:divsChild>
                </w:div>
                <w:div w:id="1165390892">
                  <w:marLeft w:val="0"/>
                  <w:marRight w:val="0"/>
                  <w:marTop w:val="0"/>
                  <w:marBottom w:val="0"/>
                  <w:divBdr>
                    <w:top w:val="none" w:sz="0" w:space="0" w:color="auto"/>
                    <w:left w:val="none" w:sz="0" w:space="0" w:color="auto"/>
                    <w:bottom w:val="none" w:sz="0" w:space="0" w:color="auto"/>
                    <w:right w:val="none" w:sz="0" w:space="0" w:color="auto"/>
                  </w:divBdr>
                  <w:divsChild>
                    <w:div w:id="388964483">
                      <w:marLeft w:val="0"/>
                      <w:marRight w:val="0"/>
                      <w:marTop w:val="0"/>
                      <w:marBottom w:val="0"/>
                      <w:divBdr>
                        <w:top w:val="none" w:sz="0" w:space="0" w:color="auto"/>
                        <w:left w:val="none" w:sz="0" w:space="0" w:color="auto"/>
                        <w:bottom w:val="none" w:sz="0" w:space="0" w:color="auto"/>
                        <w:right w:val="none" w:sz="0" w:space="0" w:color="auto"/>
                      </w:divBdr>
                    </w:div>
                  </w:divsChild>
                </w:div>
                <w:div w:id="1207916576">
                  <w:marLeft w:val="0"/>
                  <w:marRight w:val="0"/>
                  <w:marTop w:val="0"/>
                  <w:marBottom w:val="0"/>
                  <w:divBdr>
                    <w:top w:val="none" w:sz="0" w:space="0" w:color="auto"/>
                    <w:left w:val="none" w:sz="0" w:space="0" w:color="auto"/>
                    <w:bottom w:val="none" w:sz="0" w:space="0" w:color="auto"/>
                    <w:right w:val="none" w:sz="0" w:space="0" w:color="auto"/>
                  </w:divBdr>
                  <w:divsChild>
                    <w:div w:id="155190684">
                      <w:marLeft w:val="0"/>
                      <w:marRight w:val="0"/>
                      <w:marTop w:val="0"/>
                      <w:marBottom w:val="0"/>
                      <w:divBdr>
                        <w:top w:val="none" w:sz="0" w:space="0" w:color="auto"/>
                        <w:left w:val="none" w:sz="0" w:space="0" w:color="auto"/>
                        <w:bottom w:val="none" w:sz="0" w:space="0" w:color="auto"/>
                        <w:right w:val="none" w:sz="0" w:space="0" w:color="auto"/>
                      </w:divBdr>
                    </w:div>
                  </w:divsChild>
                </w:div>
                <w:div w:id="1248617833">
                  <w:marLeft w:val="0"/>
                  <w:marRight w:val="0"/>
                  <w:marTop w:val="0"/>
                  <w:marBottom w:val="0"/>
                  <w:divBdr>
                    <w:top w:val="none" w:sz="0" w:space="0" w:color="auto"/>
                    <w:left w:val="none" w:sz="0" w:space="0" w:color="auto"/>
                    <w:bottom w:val="none" w:sz="0" w:space="0" w:color="auto"/>
                    <w:right w:val="none" w:sz="0" w:space="0" w:color="auto"/>
                  </w:divBdr>
                  <w:divsChild>
                    <w:div w:id="391003506">
                      <w:marLeft w:val="0"/>
                      <w:marRight w:val="0"/>
                      <w:marTop w:val="0"/>
                      <w:marBottom w:val="0"/>
                      <w:divBdr>
                        <w:top w:val="none" w:sz="0" w:space="0" w:color="auto"/>
                        <w:left w:val="none" w:sz="0" w:space="0" w:color="auto"/>
                        <w:bottom w:val="none" w:sz="0" w:space="0" w:color="auto"/>
                        <w:right w:val="none" w:sz="0" w:space="0" w:color="auto"/>
                      </w:divBdr>
                    </w:div>
                  </w:divsChild>
                </w:div>
                <w:div w:id="1282155018">
                  <w:marLeft w:val="0"/>
                  <w:marRight w:val="0"/>
                  <w:marTop w:val="0"/>
                  <w:marBottom w:val="0"/>
                  <w:divBdr>
                    <w:top w:val="none" w:sz="0" w:space="0" w:color="auto"/>
                    <w:left w:val="none" w:sz="0" w:space="0" w:color="auto"/>
                    <w:bottom w:val="none" w:sz="0" w:space="0" w:color="auto"/>
                    <w:right w:val="none" w:sz="0" w:space="0" w:color="auto"/>
                  </w:divBdr>
                  <w:divsChild>
                    <w:div w:id="558054022">
                      <w:marLeft w:val="0"/>
                      <w:marRight w:val="0"/>
                      <w:marTop w:val="0"/>
                      <w:marBottom w:val="0"/>
                      <w:divBdr>
                        <w:top w:val="none" w:sz="0" w:space="0" w:color="auto"/>
                        <w:left w:val="none" w:sz="0" w:space="0" w:color="auto"/>
                        <w:bottom w:val="none" w:sz="0" w:space="0" w:color="auto"/>
                        <w:right w:val="none" w:sz="0" w:space="0" w:color="auto"/>
                      </w:divBdr>
                    </w:div>
                  </w:divsChild>
                </w:div>
                <w:div w:id="1330329877">
                  <w:marLeft w:val="0"/>
                  <w:marRight w:val="0"/>
                  <w:marTop w:val="0"/>
                  <w:marBottom w:val="0"/>
                  <w:divBdr>
                    <w:top w:val="none" w:sz="0" w:space="0" w:color="auto"/>
                    <w:left w:val="none" w:sz="0" w:space="0" w:color="auto"/>
                    <w:bottom w:val="none" w:sz="0" w:space="0" w:color="auto"/>
                    <w:right w:val="none" w:sz="0" w:space="0" w:color="auto"/>
                  </w:divBdr>
                  <w:divsChild>
                    <w:div w:id="11421710">
                      <w:marLeft w:val="0"/>
                      <w:marRight w:val="0"/>
                      <w:marTop w:val="0"/>
                      <w:marBottom w:val="0"/>
                      <w:divBdr>
                        <w:top w:val="none" w:sz="0" w:space="0" w:color="auto"/>
                        <w:left w:val="none" w:sz="0" w:space="0" w:color="auto"/>
                        <w:bottom w:val="none" w:sz="0" w:space="0" w:color="auto"/>
                        <w:right w:val="none" w:sz="0" w:space="0" w:color="auto"/>
                      </w:divBdr>
                    </w:div>
                  </w:divsChild>
                </w:div>
                <w:div w:id="1361659460">
                  <w:marLeft w:val="0"/>
                  <w:marRight w:val="0"/>
                  <w:marTop w:val="0"/>
                  <w:marBottom w:val="0"/>
                  <w:divBdr>
                    <w:top w:val="none" w:sz="0" w:space="0" w:color="auto"/>
                    <w:left w:val="none" w:sz="0" w:space="0" w:color="auto"/>
                    <w:bottom w:val="none" w:sz="0" w:space="0" w:color="auto"/>
                    <w:right w:val="none" w:sz="0" w:space="0" w:color="auto"/>
                  </w:divBdr>
                  <w:divsChild>
                    <w:div w:id="1699893195">
                      <w:marLeft w:val="0"/>
                      <w:marRight w:val="0"/>
                      <w:marTop w:val="0"/>
                      <w:marBottom w:val="0"/>
                      <w:divBdr>
                        <w:top w:val="none" w:sz="0" w:space="0" w:color="auto"/>
                        <w:left w:val="none" w:sz="0" w:space="0" w:color="auto"/>
                        <w:bottom w:val="none" w:sz="0" w:space="0" w:color="auto"/>
                        <w:right w:val="none" w:sz="0" w:space="0" w:color="auto"/>
                      </w:divBdr>
                    </w:div>
                  </w:divsChild>
                </w:div>
                <w:div w:id="1377075194">
                  <w:marLeft w:val="0"/>
                  <w:marRight w:val="0"/>
                  <w:marTop w:val="0"/>
                  <w:marBottom w:val="0"/>
                  <w:divBdr>
                    <w:top w:val="none" w:sz="0" w:space="0" w:color="auto"/>
                    <w:left w:val="none" w:sz="0" w:space="0" w:color="auto"/>
                    <w:bottom w:val="none" w:sz="0" w:space="0" w:color="auto"/>
                    <w:right w:val="none" w:sz="0" w:space="0" w:color="auto"/>
                  </w:divBdr>
                  <w:divsChild>
                    <w:div w:id="2104953282">
                      <w:marLeft w:val="0"/>
                      <w:marRight w:val="0"/>
                      <w:marTop w:val="0"/>
                      <w:marBottom w:val="0"/>
                      <w:divBdr>
                        <w:top w:val="none" w:sz="0" w:space="0" w:color="auto"/>
                        <w:left w:val="none" w:sz="0" w:space="0" w:color="auto"/>
                        <w:bottom w:val="none" w:sz="0" w:space="0" w:color="auto"/>
                        <w:right w:val="none" w:sz="0" w:space="0" w:color="auto"/>
                      </w:divBdr>
                    </w:div>
                  </w:divsChild>
                </w:div>
                <w:div w:id="1386611264">
                  <w:marLeft w:val="0"/>
                  <w:marRight w:val="0"/>
                  <w:marTop w:val="0"/>
                  <w:marBottom w:val="0"/>
                  <w:divBdr>
                    <w:top w:val="none" w:sz="0" w:space="0" w:color="auto"/>
                    <w:left w:val="none" w:sz="0" w:space="0" w:color="auto"/>
                    <w:bottom w:val="none" w:sz="0" w:space="0" w:color="auto"/>
                    <w:right w:val="none" w:sz="0" w:space="0" w:color="auto"/>
                  </w:divBdr>
                  <w:divsChild>
                    <w:div w:id="1860193050">
                      <w:marLeft w:val="0"/>
                      <w:marRight w:val="0"/>
                      <w:marTop w:val="0"/>
                      <w:marBottom w:val="0"/>
                      <w:divBdr>
                        <w:top w:val="none" w:sz="0" w:space="0" w:color="auto"/>
                        <w:left w:val="none" w:sz="0" w:space="0" w:color="auto"/>
                        <w:bottom w:val="none" w:sz="0" w:space="0" w:color="auto"/>
                        <w:right w:val="none" w:sz="0" w:space="0" w:color="auto"/>
                      </w:divBdr>
                    </w:div>
                  </w:divsChild>
                </w:div>
                <w:div w:id="1455447176">
                  <w:marLeft w:val="0"/>
                  <w:marRight w:val="0"/>
                  <w:marTop w:val="0"/>
                  <w:marBottom w:val="0"/>
                  <w:divBdr>
                    <w:top w:val="none" w:sz="0" w:space="0" w:color="auto"/>
                    <w:left w:val="none" w:sz="0" w:space="0" w:color="auto"/>
                    <w:bottom w:val="none" w:sz="0" w:space="0" w:color="auto"/>
                    <w:right w:val="none" w:sz="0" w:space="0" w:color="auto"/>
                  </w:divBdr>
                  <w:divsChild>
                    <w:div w:id="1197356021">
                      <w:marLeft w:val="0"/>
                      <w:marRight w:val="0"/>
                      <w:marTop w:val="0"/>
                      <w:marBottom w:val="0"/>
                      <w:divBdr>
                        <w:top w:val="none" w:sz="0" w:space="0" w:color="auto"/>
                        <w:left w:val="none" w:sz="0" w:space="0" w:color="auto"/>
                        <w:bottom w:val="none" w:sz="0" w:space="0" w:color="auto"/>
                        <w:right w:val="none" w:sz="0" w:space="0" w:color="auto"/>
                      </w:divBdr>
                    </w:div>
                  </w:divsChild>
                </w:div>
                <w:div w:id="1597134402">
                  <w:marLeft w:val="0"/>
                  <w:marRight w:val="0"/>
                  <w:marTop w:val="0"/>
                  <w:marBottom w:val="0"/>
                  <w:divBdr>
                    <w:top w:val="none" w:sz="0" w:space="0" w:color="auto"/>
                    <w:left w:val="none" w:sz="0" w:space="0" w:color="auto"/>
                    <w:bottom w:val="none" w:sz="0" w:space="0" w:color="auto"/>
                    <w:right w:val="none" w:sz="0" w:space="0" w:color="auto"/>
                  </w:divBdr>
                  <w:divsChild>
                    <w:div w:id="1174104804">
                      <w:marLeft w:val="0"/>
                      <w:marRight w:val="0"/>
                      <w:marTop w:val="0"/>
                      <w:marBottom w:val="0"/>
                      <w:divBdr>
                        <w:top w:val="none" w:sz="0" w:space="0" w:color="auto"/>
                        <w:left w:val="none" w:sz="0" w:space="0" w:color="auto"/>
                        <w:bottom w:val="none" w:sz="0" w:space="0" w:color="auto"/>
                        <w:right w:val="none" w:sz="0" w:space="0" w:color="auto"/>
                      </w:divBdr>
                    </w:div>
                  </w:divsChild>
                </w:div>
                <w:div w:id="1598249234">
                  <w:marLeft w:val="0"/>
                  <w:marRight w:val="0"/>
                  <w:marTop w:val="0"/>
                  <w:marBottom w:val="0"/>
                  <w:divBdr>
                    <w:top w:val="none" w:sz="0" w:space="0" w:color="auto"/>
                    <w:left w:val="none" w:sz="0" w:space="0" w:color="auto"/>
                    <w:bottom w:val="none" w:sz="0" w:space="0" w:color="auto"/>
                    <w:right w:val="none" w:sz="0" w:space="0" w:color="auto"/>
                  </w:divBdr>
                  <w:divsChild>
                    <w:div w:id="1468356783">
                      <w:marLeft w:val="0"/>
                      <w:marRight w:val="0"/>
                      <w:marTop w:val="0"/>
                      <w:marBottom w:val="0"/>
                      <w:divBdr>
                        <w:top w:val="none" w:sz="0" w:space="0" w:color="auto"/>
                        <w:left w:val="none" w:sz="0" w:space="0" w:color="auto"/>
                        <w:bottom w:val="none" w:sz="0" w:space="0" w:color="auto"/>
                        <w:right w:val="none" w:sz="0" w:space="0" w:color="auto"/>
                      </w:divBdr>
                    </w:div>
                  </w:divsChild>
                </w:div>
                <w:div w:id="1645818589">
                  <w:marLeft w:val="0"/>
                  <w:marRight w:val="0"/>
                  <w:marTop w:val="0"/>
                  <w:marBottom w:val="0"/>
                  <w:divBdr>
                    <w:top w:val="none" w:sz="0" w:space="0" w:color="auto"/>
                    <w:left w:val="none" w:sz="0" w:space="0" w:color="auto"/>
                    <w:bottom w:val="none" w:sz="0" w:space="0" w:color="auto"/>
                    <w:right w:val="none" w:sz="0" w:space="0" w:color="auto"/>
                  </w:divBdr>
                  <w:divsChild>
                    <w:div w:id="882598144">
                      <w:marLeft w:val="0"/>
                      <w:marRight w:val="0"/>
                      <w:marTop w:val="0"/>
                      <w:marBottom w:val="0"/>
                      <w:divBdr>
                        <w:top w:val="none" w:sz="0" w:space="0" w:color="auto"/>
                        <w:left w:val="none" w:sz="0" w:space="0" w:color="auto"/>
                        <w:bottom w:val="none" w:sz="0" w:space="0" w:color="auto"/>
                        <w:right w:val="none" w:sz="0" w:space="0" w:color="auto"/>
                      </w:divBdr>
                    </w:div>
                  </w:divsChild>
                </w:div>
                <w:div w:id="1732145266">
                  <w:marLeft w:val="0"/>
                  <w:marRight w:val="0"/>
                  <w:marTop w:val="0"/>
                  <w:marBottom w:val="0"/>
                  <w:divBdr>
                    <w:top w:val="none" w:sz="0" w:space="0" w:color="auto"/>
                    <w:left w:val="none" w:sz="0" w:space="0" w:color="auto"/>
                    <w:bottom w:val="none" w:sz="0" w:space="0" w:color="auto"/>
                    <w:right w:val="none" w:sz="0" w:space="0" w:color="auto"/>
                  </w:divBdr>
                  <w:divsChild>
                    <w:div w:id="739324334">
                      <w:marLeft w:val="0"/>
                      <w:marRight w:val="0"/>
                      <w:marTop w:val="0"/>
                      <w:marBottom w:val="0"/>
                      <w:divBdr>
                        <w:top w:val="none" w:sz="0" w:space="0" w:color="auto"/>
                        <w:left w:val="none" w:sz="0" w:space="0" w:color="auto"/>
                        <w:bottom w:val="none" w:sz="0" w:space="0" w:color="auto"/>
                        <w:right w:val="none" w:sz="0" w:space="0" w:color="auto"/>
                      </w:divBdr>
                    </w:div>
                  </w:divsChild>
                </w:div>
                <w:div w:id="1753157336">
                  <w:marLeft w:val="0"/>
                  <w:marRight w:val="0"/>
                  <w:marTop w:val="0"/>
                  <w:marBottom w:val="0"/>
                  <w:divBdr>
                    <w:top w:val="none" w:sz="0" w:space="0" w:color="auto"/>
                    <w:left w:val="none" w:sz="0" w:space="0" w:color="auto"/>
                    <w:bottom w:val="none" w:sz="0" w:space="0" w:color="auto"/>
                    <w:right w:val="none" w:sz="0" w:space="0" w:color="auto"/>
                  </w:divBdr>
                  <w:divsChild>
                    <w:div w:id="1281493486">
                      <w:marLeft w:val="0"/>
                      <w:marRight w:val="0"/>
                      <w:marTop w:val="0"/>
                      <w:marBottom w:val="0"/>
                      <w:divBdr>
                        <w:top w:val="none" w:sz="0" w:space="0" w:color="auto"/>
                        <w:left w:val="none" w:sz="0" w:space="0" w:color="auto"/>
                        <w:bottom w:val="none" w:sz="0" w:space="0" w:color="auto"/>
                        <w:right w:val="none" w:sz="0" w:space="0" w:color="auto"/>
                      </w:divBdr>
                    </w:div>
                  </w:divsChild>
                </w:div>
                <w:div w:id="1777670824">
                  <w:marLeft w:val="0"/>
                  <w:marRight w:val="0"/>
                  <w:marTop w:val="0"/>
                  <w:marBottom w:val="0"/>
                  <w:divBdr>
                    <w:top w:val="none" w:sz="0" w:space="0" w:color="auto"/>
                    <w:left w:val="none" w:sz="0" w:space="0" w:color="auto"/>
                    <w:bottom w:val="none" w:sz="0" w:space="0" w:color="auto"/>
                    <w:right w:val="none" w:sz="0" w:space="0" w:color="auto"/>
                  </w:divBdr>
                  <w:divsChild>
                    <w:div w:id="1364480005">
                      <w:marLeft w:val="0"/>
                      <w:marRight w:val="0"/>
                      <w:marTop w:val="0"/>
                      <w:marBottom w:val="0"/>
                      <w:divBdr>
                        <w:top w:val="none" w:sz="0" w:space="0" w:color="auto"/>
                        <w:left w:val="none" w:sz="0" w:space="0" w:color="auto"/>
                        <w:bottom w:val="none" w:sz="0" w:space="0" w:color="auto"/>
                        <w:right w:val="none" w:sz="0" w:space="0" w:color="auto"/>
                      </w:divBdr>
                    </w:div>
                  </w:divsChild>
                </w:div>
                <w:div w:id="1799835905">
                  <w:marLeft w:val="0"/>
                  <w:marRight w:val="0"/>
                  <w:marTop w:val="0"/>
                  <w:marBottom w:val="0"/>
                  <w:divBdr>
                    <w:top w:val="none" w:sz="0" w:space="0" w:color="auto"/>
                    <w:left w:val="none" w:sz="0" w:space="0" w:color="auto"/>
                    <w:bottom w:val="none" w:sz="0" w:space="0" w:color="auto"/>
                    <w:right w:val="none" w:sz="0" w:space="0" w:color="auto"/>
                  </w:divBdr>
                  <w:divsChild>
                    <w:div w:id="811295126">
                      <w:marLeft w:val="0"/>
                      <w:marRight w:val="0"/>
                      <w:marTop w:val="0"/>
                      <w:marBottom w:val="0"/>
                      <w:divBdr>
                        <w:top w:val="none" w:sz="0" w:space="0" w:color="auto"/>
                        <w:left w:val="none" w:sz="0" w:space="0" w:color="auto"/>
                        <w:bottom w:val="none" w:sz="0" w:space="0" w:color="auto"/>
                        <w:right w:val="none" w:sz="0" w:space="0" w:color="auto"/>
                      </w:divBdr>
                    </w:div>
                  </w:divsChild>
                </w:div>
                <w:div w:id="1844468649">
                  <w:marLeft w:val="0"/>
                  <w:marRight w:val="0"/>
                  <w:marTop w:val="0"/>
                  <w:marBottom w:val="0"/>
                  <w:divBdr>
                    <w:top w:val="none" w:sz="0" w:space="0" w:color="auto"/>
                    <w:left w:val="none" w:sz="0" w:space="0" w:color="auto"/>
                    <w:bottom w:val="none" w:sz="0" w:space="0" w:color="auto"/>
                    <w:right w:val="none" w:sz="0" w:space="0" w:color="auto"/>
                  </w:divBdr>
                  <w:divsChild>
                    <w:div w:id="1987467450">
                      <w:marLeft w:val="0"/>
                      <w:marRight w:val="0"/>
                      <w:marTop w:val="0"/>
                      <w:marBottom w:val="0"/>
                      <w:divBdr>
                        <w:top w:val="none" w:sz="0" w:space="0" w:color="auto"/>
                        <w:left w:val="none" w:sz="0" w:space="0" w:color="auto"/>
                        <w:bottom w:val="none" w:sz="0" w:space="0" w:color="auto"/>
                        <w:right w:val="none" w:sz="0" w:space="0" w:color="auto"/>
                      </w:divBdr>
                    </w:div>
                  </w:divsChild>
                </w:div>
                <w:div w:id="1846506886">
                  <w:marLeft w:val="0"/>
                  <w:marRight w:val="0"/>
                  <w:marTop w:val="0"/>
                  <w:marBottom w:val="0"/>
                  <w:divBdr>
                    <w:top w:val="none" w:sz="0" w:space="0" w:color="auto"/>
                    <w:left w:val="none" w:sz="0" w:space="0" w:color="auto"/>
                    <w:bottom w:val="none" w:sz="0" w:space="0" w:color="auto"/>
                    <w:right w:val="none" w:sz="0" w:space="0" w:color="auto"/>
                  </w:divBdr>
                  <w:divsChild>
                    <w:div w:id="261305510">
                      <w:marLeft w:val="0"/>
                      <w:marRight w:val="0"/>
                      <w:marTop w:val="0"/>
                      <w:marBottom w:val="0"/>
                      <w:divBdr>
                        <w:top w:val="none" w:sz="0" w:space="0" w:color="auto"/>
                        <w:left w:val="none" w:sz="0" w:space="0" w:color="auto"/>
                        <w:bottom w:val="none" w:sz="0" w:space="0" w:color="auto"/>
                        <w:right w:val="none" w:sz="0" w:space="0" w:color="auto"/>
                      </w:divBdr>
                    </w:div>
                  </w:divsChild>
                </w:div>
                <w:div w:id="1937789431">
                  <w:marLeft w:val="0"/>
                  <w:marRight w:val="0"/>
                  <w:marTop w:val="0"/>
                  <w:marBottom w:val="0"/>
                  <w:divBdr>
                    <w:top w:val="none" w:sz="0" w:space="0" w:color="auto"/>
                    <w:left w:val="none" w:sz="0" w:space="0" w:color="auto"/>
                    <w:bottom w:val="none" w:sz="0" w:space="0" w:color="auto"/>
                    <w:right w:val="none" w:sz="0" w:space="0" w:color="auto"/>
                  </w:divBdr>
                  <w:divsChild>
                    <w:div w:id="1481341777">
                      <w:marLeft w:val="0"/>
                      <w:marRight w:val="0"/>
                      <w:marTop w:val="0"/>
                      <w:marBottom w:val="0"/>
                      <w:divBdr>
                        <w:top w:val="none" w:sz="0" w:space="0" w:color="auto"/>
                        <w:left w:val="none" w:sz="0" w:space="0" w:color="auto"/>
                        <w:bottom w:val="none" w:sz="0" w:space="0" w:color="auto"/>
                        <w:right w:val="none" w:sz="0" w:space="0" w:color="auto"/>
                      </w:divBdr>
                    </w:div>
                  </w:divsChild>
                </w:div>
                <w:div w:id="2130932194">
                  <w:marLeft w:val="0"/>
                  <w:marRight w:val="0"/>
                  <w:marTop w:val="0"/>
                  <w:marBottom w:val="0"/>
                  <w:divBdr>
                    <w:top w:val="none" w:sz="0" w:space="0" w:color="auto"/>
                    <w:left w:val="none" w:sz="0" w:space="0" w:color="auto"/>
                    <w:bottom w:val="none" w:sz="0" w:space="0" w:color="auto"/>
                    <w:right w:val="none" w:sz="0" w:space="0" w:color="auto"/>
                  </w:divBdr>
                  <w:divsChild>
                    <w:div w:id="1480419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926538">
          <w:marLeft w:val="0"/>
          <w:marRight w:val="0"/>
          <w:marTop w:val="0"/>
          <w:marBottom w:val="0"/>
          <w:divBdr>
            <w:top w:val="none" w:sz="0" w:space="0" w:color="auto"/>
            <w:left w:val="none" w:sz="0" w:space="0" w:color="auto"/>
            <w:bottom w:val="none" w:sz="0" w:space="0" w:color="auto"/>
            <w:right w:val="none" w:sz="0" w:space="0" w:color="auto"/>
          </w:divBdr>
        </w:div>
        <w:div w:id="1401321965">
          <w:marLeft w:val="0"/>
          <w:marRight w:val="0"/>
          <w:marTop w:val="0"/>
          <w:marBottom w:val="0"/>
          <w:divBdr>
            <w:top w:val="none" w:sz="0" w:space="0" w:color="auto"/>
            <w:left w:val="none" w:sz="0" w:space="0" w:color="auto"/>
            <w:bottom w:val="none" w:sz="0" w:space="0" w:color="auto"/>
            <w:right w:val="none" w:sz="0" w:space="0" w:color="auto"/>
          </w:divBdr>
          <w:divsChild>
            <w:div w:id="1796634381">
              <w:marLeft w:val="-75"/>
              <w:marRight w:val="0"/>
              <w:marTop w:val="30"/>
              <w:marBottom w:val="30"/>
              <w:divBdr>
                <w:top w:val="none" w:sz="0" w:space="0" w:color="auto"/>
                <w:left w:val="none" w:sz="0" w:space="0" w:color="auto"/>
                <w:bottom w:val="none" w:sz="0" w:space="0" w:color="auto"/>
                <w:right w:val="none" w:sz="0" w:space="0" w:color="auto"/>
              </w:divBdr>
              <w:divsChild>
                <w:div w:id="26493304">
                  <w:marLeft w:val="0"/>
                  <w:marRight w:val="0"/>
                  <w:marTop w:val="0"/>
                  <w:marBottom w:val="0"/>
                  <w:divBdr>
                    <w:top w:val="none" w:sz="0" w:space="0" w:color="auto"/>
                    <w:left w:val="none" w:sz="0" w:space="0" w:color="auto"/>
                    <w:bottom w:val="none" w:sz="0" w:space="0" w:color="auto"/>
                    <w:right w:val="none" w:sz="0" w:space="0" w:color="auto"/>
                  </w:divBdr>
                  <w:divsChild>
                    <w:div w:id="1136490341">
                      <w:marLeft w:val="0"/>
                      <w:marRight w:val="0"/>
                      <w:marTop w:val="0"/>
                      <w:marBottom w:val="0"/>
                      <w:divBdr>
                        <w:top w:val="none" w:sz="0" w:space="0" w:color="auto"/>
                        <w:left w:val="none" w:sz="0" w:space="0" w:color="auto"/>
                        <w:bottom w:val="none" w:sz="0" w:space="0" w:color="auto"/>
                        <w:right w:val="none" w:sz="0" w:space="0" w:color="auto"/>
                      </w:divBdr>
                    </w:div>
                  </w:divsChild>
                </w:div>
                <w:div w:id="57022687">
                  <w:marLeft w:val="0"/>
                  <w:marRight w:val="0"/>
                  <w:marTop w:val="0"/>
                  <w:marBottom w:val="0"/>
                  <w:divBdr>
                    <w:top w:val="none" w:sz="0" w:space="0" w:color="auto"/>
                    <w:left w:val="none" w:sz="0" w:space="0" w:color="auto"/>
                    <w:bottom w:val="none" w:sz="0" w:space="0" w:color="auto"/>
                    <w:right w:val="none" w:sz="0" w:space="0" w:color="auto"/>
                  </w:divBdr>
                  <w:divsChild>
                    <w:div w:id="221061232">
                      <w:marLeft w:val="0"/>
                      <w:marRight w:val="0"/>
                      <w:marTop w:val="0"/>
                      <w:marBottom w:val="0"/>
                      <w:divBdr>
                        <w:top w:val="none" w:sz="0" w:space="0" w:color="auto"/>
                        <w:left w:val="none" w:sz="0" w:space="0" w:color="auto"/>
                        <w:bottom w:val="none" w:sz="0" w:space="0" w:color="auto"/>
                        <w:right w:val="none" w:sz="0" w:space="0" w:color="auto"/>
                      </w:divBdr>
                    </w:div>
                  </w:divsChild>
                </w:div>
                <w:div w:id="66343502">
                  <w:marLeft w:val="0"/>
                  <w:marRight w:val="0"/>
                  <w:marTop w:val="0"/>
                  <w:marBottom w:val="0"/>
                  <w:divBdr>
                    <w:top w:val="none" w:sz="0" w:space="0" w:color="auto"/>
                    <w:left w:val="none" w:sz="0" w:space="0" w:color="auto"/>
                    <w:bottom w:val="none" w:sz="0" w:space="0" w:color="auto"/>
                    <w:right w:val="none" w:sz="0" w:space="0" w:color="auto"/>
                  </w:divBdr>
                  <w:divsChild>
                    <w:div w:id="2090499164">
                      <w:marLeft w:val="0"/>
                      <w:marRight w:val="0"/>
                      <w:marTop w:val="0"/>
                      <w:marBottom w:val="0"/>
                      <w:divBdr>
                        <w:top w:val="none" w:sz="0" w:space="0" w:color="auto"/>
                        <w:left w:val="none" w:sz="0" w:space="0" w:color="auto"/>
                        <w:bottom w:val="none" w:sz="0" w:space="0" w:color="auto"/>
                        <w:right w:val="none" w:sz="0" w:space="0" w:color="auto"/>
                      </w:divBdr>
                    </w:div>
                  </w:divsChild>
                </w:div>
                <w:div w:id="322438394">
                  <w:marLeft w:val="0"/>
                  <w:marRight w:val="0"/>
                  <w:marTop w:val="0"/>
                  <w:marBottom w:val="0"/>
                  <w:divBdr>
                    <w:top w:val="none" w:sz="0" w:space="0" w:color="auto"/>
                    <w:left w:val="none" w:sz="0" w:space="0" w:color="auto"/>
                    <w:bottom w:val="none" w:sz="0" w:space="0" w:color="auto"/>
                    <w:right w:val="none" w:sz="0" w:space="0" w:color="auto"/>
                  </w:divBdr>
                  <w:divsChild>
                    <w:div w:id="1629162013">
                      <w:marLeft w:val="0"/>
                      <w:marRight w:val="0"/>
                      <w:marTop w:val="0"/>
                      <w:marBottom w:val="0"/>
                      <w:divBdr>
                        <w:top w:val="none" w:sz="0" w:space="0" w:color="auto"/>
                        <w:left w:val="none" w:sz="0" w:space="0" w:color="auto"/>
                        <w:bottom w:val="none" w:sz="0" w:space="0" w:color="auto"/>
                        <w:right w:val="none" w:sz="0" w:space="0" w:color="auto"/>
                      </w:divBdr>
                    </w:div>
                  </w:divsChild>
                </w:div>
                <w:div w:id="364336187">
                  <w:marLeft w:val="0"/>
                  <w:marRight w:val="0"/>
                  <w:marTop w:val="0"/>
                  <w:marBottom w:val="0"/>
                  <w:divBdr>
                    <w:top w:val="none" w:sz="0" w:space="0" w:color="auto"/>
                    <w:left w:val="none" w:sz="0" w:space="0" w:color="auto"/>
                    <w:bottom w:val="none" w:sz="0" w:space="0" w:color="auto"/>
                    <w:right w:val="none" w:sz="0" w:space="0" w:color="auto"/>
                  </w:divBdr>
                  <w:divsChild>
                    <w:div w:id="429855506">
                      <w:marLeft w:val="0"/>
                      <w:marRight w:val="0"/>
                      <w:marTop w:val="0"/>
                      <w:marBottom w:val="0"/>
                      <w:divBdr>
                        <w:top w:val="none" w:sz="0" w:space="0" w:color="auto"/>
                        <w:left w:val="none" w:sz="0" w:space="0" w:color="auto"/>
                        <w:bottom w:val="none" w:sz="0" w:space="0" w:color="auto"/>
                        <w:right w:val="none" w:sz="0" w:space="0" w:color="auto"/>
                      </w:divBdr>
                    </w:div>
                  </w:divsChild>
                </w:div>
                <w:div w:id="448861254">
                  <w:marLeft w:val="0"/>
                  <w:marRight w:val="0"/>
                  <w:marTop w:val="0"/>
                  <w:marBottom w:val="0"/>
                  <w:divBdr>
                    <w:top w:val="none" w:sz="0" w:space="0" w:color="auto"/>
                    <w:left w:val="none" w:sz="0" w:space="0" w:color="auto"/>
                    <w:bottom w:val="none" w:sz="0" w:space="0" w:color="auto"/>
                    <w:right w:val="none" w:sz="0" w:space="0" w:color="auto"/>
                  </w:divBdr>
                  <w:divsChild>
                    <w:div w:id="2024897215">
                      <w:marLeft w:val="0"/>
                      <w:marRight w:val="0"/>
                      <w:marTop w:val="0"/>
                      <w:marBottom w:val="0"/>
                      <w:divBdr>
                        <w:top w:val="none" w:sz="0" w:space="0" w:color="auto"/>
                        <w:left w:val="none" w:sz="0" w:space="0" w:color="auto"/>
                        <w:bottom w:val="none" w:sz="0" w:space="0" w:color="auto"/>
                        <w:right w:val="none" w:sz="0" w:space="0" w:color="auto"/>
                      </w:divBdr>
                    </w:div>
                  </w:divsChild>
                </w:div>
                <w:div w:id="513157114">
                  <w:marLeft w:val="0"/>
                  <w:marRight w:val="0"/>
                  <w:marTop w:val="0"/>
                  <w:marBottom w:val="0"/>
                  <w:divBdr>
                    <w:top w:val="none" w:sz="0" w:space="0" w:color="auto"/>
                    <w:left w:val="none" w:sz="0" w:space="0" w:color="auto"/>
                    <w:bottom w:val="none" w:sz="0" w:space="0" w:color="auto"/>
                    <w:right w:val="none" w:sz="0" w:space="0" w:color="auto"/>
                  </w:divBdr>
                  <w:divsChild>
                    <w:div w:id="999576876">
                      <w:marLeft w:val="0"/>
                      <w:marRight w:val="0"/>
                      <w:marTop w:val="0"/>
                      <w:marBottom w:val="0"/>
                      <w:divBdr>
                        <w:top w:val="none" w:sz="0" w:space="0" w:color="auto"/>
                        <w:left w:val="none" w:sz="0" w:space="0" w:color="auto"/>
                        <w:bottom w:val="none" w:sz="0" w:space="0" w:color="auto"/>
                        <w:right w:val="none" w:sz="0" w:space="0" w:color="auto"/>
                      </w:divBdr>
                    </w:div>
                  </w:divsChild>
                </w:div>
                <w:div w:id="531503197">
                  <w:marLeft w:val="0"/>
                  <w:marRight w:val="0"/>
                  <w:marTop w:val="0"/>
                  <w:marBottom w:val="0"/>
                  <w:divBdr>
                    <w:top w:val="none" w:sz="0" w:space="0" w:color="auto"/>
                    <w:left w:val="none" w:sz="0" w:space="0" w:color="auto"/>
                    <w:bottom w:val="none" w:sz="0" w:space="0" w:color="auto"/>
                    <w:right w:val="none" w:sz="0" w:space="0" w:color="auto"/>
                  </w:divBdr>
                  <w:divsChild>
                    <w:div w:id="1676304221">
                      <w:marLeft w:val="0"/>
                      <w:marRight w:val="0"/>
                      <w:marTop w:val="0"/>
                      <w:marBottom w:val="0"/>
                      <w:divBdr>
                        <w:top w:val="none" w:sz="0" w:space="0" w:color="auto"/>
                        <w:left w:val="none" w:sz="0" w:space="0" w:color="auto"/>
                        <w:bottom w:val="none" w:sz="0" w:space="0" w:color="auto"/>
                        <w:right w:val="none" w:sz="0" w:space="0" w:color="auto"/>
                      </w:divBdr>
                    </w:div>
                  </w:divsChild>
                </w:div>
                <w:div w:id="565143101">
                  <w:marLeft w:val="0"/>
                  <w:marRight w:val="0"/>
                  <w:marTop w:val="0"/>
                  <w:marBottom w:val="0"/>
                  <w:divBdr>
                    <w:top w:val="none" w:sz="0" w:space="0" w:color="auto"/>
                    <w:left w:val="none" w:sz="0" w:space="0" w:color="auto"/>
                    <w:bottom w:val="none" w:sz="0" w:space="0" w:color="auto"/>
                    <w:right w:val="none" w:sz="0" w:space="0" w:color="auto"/>
                  </w:divBdr>
                  <w:divsChild>
                    <w:div w:id="438643609">
                      <w:marLeft w:val="0"/>
                      <w:marRight w:val="0"/>
                      <w:marTop w:val="0"/>
                      <w:marBottom w:val="0"/>
                      <w:divBdr>
                        <w:top w:val="none" w:sz="0" w:space="0" w:color="auto"/>
                        <w:left w:val="none" w:sz="0" w:space="0" w:color="auto"/>
                        <w:bottom w:val="none" w:sz="0" w:space="0" w:color="auto"/>
                        <w:right w:val="none" w:sz="0" w:space="0" w:color="auto"/>
                      </w:divBdr>
                    </w:div>
                  </w:divsChild>
                </w:div>
                <w:div w:id="568270086">
                  <w:marLeft w:val="0"/>
                  <w:marRight w:val="0"/>
                  <w:marTop w:val="0"/>
                  <w:marBottom w:val="0"/>
                  <w:divBdr>
                    <w:top w:val="none" w:sz="0" w:space="0" w:color="auto"/>
                    <w:left w:val="none" w:sz="0" w:space="0" w:color="auto"/>
                    <w:bottom w:val="none" w:sz="0" w:space="0" w:color="auto"/>
                    <w:right w:val="none" w:sz="0" w:space="0" w:color="auto"/>
                  </w:divBdr>
                  <w:divsChild>
                    <w:div w:id="1802454902">
                      <w:marLeft w:val="0"/>
                      <w:marRight w:val="0"/>
                      <w:marTop w:val="0"/>
                      <w:marBottom w:val="0"/>
                      <w:divBdr>
                        <w:top w:val="none" w:sz="0" w:space="0" w:color="auto"/>
                        <w:left w:val="none" w:sz="0" w:space="0" w:color="auto"/>
                        <w:bottom w:val="none" w:sz="0" w:space="0" w:color="auto"/>
                        <w:right w:val="none" w:sz="0" w:space="0" w:color="auto"/>
                      </w:divBdr>
                    </w:div>
                  </w:divsChild>
                </w:div>
                <w:div w:id="596907384">
                  <w:marLeft w:val="0"/>
                  <w:marRight w:val="0"/>
                  <w:marTop w:val="0"/>
                  <w:marBottom w:val="0"/>
                  <w:divBdr>
                    <w:top w:val="none" w:sz="0" w:space="0" w:color="auto"/>
                    <w:left w:val="none" w:sz="0" w:space="0" w:color="auto"/>
                    <w:bottom w:val="none" w:sz="0" w:space="0" w:color="auto"/>
                    <w:right w:val="none" w:sz="0" w:space="0" w:color="auto"/>
                  </w:divBdr>
                  <w:divsChild>
                    <w:div w:id="764303210">
                      <w:marLeft w:val="0"/>
                      <w:marRight w:val="0"/>
                      <w:marTop w:val="0"/>
                      <w:marBottom w:val="0"/>
                      <w:divBdr>
                        <w:top w:val="none" w:sz="0" w:space="0" w:color="auto"/>
                        <w:left w:val="none" w:sz="0" w:space="0" w:color="auto"/>
                        <w:bottom w:val="none" w:sz="0" w:space="0" w:color="auto"/>
                        <w:right w:val="none" w:sz="0" w:space="0" w:color="auto"/>
                      </w:divBdr>
                    </w:div>
                  </w:divsChild>
                </w:div>
                <w:div w:id="646544828">
                  <w:marLeft w:val="0"/>
                  <w:marRight w:val="0"/>
                  <w:marTop w:val="0"/>
                  <w:marBottom w:val="0"/>
                  <w:divBdr>
                    <w:top w:val="none" w:sz="0" w:space="0" w:color="auto"/>
                    <w:left w:val="none" w:sz="0" w:space="0" w:color="auto"/>
                    <w:bottom w:val="none" w:sz="0" w:space="0" w:color="auto"/>
                    <w:right w:val="none" w:sz="0" w:space="0" w:color="auto"/>
                  </w:divBdr>
                  <w:divsChild>
                    <w:div w:id="1683626117">
                      <w:marLeft w:val="0"/>
                      <w:marRight w:val="0"/>
                      <w:marTop w:val="0"/>
                      <w:marBottom w:val="0"/>
                      <w:divBdr>
                        <w:top w:val="none" w:sz="0" w:space="0" w:color="auto"/>
                        <w:left w:val="none" w:sz="0" w:space="0" w:color="auto"/>
                        <w:bottom w:val="none" w:sz="0" w:space="0" w:color="auto"/>
                        <w:right w:val="none" w:sz="0" w:space="0" w:color="auto"/>
                      </w:divBdr>
                    </w:div>
                  </w:divsChild>
                </w:div>
                <w:div w:id="649863663">
                  <w:marLeft w:val="0"/>
                  <w:marRight w:val="0"/>
                  <w:marTop w:val="0"/>
                  <w:marBottom w:val="0"/>
                  <w:divBdr>
                    <w:top w:val="none" w:sz="0" w:space="0" w:color="auto"/>
                    <w:left w:val="none" w:sz="0" w:space="0" w:color="auto"/>
                    <w:bottom w:val="none" w:sz="0" w:space="0" w:color="auto"/>
                    <w:right w:val="none" w:sz="0" w:space="0" w:color="auto"/>
                  </w:divBdr>
                  <w:divsChild>
                    <w:div w:id="828442292">
                      <w:marLeft w:val="0"/>
                      <w:marRight w:val="0"/>
                      <w:marTop w:val="0"/>
                      <w:marBottom w:val="0"/>
                      <w:divBdr>
                        <w:top w:val="none" w:sz="0" w:space="0" w:color="auto"/>
                        <w:left w:val="none" w:sz="0" w:space="0" w:color="auto"/>
                        <w:bottom w:val="none" w:sz="0" w:space="0" w:color="auto"/>
                        <w:right w:val="none" w:sz="0" w:space="0" w:color="auto"/>
                      </w:divBdr>
                    </w:div>
                  </w:divsChild>
                </w:div>
                <w:div w:id="746154921">
                  <w:marLeft w:val="0"/>
                  <w:marRight w:val="0"/>
                  <w:marTop w:val="0"/>
                  <w:marBottom w:val="0"/>
                  <w:divBdr>
                    <w:top w:val="none" w:sz="0" w:space="0" w:color="auto"/>
                    <w:left w:val="none" w:sz="0" w:space="0" w:color="auto"/>
                    <w:bottom w:val="none" w:sz="0" w:space="0" w:color="auto"/>
                    <w:right w:val="none" w:sz="0" w:space="0" w:color="auto"/>
                  </w:divBdr>
                  <w:divsChild>
                    <w:div w:id="2025862302">
                      <w:marLeft w:val="0"/>
                      <w:marRight w:val="0"/>
                      <w:marTop w:val="0"/>
                      <w:marBottom w:val="0"/>
                      <w:divBdr>
                        <w:top w:val="none" w:sz="0" w:space="0" w:color="auto"/>
                        <w:left w:val="none" w:sz="0" w:space="0" w:color="auto"/>
                        <w:bottom w:val="none" w:sz="0" w:space="0" w:color="auto"/>
                        <w:right w:val="none" w:sz="0" w:space="0" w:color="auto"/>
                      </w:divBdr>
                    </w:div>
                  </w:divsChild>
                </w:div>
                <w:div w:id="755715198">
                  <w:marLeft w:val="0"/>
                  <w:marRight w:val="0"/>
                  <w:marTop w:val="0"/>
                  <w:marBottom w:val="0"/>
                  <w:divBdr>
                    <w:top w:val="none" w:sz="0" w:space="0" w:color="auto"/>
                    <w:left w:val="none" w:sz="0" w:space="0" w:color="auto"/>
                    <w:bottom w:val="none" w:sz="0" w:space="0" w:color="auto"/>
                    <w:right w:val="none" w:sz="0" w:space="0" w:color="auto"/>
                  </w:divBdr>
                  <w:divsChild>
                    <w:div w:id="1779642502">
                      <w:marLeft w:val="0"/>
                      <w:marRight w:val="0"/>
                      <w:marTop w:val="0"/>
                      <w:marBottom w:val="0"/>
                      <w:divBdr>
                        <w:top w:val="none" w:sz="0" w:space="0" w:color="auto"/>
                        <w:left w:val="none" w:sz="0" w:space="0" w:color="auto"/>
                        <w:bottom w:val="none" w:sz="0" w:space="0" w:color="auto"/>
                        <w:right w:val="none" w:sz="0" w:space="0" w:color="auto"/>
                      </w:divBdr>
                    </w:div>
                  </w:divsChild>
                </w:div>
                <w:div w:id="805126976">
                  <w:marLeft w:val="0"/>
                  <w:marRight w:val="0"/>
                  <w:marTop w:val="0"/>
                  <w:marBottom w:val="0"/>
                  <w:divBdr>
                    <w:top w:val="none" w:sz="0" w:space="0" w:color="auto"/>
                    <w:left w:val="none" w:sz="0" w:space="0" w:color="auto"/>
                    <w:bottom w:val="none" w:sz="0" w:space="0" w:color="auto"/>
                    <w:right w:val="none" w:sz="0" w:space="0" w:color="auto"/>
                  </w:divBdr>
                  <w:divsChild>
                    <w:div w:id="1285117515">
                      <w:marLeft w:val="0"/>
                      <w:marRight w:val="0"/>
                      <w:marTop w:val="0"/>
                      <w:marBottom w:val="0"/>
                      <w:divBdr>
                        <w:top w:val="none" w:sz="0" w:space="0" w:color="auto"/>
                        <w:left w:val="none" w:sz="0" w:space="0" w:color="auto"/>
                        <w:bottom w:val="none" w:sz="0" w:space="0" w:color="auto"/>
                        <w:right w:val="none" w:sz="0" w:space="0" w:color="auto"/>
                      </w:divBdr>
                    </w:div>
                  </w:divsChild>
                </w:div>
                <w:div w:id="947350670">
                  <w:marLeft w:val="0"/>
                  <w:marRight w:val="0"/>
                  <w:marTop w:val="0"/>
                  <w:marBottom w:val="0"/>
                  <w:divBdr>
                    <w:top w:val="none" w:sz="0" w:space="0" w:color="auto"/>
                    <w:left w:val="none" w:sz="0" w:space="0" w:color="auto"/>
                    <w:bottom w:val="none" w:sz="0" w:space="0" w:color="auto"/>
                    <w:right w:val="none" w:sz="0" w:space="0" w:color="auto"/>
                  </w:divBdr>
                  <w:divsChild>
                    <w:div w:id="1078134529">
                      <w:marLeft w:val="0"/>
                      <w:marRight w:val="0"/>
                      <w:marTop w:val="0"/>
                      <w:marBottom w:val="0"/>
                      <w:divBdr>
                        <w:top w:val="none" w:sz="0" w:space="0" w:color="auto"/>
                        <w:left w:val="none" w:sz="0" w:space="0" w:color="auto"/>
                        <w:bottom w:val="none" w:sz="0" w:space="0" w:color="auto"/>
                        <w:right w:val="none" w:sz="0" w:space="0" w:color="auto"/>
                      </w:divBdr>
                    </w:div>
                  </w:divsChild>
                </w:div>
                <w:div w:id="1012418815">
                  <w:marLeft w:val="0"/>
                  <w:marRight w:val="0"/>
                  <w:marTop w:val="0"/>
                  <w:marBottom w:val="0"/>
                  <w:divBdr>
                    <w:top w:val="none" w:sz="0" w:space="0" w:color="auto"/>
                    <w:left w:val="none" w:sz="0" w:space="0" w:color="auto"/>
                    <w:bottom w:val="none" w:sz="0" w:space="0" w:color="auto"/>
                    <w:right w:val="none" w:sz="0" w:space="0" w:color="auto"/>
                  </w:divBdr>
                  <w:divsChild>
                    <w:div w:id="1966110109">
                      <w:marLeft w:val="0"/>
                      <w:marRight w:val="0"/>
                      <w:marTop w:val="0"/>
                      <w:marBottom w:val="0"/>
                      <w:divBdr>
                        <w:top w:val="none" w:sz="0" w:space="0" w:color="auto"/>
                        <w:left w:val="none" w:sz="0" w:space="0" w:color="auto"/>
                        <w:bottom w:val="none" w:sz="0" w:space="0" w:color="auto"/>
                        <w:right w:val="none" w:sz="0" w:space="0" w:color="auto"/>
                      </w:divBdr>
                    </w:div>
                  </w:divsChild>
                </w:div>
                <w:div w:id="1145700597">
                  <w:marLeft w:val="0"/>
                  <w:marRight w:val="0"/>
                  <w:marTop w:val="0"/>
                  <w:marBottom w:val="0"/>
                  <w:divBdr>
                    <w:top w:val="none" w:sz="0" w:space="0" w:color="auto"/>
                    <w:left w:val="none" w:sz="0" w:space="0" w:color="auto"/>
                    <w:bottom w:val="none" w:sz="0" w:space="0" w:color="auto"/>
                    <w:right w:val="none" w:sz="0" w:space="0" w:color="auto"/>
                  </w:divBdr>
                  <w:divsChild>
                    <w:div w:id="657152041">
                      <w:marLeft w:val="0"/>
                      <w:marRight w:val="0"/>
                      <w:marTop w:val="0"/>
                      <w:marBottom w:val="0"/>
                      <w:divBdr>
                        <w:top w:val="none" w:sz="0" w:space="0" w:color="auto"/>
                        <w:left w:val="none" w:sz="0" w:space="0" w:color="auto"/>
                        <w:bottom w:val="none" w:sz="0" w:space="0" w:color="auto"/>
                        <w:right w:val="none" w:sz="0" w:space="0" w:color="auto"/>
                      </w:divBdr>
                    </w:div>
                  </w:divsChild>
                </w:div>
                <w:div w:id="1176310243">
                  <w:marLeft w:val="0"/>
                  <w:marRight w:val="0"/>
                  <w:marTop w:val="0"/>
                  <w:marBottom w:val="0"/>
                  <w:divBdr>
                    <w:top w:val="none" w:sz="0" w:space="0" w:color="auto"/>
                    <w:left w:val="none" w:sz="0" w:space="0" w:color="auto"/>
                    <w:bottom w:val="none" w:sz="0" w:space="0" w:color="auto"/>
                    <w:right w:val="none" w:sz="0" w:space="0" w:color="auto"/>
                  </w:divBdr>
                  <w:divsChild>
                    <w:div w:id="513805654">
                      <w:marLeft w:val="0"/>
                      <w:marRight w:val="0"/>
                      <w:marTop w:val="0"/>
                      <w:marBottom w:val="0"/>
                      <w:divBdr>
                        <w:top w:val="none" w:sz="0" w:space="0" w:color="auto"/>
                        <w:left w:val="none" w:sz="0" w:space="0" w:color="auto"/>
                        <w:bottom w:val="none" w:sz="0" w:space="0" w:color="auto"/>
                        <w:right w:val="none" w:sz="0" w:space="0" w:color="auto"/>
                      </w:divBdr>
                    </w:div>
                    <w:div w:id="569077249">
                      <w:marLeft w:val="0"/>
                      <w:marRight w:val="0"/>
                      <w:marTop w:val="0"/>
                      <w:marBottom w:val="0"/>
                      <w:divBdr>
                        <w:top w:val="none" w:sz="0" w:space="0" w:color="auto"/>
                        <w:left w:val="none" w:sz="0" w:space="0" w:color="auto"/>
                        <w:bottom w:val="none" w:sz="0" w:space="0" w:color="auto"/>
                        <w:right w:val="none" w:sz="0" w:space="0" w:color="auto"/>
                      </w:divBdr>
                    </w:div>
                  </w:divsChild>
                </w:div>
                <w:div w:id="1202933873">
                  <w:marLeft w:val="0"/>
                  <w:marRight w:val="0"/>
                  <w:marTop w:val="0"/>
                  <w:marBottom w:val="0"/>
                  <w:divBdr>
                    <w:top w:val="none" w:sz="0" w:space="0" w:color="auto"/>
                    <w:left w:val="none" w:sz="0" w:space="0" w:color="auto"/>
                    <w:bottom w:val="none" w:sz="0" w:space="0" w:color="auto"/>
                    <w:right w:val="none" w:sz="0" w:space="0" w:color="auto"/>
                  </w:divBdr>
                  <w:divsChild>
                    <w:div w:id="759134101">
                      <w:marLeft w:val="0"/>
                      <w:marRight w:val="0"/>
                      <w:marTop w:val="0"/>
                      <w:marBottom w:val="0"/>
                      <w:divBdr>
                        <w:top w:val="none" w:sz="0" w:space="0" w:color="auto"/>
                        <w:left w:val="none" w:sz="0" w:space="0" w:color="auto"/>
                        <w:bottom w:val="none" w:sz="0" w:space="0" w:color="auto"/>
                        <w:right w:val="none" w:sz="0" w:space="0" w:color="auto"/>
                      </w:divBdr>
                    </w:div>
                  </w:divsChild>
                </w:div>
                <w:div w:id="1208104999">
                  <w:marLeft w:val="0"/>
                  <w:marRight w:val="0"/>
                  <w:marTop w:val="0"/>
                  <w:marBottom w:val="0"/>
                  <w:divBdr>
                    <w:top w:val="none" w:sz="0" w:space="0" w:color="auto"/>
                    <w:left w:val="none" w:sz="0" w:space="0" w:color="auto"/>
                    <w:bottom w:val="none" w:sz="0" w:space="0" w:color="auto"/>
                    <w:right w:val="none" w:sz="0" w:space="0" w:color="auto"/>
                  </w:divBdr>
                  <w:divsChild>
                    <w:div w:id="1804300945">
                      <w:marLeft w:val="0"/>
                      <w:marRight w:val="0"/>
                      <w:marTop w:val="0"/>
                      <w:marBottom w:val="0"/>
                      <w:divBdr>
                        <w:top w:val="none" w:sz="0" w:space="0" w:color="auto"/>
                        <w:left w:val="none" w:sz="0" w:space="0" w:color="auto"/>
                        <w:bottom w:val="none" w:sz="0" w:space="0" w:color="auto"/>
                        <w:right w:val="none" w:sz="0" w:space="0" w:color="auto"/>
                      </w:divBdr>
                    </w:div>
                  </w:divsChild>
                </w:div>
                <w:div w:id="1284656793">
                  <w:marLeft w:val="0"/>
                  <w:marRight w:val="0"/>
                  <w:marTop w:val="0"/>
                  <w:marBottom w:val="0"/>
                  <w:divBdr>
                    <w:top w:val="none" w:sz="0" w:space="0" w:color="auto"/>
                    <w:left w:val="none" w:sz="0" w:space="0" w:color="auto"/>
                    <w:bottom w:val="none" w:sz="0" w:space="0" w:color="auto"/>
                    <w:right w:val="none" w:sz="0" w:space="0" w:color="auto"/>
                  </w:divBdr>
                  <w:divsChild>
                    <w:div w:id="1328900722">
                      <w:marLeft w:val="0"/>
                      <w:marRight w:val="0"/>
                      <w:marTop w:val="0"/>
                      <w:marBottom w:val="0"/>
                      <w:divBdr>
                        <w:top w:val="none" w:sz="0" w:space="0" w:color="auto"/>
                        <w:left w:val="none" w:sz="0" w:space="0" w:color="auto"/>
                        <w:bottom w:val="none" w:sz="0" w:space="0" w:color="auto"/>
                        <w:right w:val="none" w:sz="0" w:space="0" w:color="auto"/>
                      </w:divBdr>
                    </w:div>
                  </w:divsChild>
                </w:div>
                <w:div w:id="1355959435">
                  <w:marLeft w:val="0"/>
                  <w:marRight w:val="0"/>
                  <w:marTop w:val="0"/>
                  <w:marBottom w:val="0"/>
                  <w:divBdr>
                    <w:top w:val="none" w:sz="0" w:space="0" w:color="auto"/>
                    <w:left w:val="none" w:sz="0" w:space="0" w:color="auto"/>
                    <w:bottom w:val="none" w:sz="0" w:space="0" w:color="auto"/>
                    <w:right w:val="none" w:sz="0" w:space="0" w:color="auto"/>
                  </w:divBdr>
                  <w:divsChild>
                    <w:div w:id="813447768">
                      <w:marLeft w:val="0"/>
                      <w:marRight w:val="0"/>
                      <w:marTop w:val="0"/>
                      <w:marBottom w:val="0"/>
                      <w:divBdr>
                        <w:top w:val="none" w:sz="0" w:space="0" w:color="auto"/>
                        <w:left w:val="none" w:sz="0" w:space="0" w:color="auto"/>
                        <w:bottom w:val="none" w:sz="0" w:space="0" w:color="auto"/>
                        <w:right w:val="none" w:sz="0" w:space="0" w:color="auto"/>
                      </w:divBdr>
                    </w:div>
                  </w:divsChild>
                </w:div>
                <w:div w:id="1471676799">
                  <w:marLeft w:val="0"/>
                  <w:marRight w:val="0"/>
                  <w:marTop w:val="0"/>
                  <w:marBottom w:val="0"/>
                  <w:divBdr>
                    <w:top w:val="none" w:sz="0" w:space="0" w:color="auto"/>
                    <w:left w:val="none" w:sz="0" w:space="0" w:color="auto"/>
                    <w:bottom w:val="none" w:sz="0" w:space="0" w:color="auto"/>
                    <w:right w:val="none" w:sz="0" w:space="0" w:color="auto"/>
                  </w:divBdr>
                  <w:divsChild>
                    <w:div w:id="964965025">
                      <w:marLeft w:val="0"/>
                      <w:marRight w:val="0"/>
                      <w:marTop w:val="0"/>
                      <w:marBottom w:val="0"/>
                      <w:divBdr>
                        <w:top w:val="none" w:sz="0" w:space="0" w:color="auto"/>
                        <w:left w:val="none" w:sz="0" w:space="0" w:color="auto"/>
                        <w:bottom w:val="none" w:sz="0" w:space="0" w:color="auto"/>
                        <w:right w:val="none" w:sz="0" w:space="0" w:color="auto"/>
                      </w:divBdr>
                    </w:div>
                  </w:divsChild>
                </w:div>
                <w:div w:id="1496261856">
                  <w:marLeft w:val="0"/>
                  <w:marRight w:val="0"/>
                  <w:marTop w:val="0"/>
                  <w:marBottom w:val="0"/>
                  <w:divBdr>
                    <w:top w:val="none" w:sz="0" w:space="0" w:color="auto"/>
                    <w:left w:val="none" w:sz="0" w:space="0" w:color="auto"/>
                    <w:bottom w:val="none" w:sz="0" w:space="0" w:color="auto"/>
                    <w:right w:val="none" w:sz="0" w:space="0" w:color="auto"/>
                  </w:divBdr>
                  <w:divsChild>
                    <w:div w:id="1386181752">
                      <w:marLeft w:val="0"/>
                      <w:marRight w:val="0"/>
                      <w:marTop w:val="0"/>
                      <w:marBottom w:val="0"/>
                      <w:divBdr>
                        <w:top w:val="none" w:sz="0" w:space="0" w:color="auto"/>
                        <w:left w:val="none" w:sz="0" w:space="0" w:color="auto"/>
                        <w:bottom w:val="none" w:sz="0" w:space="0" w:color="auto"/>
                        <w:right w:val="none" w:sz="0" w:space="0" w:color="auto"/>
                      </w:divBdr>
                    </w:div>
                  </w:divsChild>
                </w:div>
                <w:div w:id="1545215401">
                  <w:marLeft w:val="0"/>
                  <w:marRight w:val="0"/>
                  <w:marTop w:val="0"/>
                  <w:marBottom w:val="0"/>
                  <w:divBdr>
                    <w:top w:val="none" w:sz="0" w:space="0" w:color="auto"/>
                    <w:left w:val="none" w:sz="0" w:space="0" w:color="auto"/>
                    <w:bottom w:val="none" w:sz="0" w:space="0" w:color="auto"/>
                    <w:right w:val="none" w:sz="0" w:space="0" w:color="auto"/>
                  </w:divBdr>
                  <w:divsChild>
                    <w:div w:id="1135486217">
                      <w:marLeft w:val="0"/>
                      <w:marRight w:val="0"/>
                      <w:marTop w:val="0"/>
                      <w:marBottom w:val="0"/>
                      <w:divBdr>
                        <w:top w:val="none" w:sz="0" w:space="0" w:color="auto"/>
                        <w:left w:val="none" w:sz="0" w:space="0" w:color="auto"/>
                        <w:bottom w:val="none" w:sz="0" w:space="0" w:color="auto"/>
                        <w:right w:val="none" w:sz="0" w:space="0" w:color="auto"/>
                      </w:divBdr>
                    </w:div>
                  </w:divsChild>
                </w:div>
                <w:div w:id="1546332592">
                  <w:marLeft w:val="0"/>
                  <w:marRight w:val="0"/>
                  <w:marTop w:val="0"/>
                  <w:marBottom w:val="0"/>
                  <w:divBdr>
                    <w:top w:val="none" w:sz="0" w:space="0" w:color="auto"/>
                    <w:left w:val="none" w:sz="0" w:space="0" w:color="auto"/>
                    <w:bottom w:val="none" w:sz="0" w:space="0" w:color="auto"/>
                    <w:right w:val="none" w:sz="0" w:space="0" w:color="auto"/>
                  </w:divBdr>
                  <w:divsChild>
                    <w:div w:id="1756588729">
                      <w:marLeft w:val="0"/>
                      <w:marRight w:val="0"/>
                      <w:marTop w:val="0"/>
                      <w:marBottom w:val="0"/>
                      <w:divBdr>
                        <w:top w:val="none" w:sz="0" w:space="0" w:color="auto"/>
                        <w:left w:val="none" w:sz="0" w:space="0" w:color="auto"/>
                        <w:bottom w:val="none" w:sz="0" w:space="0" w:color="auto"/>
                        <w:right w:val="none" w:sz="0" w:space="0" w:color="auto"/>
                      </w:divBdr>
                    </w:div>
                  </w:divsChild>
                </w:div>
                <w:div w:id="1736704867">
                  <w:marLeft w:val="0"/>
                  <w:marRight w:val="0"/>
                  <w:marTop w:val="0"/>
                  <w:marBottom w:val="0"/>
                  <w:divBdr>
                    <w:top w:val="none" w:sz="0" w:space="0" w:color="auto"/>
                    <w:left w:val="none" w:sz="0" w:space="0" w:color="auto"/>
                    <w:bottom w:val="none" w:sz="0" w:space="0" w:color="auto"/>
                    <w:right w:val="none" w:sz="0" w:space="0" w:color="auto"/>
                  </w:divBdr>
                  <w:divsChild>
                    <w:div w:id="1617979148">
                      <w:marLeft w:val="0"/>
                      <w:marRight w:val="0"/>
                      <w:marTop w:val="0"/>
                      <w:marBottom w:val="0"/>
                      <w:divBdr>
                        <w:top w:val="none" w:sz="0" w:space="0" w:color="auto"/>
                        <w:left w:val="none" w:sz="0" w:space="0" w:color="auto"/>
                        <w:bottom w:val="none" w:sz="0" w:space="0" w:color="auto"/>
                        <w:right w:val="none" w:sz="0" w:space="0" w:color="auto"/>
                      </w:divBdr>
                    </w:div>
                  </w:divsChild>
                </w:div>
                <w:div w:id="1744138215">
                  <w:marLeft w:val="0"/>
                  <w:marRight w:val="0"/>
                  <w:marTop w:val="0"/>
                  <w:marBottom w:val="0"/>
                  <w:divBdr>
                    <w:top w:val="none" w:sz="0" w:space="0" w:color="auto"/>
                    <w:left w:val="none" w:sz="0" w:space="0" w:color="auto"/>
                    <w:bottom w:val="none" w:sz="0" w:space="0" w:color="auto"/>
                    <w:right w:val="none" w:sz="0" w:space="0" w:color="auto"/>
                  </w:divBdr>
                  <w:divsChild>
                    <w:div w:id="981352742">
                      <w:marLeft w:val="0"/>
                      <w:marRight w:val="0"/>
                      <w:marTop w:val="0"/>
                      <w:marBottom w:val="0"/>
                      <w:divBdr>
                        <w:top w:val="none" w:sz="0" w:space="0" w:color="auto"/>
                        <w:left w:val="none" w:sz="0" w:space="0" w:color="auto"/>
                        <w:bottom w:val="none" w:sz="0" w:space="0" w:color="auto"/>
                        <w:right w:val="none" w:sz="0" w:space="0" w:color="auto"/>
                      </w:divBdr>
                    </w:div>
                  </w:divsChild>
                </w:div>
                <w:div w:id="1769159223">
                  <w:marLeft w:val="0"/>
                  <w:marRight w:val="0"/>
                  <w:marTop w:val="0"/>
                  <w:marBottom w:val="0"/>
                  <w:divBdr>
                    <w:top w:val="none" w:sz="0" w:space="0" w:color="auto"/>
                    <w:left w:val="none" w:sz="0" w:space="0" w:color="auto"/>
                    <w:bottom w:val="none" w:sz="0" w:space="0" w:color="auto"/>
                    <w:right w:val="none" w:sz="0" w:space="0" w:color="auto"/>
                  </w:divBdr>
                  <w:divsChild>
                    <w:div w:id="1931430750">
                      <w:marLeft w:val="0"/>
                      <w:marRight w:val="0"/>
                      <w:marTop w:val="0"/>
                      <w:marBottom w:val="0"/>
                      <w:divBdr>
                        <w:top w:val="none" w:sz="0" w:space="0" w:color="auto"/>
                        <w:left w:val="none" w:sz="0" w:space="0" w:color="auto"/>
                        <w:bottom w:val="none" w:sz="0" w:space="0" w:color="auto"/>
                        <w:right w:val="none" w:sz="0" w:space="0" w:color="auto"/>
                      </w:divBdr>
                    </w:div>
                  </w:divsChild>
                </w:div>
                <w:div w:id="1832134733">
                  <w:marLeft w:val="0"/>
                  <w:marRight w:val="0"/>
                  <w:marTop w:val="0"/>
                  <w:marBottom w:val="0"/>
                  <w:divBdr>
                    <w:top w:val="none" w:sz="0" w:space="0" w:color="auto"/>
                    <w:left w:val="none" w:sz="0" w:space="0" w:color="auto"/>
                    <w:bottom w:val="none" w:sz="0" w:space="0" w:color="auto"/>
                    <w:right w:val="none" w:sz="0" w:space="0" w:color="auto"/>
                  </w:divBdr>
                  <w:divsChild>
                    <w:div w:id="1542862411">
                      <w:marLeft w:val="0"/>
                      <w:marRight w:val="0"/>
                      <w:marTop w:val="0"/>
                      <w:marBottom w:val="0"/>
                      <w:divBdr>
                        <w:top w:val="none" w:sz="0" w:space="0" w:color="auto"/>
                        <w:left w:val="none" w:sz="0" w:space="0" w:color="auto"/>
                        <w:bottom w:val="none" w:sz="0" w:space="0" w:color="auto"/>
                        <w:right w:val="none" w:sz="0" w:space="0" w:color="auto"/>
                      </w:divBdr>
                    </w:div>
                  </w:divsChild>
                </w:div>
                <w:div w:id="1843279882">
                  <w:marLeft w:val="0"/>
                  <w:marRight w:val="0"/>
                  <w:marTop w:val="0"/>
                  <w:marBottom w:val="0"/>
                  <w:divBdr>
                    <w:top w:val="none" w:sz="0" w:space="0" w:color="auto"/>
                    <w:left w:val="none" w:sz="0" w:space="0" w:color="auto"/>
                    <w:bottom w:val="none" w:sz="0" w:space="0" w:color="auto"/>
                    <w:right w:val="none" w:sz="0" w:space="0" w:color="auto"/>
                  </w:divBdr>
                  <w:divsChild>
                    <w:div w:id="1932278367">
                      <w:marLeft w:val="0"/>
                      <w:marRight w:val="0"/>
                      <w:marTop w:val="0"/>
                      <w:marBottom w:val="0"/>
                      <w:divBdr>
                        <w:top w:val="none" w:sz="0" w:space="0" w:color="auto"/>
                        <w:left w:val="none" w:sz="0" w:space="0" w:color="auto"/>
                        <w:bottom w:val="none" w:sz="0" w:space="0" w:color="auto"/>
                        <w:right w:val="none" w:sz="0" w:space="0" w:color="auto"/>
                      </w:divBdr>
                    </w:div>
                  </w:divsChild>
                </w:div>
                <w:div w:id="1859460591">
                  <w:marLeft w:val="0"/>
                  <w:marRight w:val="0"/>
                  <w:marTop w:val="0"/>
                  <w:marBottom w:val="0"/>
                  <w:divBdr>
                    <w:top w:val="none" w:sz="0" w:space="0" w:color="auto"/>
                    <w:left w:val="none" w:sz="0" w:space="0" w:color="auto"/>
                    <w:bottom w:val="none" w:sz="0" w:space="0" w:color="auto"/>
                    <w:right w:val="none" w:sz="0" w:space="0" w:color="auto"/>
                  </w:divBdr>
                  <w:divsChild>
                    <w:div w:id="1923373545">
                      <w:marLeft w:val="0"/>
                      <w:marRight w:val="0"/>
                      <w:marTop w:val="0"/>
                      <w:marBottom w:val="0"/>
                      <w:divBdr>
                        <w:top w:val="none" w:sz="0" w:space="0" w:color="auto"/>
                        <w:left w:val="none" w:sz="0" w:space="0" w:color="auto"/>
                        <w:bottom w:val="none" w:sz="0" w:space="0" w:color="auto"/>
                        <w:right w:val="none" w:sz="0" w:space="0" w:color="auto"/>
                      </w:divBdr>
                    </w:div>
                  </w:divsChild>
                </w:div>
                <w:div w:id="1865048166">
                  <w:marLeft w:val="0"/>
                  <w:marRight w:val="0"/>
                  <w:marTop w:val="0"/>
                  <w:marBottom w:val="0"/>
                  <w:divBdr>
                    <w:top w:val="none" w:sz="0" w:space="0" w:color="auto"/>
                    <w:left w:val="none" w:sz="0" w:space="0" w:color="auto"/>
                    <w:bottom w:val="none" w:sz="0" w:space="0" w:color="auto"/>
                    <w:right w:val="none" w:sz="0" w:space="0" w:color="auto"/>
                  </w:divBdr>
                  <w:divsChild>
                    <w:div w:id="2063210420">
                      <w:marLeft w:val="0"/>
                      <w:marRight w:val="0"/>
                      <w:marTop w:val="0"/>
                      <w:marBottom w:val="0"/>
                      <w:divBdr>
                        <w:top w:val="none" w:sz="0" w:space="0" w:color="auto"/>
                        <w:left w:val="none" w:sz="0" w:space="0" w:color="auto"/>
                        <w:bottom w:val="none" w:sz="0" w:space="0" w:color="auto"/>
                        <w:right w:val="none" w:sz="0" w:space="0" w:color="auto"/>
                      </w:divBdr>
                    </w:div>
                  </w:divsChild>
                </w:div>
                <w:div w:id="1880514282">
                  <w:marLeft w:val="0"/>
                  <w:marRight w:val="0"/>
                  <w:marTop w:val="0"/>
                  <w:marBottom w:val="0"/>
                  <w:divBdr>
                    <w:top w:val="none" w:sz="0" w:space="0" w:color="auto"/>
                    <w:left w:val="none" w:sz="0" w:space="0" w:color="auto"/>
                    <w:bottom w:val="none" w:sz="0" w:space="0" w:color="auto"/>
                    <w:right w:val="none" w:sz="0" w:space="0" w:color="auto"/>
                  </w:divBdr>
                  <w:divsChild>
                    <w:div w:id="142165543">
                      <w:marLeft w:val="0"/>
                      <w:marRight w:val="0"/>
                      <w:marTop w:val="0"/>
                      <w:marBottom w:val="0"/>
                      <w:divBdr>
                        <w:top w:val="none" w:sz="0" w:space="0" w:color="auto"/>
                        <w:left w:val="none" w:sz="0" w:space="0" w:color="auto"/>
                        <w:bottom w:val="none" w:sz="0" w:space="0" w:color="auto"/>
                        <w:right w:val="none" w:sz="0" w:space="0" w:color="auto"/>
                      </w:divBdr>
                    </w:div>
                  </w:divsChild>
                </w:div>
                <w:div w:id="1934583047">
                  <w:marLeft w:val="0"/>
                  <w:marRight w:val="0"/>
                  <w:marTop w:val="0"/>
                  <w:marBottom w:val="0"/>
                  <w:divBdr>
                    <w:top w:val="none" w:sz="0" w:space="0" w:color="auto"/>
                    <w:left w:val="none" w:sz="0" w:space="0" w:color="auto"/>
                    <w:bottom w:val="none" w:sz="0" w:space="0" w:color="auto"/>
                    <w:right w:val="none" w:sz="0" w:space="0" w:color="auto"/>
                  </w:divBdr>
                  <w:divsChild>
                    <w:div w:id="1820802589">
                      <w:marLeft w:val="0"/>
                      <w:marRight w:val="0"/>
                      <w:marTop w:val="0"/>
                      <w:marBottom w:val="0"/>
                      <w:divBdr>
                        <w:top w:val="none" w:sz="0" w:space="0" w:color="auto"/>
                        <w:left w:val="none" w:sz="0" w:space="0" w:color="auto"/>
                        <w:bottom w:val="none" w:sz="0" w:space="0" w:color="auto"/>
                        <w:right w:val="none" w:sz="0" w:space="0" w:color="auto"/>
                      </w:divBdr>
                    </w:div>
                  </w:divsChild>
                </w:div>
                <w:div w:id="2012440071">
                  <w:marLeft w:val="0"/>
                  <w:marRight w:val="0"/>
                  <w:marTop w:val="0"/>
                  <w:marBottom w:val="0"/>
                  <w:divBdr>
                    <w:top w:val="none" w:sz="0" w:space="0" w:color="auto"/>
                    <w:left w:val="none" w:sz="0" w:space="0" w:color="auto"/>
                    <w:bottom w:val="none" w:sz="0" w:space="0" w:color="auto"/>
                    <w:right w:val="none" w:sz="0" w:space="0" w:color="auto"/>
                  </w:divBdr>
                  <w:divsChild>
                    <w:div w:id="938097781">
                      <w:marLeft w:val="0"/>
                      <w:marRight w:val="0"/>
                      <w:marTop w:val="0"/>
                      <w:marBottom w:val="0"/>
                      <w:divBdr>
                        <w:top w:val="none" w:sz="0" w:space="0" w:color="auto"/>
                        <w:left w:val="none" w:sz="0" w:space="0" w:color="auto"/>
                        <w:bottom w:val="none" w:sz="0" w:space="0" w:color="auto"/>
                        <w:right w:val="none" w:sz="0" w:space="0" w:color="auto"/>
                      </w:divBdr>
                    </w:div>
                  </w:divsChild>
                </w:div>
                <w:div w:id="2132017802">
                  <w:marLeft w:val="0"/>
                  <w:marRight w:val="0"/>
                  <w:marTop w:val="0"/>
                  <w:marBottom w:val="0"/>
                  <w:divBdr>
                    <w:top w:val="none" w:sz="0" w:space="0" w:color="auto"/>
                    <w:left w:val="none" w:sz="0" w:space="0" w:color="auto"/>
                    <w:bottom w:val="none" w:sz="0" w:space="0" w:color="auto"/>
                    <w:right w:val="none" w:sz="0" w:space="0" w:color="auto"/>
                  </w:divBdr>
                  <w:divsChild>
                    <w:div w:id="1290550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1766619">
          <w:marLeft w:val="0"/>
          <w:marRight w:val="0"/>
          <w:marTop w:val="0"/>
          <w:marBottom w:val="0"/>
          <w:divBdr>
            <w:top w:val="none" w:sz="0" w:space="0" w:color="auto"/>
            <w:left w:val="none" w:sz="0" w:space="0" w:color="auto"/>
            <w:bottom w:val="none" w:sz="0" w:space="0" w:color="auto"/>
            <w:right w:val="none" w:sz="0" w:space="0" w:color="auto"/>
          </w:divBdr>
          <w:divsChild>
            <w:div w:id="54935491">
              <w:marLeft w:val="0"/>
              <w:marRight w:val="0"/>
              <w:marTop w:val="0"/>
              <w:marBottom w:val="0"/>
              <w:divBdr>
                <w:top w:val="none" w:sz="0" w:space="0" w:color="auto"/>
                <w:left w:val="none" w:sz="0" w:space="0" w:color="auto"/>
                <w:bottom w:val="none" w:sz="0" w:space="0" w:color="auto"/>
                <w:right w:val="none" w:sz="0" w:space="0" w:color="auto"/>
              </w:divBdr>
            </w:div>
            <w:div w:id="59835814">
              <w:marLeft w:val="0"/>
              <w:marRight w:val="0"/>
              <w:marTop w:val="0"/>
              <w:marBottom w:val="0"/>
              <w:divBdr>
                <w:top w:val="none" w:sz="0" w:space="0" w:color="auto"/>
                <w:left w:val="none" w:sz="0" w:space="0" w:color="auto"/>
                <w:bottom w:val="none" w:sz="0" w:space="0" w:color="auto"/>
                <w:right w:val="none" w:sz="0" w:space="0" w:color="auto"/>
              </w:divBdr>
            </w:div>
            <w:div w:id="396322343">
              <w:marLeft w:val="0"/>
              <w:marRight w:val="0"/>
              <w:marTop w:val="0"/>
              <w:marBottom w:val="0"/>
              <w:divBdr>
                <w:top w:val="none" w:sz="0" w:space="0" w:color="auto"/>
                <w:left w:val="none" w:sz="0" w:space="0" w:color="auto"/>
                <w:bottom w:val="none" w:sz="0" w:space="0" w:color="auto"/>
                <w:right w:val="none" w:sz="0" w:space="0" w:color="auto"/>
              </w:divBdr>
            </w:div>
            <w:div w:id="467627691">
              <w:marLeft w:val="0"/>
              <w:marRight w:val="0"/>
              <w:marTop w:val="0"/>
              <w:marBottom w:val="0"/>
              <w:divBdr>
                <w:top w:val="none" w:sz="0" w:space="0" w:color="auto"/>
                <w:left w:val="none" w:sz="0" w:space="0" w:color="auto"/>
                <w:bottom w:val="none" w:sz="0" w:space="0" w:color="auto"/>
                <w:right w:val="none" w:sz="0" w:space="0" w:color="auto"/>
              </w:divBdr>
            </w:div>
            <w:div w:id="683944583">
              <w:marLeft w:val="0"/>
              <w:marRight w:val="0"/>
              <w:marTop w:val="0"/>
              <w:marBottom w:val="0"/>
              <w:divBdr>
                <w:top w:val="none" w:sz="0" w:space="0" w:color="auto"/>
                <w:left w:val="none" w:sz="0" w:space="0" w:color="auto"/>
                <w:bottom w:val="none" w:sz="0" w:space="0" w:color="auto"/>
                <w:right w:val="none" w:sz="0" w:space="0" w:color="auto"/>
              </w:divBdr>
            </w:div>
            <w:div w:id="834684132">
              <w:marLeft w:val="0"/>
              <w:marRight w:val="0"/>
              <w:marTop w:val="0"/>
              <w:marBottom w:val="0"/>
              <w:divBdr>
                <w:top w:val="none" w:sz="0" w:space="0" w:color="auto"/>
                <w:left w:val="none" w:sz="0" w:space="0" w:color="auto"/>
                <w:bottom w:val="none" w:sz="0" w:space="0" w:color="auto"/>
                <w:right w:val="none" w:sz="0" w:space="0" w:color="auto"/>
              </w:divBdr>
            </w:div>
            <w:div w:id="883054209">
              <w:marLeft w:val="0"/>
              <w:marRight w:val="0"/>
              <w:marTop w:val="0"/>
              <w:marBottom w:val="0"/>
              <w:divBdr>
                <w:top w:val="none" w:sz="0" w:space="0" w:color="auto"/>
                <w:left w:val="none" w:sz="0" w:space="0" w:color="auto"/>
                <w:bottom w:val="none" w:sz="0" w:space="0" w:color="auto"/>
                <w:right w:val="none" w:sz="0" w:space="0" w:color="auto"/>
              </w:divBdr>
            </w:div>
            <w:div w:id="1176921942">
              <w:marLeft w:val="0"/>
              <w:marRight w:val="0"/>
              <w:marTop w:val="0"/>
              <w:marBottom w:val="0"/>
              <w:divBdr>
                <w:top w:val="none" w:sz="0" w:space="0" w:color="auto"/>
                <w:left w:val="none" w:sz="0" w:space="0" w:color="auto"/>
                <w:bottom w:val="none" w:sz="0" w:space="0" w:color="auto"/>
                <w:right w:val="none" w:sz="0" w:space="0" w:color="auto"/>
              </w:divBdr>
            </w:div>
            <w:div w:id="1178472084">
              <w:marLeft w:val="0"/>
              <w:marRight w:val="0"/>
              <w:marTop w:val="0"/>
              <w:marBottom w:val="0"/>
              <w:divBdr>
                <w:top w:val="none" w:sz="0" w:space="0" w:color="auto"/>
                <w:left w:val="none" w:sz="0" w:space="0" w:color="auto"/>
                <w:bottom w:val="none" w:sz="0" w:space="0" w:color="auto"/>
                <w:right w:val="none" w:sz="0" w:space="0" w:color="auto"/>
              </w:divBdr>
            </w:div>
            <w:div w:id="1182548145">
              <w:marLeft w:val="0"/>
              <w:marRight w:val="0"/>
              <w:marTop w:val="0"/>
              <w:marBottom w:val="0"/>
              <w:divBdr>
                <w:top w:val="none" w:sz="0" w:space="0" w:color="auto"/>
                <w:left w:val="none" w:sz="0" w:space="0" w:color="auto"/>
                <w:bottom w:val="none" w:sz="0" w:space="0" w:color="auto"/>
                <w:right w:val="none" w:sz="0" w:space="0" w:color="auto"/>
              </w:divBdr>
            </w:div>
            <w:div w:id="1238595525">
              <w:marLeft w:val="0"/>
              <w:marRight w:val="0"/>
              <w:marTop w:val="0"/>
              <w:marBottom w:val="0"/>
              <w:divBdr>
                <w:top w:val="none" w:sz="0" w:space="0" w:color="auto"/>
                <w:left w:val="none" w:sz="0" w:space="0" w:color="auto"/>
                <w:bottom w:val="none" w:sz="0" w:space="0" w:color="auto"/>
                <w:right w:val="none" w:sz="0" w:space="0" w:color="auto"/>
              </w:divBdr>
            </w:div>
            <w:div w:id="1323242130">
              <w:marLeft w:val="0"/>
              <w:marRight w:val="0"/>
              <w:marTop w:val="0"/>
              <w:marBottom w:val="0"/>
              <w:divBdr>
                <w:top w:val="none" w:sz="0" w:space="0" w:color="auto"/>
                <w:left w:val="none" w:sz="0" w:space="0" w:color="auto"/>
                <w:bottom w:val="none" w:sz="0" w:space="0" w:color="auto"/>
                <w:right w:val="none" w:sz="0" w:space="0" w:color="auto"/>
              </w:divBdr>
            </w:div>
            <w:div w:id="1653370516">
              <w:marLeft w:val="0"/>
              <w:marRight w:val="0"/>
              <w:marTop w:val="0"/>
              <w:marBottom w:val="0"/>
              <w:divBdr>
                <w:top w:val="none" w:sz="0" w:space="0" w:color="auto"/>
                <w:left w:val="none" w:sz="0" w:space="0" w:color="auto"/>
                <w:bottom w:val="none" w:sz="0" w:space="0" w:color="auto"/>
                <w:right w:val="none" w:sz="0" w:space="0" w:color="auto"/>
              </w:divBdr>
            </w:div>
            <w:div w:id="1779566204">
              <w:marLeft w:val="0"/>
              <w:marRight w:val="0"/>
              <w:marTop w:val="0"/>
              <w:marBottom w:val="0"/>
              <w:divBdr>
                <w:top w:val="none" w:sz="0" w:space="0" w:color="auto"/>
                <w:left w:val="none" w:sz="0" w:space="0" w:color="auto"/>
                <w:bottom w:val="none" w:sz="0" w:space="0" w:color="auto"/>
                <w:right w:val="none" w:sz="0" w:space="0" w:color="auto"/>
              </w:divBdr>
            </w:div>
            <w:div w:id="1833787303">
              <w:marLeft w:val="0"/>
              <w:marRight w:val="0"/>
              <w:marTop w:val="0"/>
              <w:marBottom w:val="0"/>
              <w:divBdr>
                <w:top w:val="none" w:sz="0" w:space="0" w:color="auto"/>
                <w:left w:val="none" w:sz="0" w:space="0" w:color="auto"/>
                <w:bottom w:val="none" w:sz="0" w:space="0" w:color="auto"/>
                <w:right w:val="none" w:sz="0" w:space="0" w:color="auto"/>
              </w:divBdr>
            </w:div>
            <w:div w:id="1883059724">
              <w:marLeft w:val="0"/>
              <w:marRight w:val="0"/>
              <w:marTop w:val="0"/>
              <w:marBottom w:val="0"/>
              <w:divBdr>
                <w:top w:val="none" w:sz="0" w:space="0" w:color="auto"/>
                <w:left w:val="none" w:sz="0" w:space="0" w:color="auto"/>
                <w:bottom w:val="none" w:sz="0" w:space="0" w:color="auto"/>
                <w:right w:val="none" w:sz="0" w:space="0" w:color="auto"/>
              </w:divBdr>
            </w:div>
            <w:div w:id="2009363870">
              <w:marLeft w:val="0"/>
              <w:marRight w:val="0"/>
              <w:marTop w:val="0"/>
              <w:marBottom w:val="0"/>
              <w:divBdr>
                <w:top w:val="none" w:sz="0" w:space="0" w:color="auto"/>
                <w:left w:val="none" w:sz="0" w:space="0" w:color="auto"/>
                <w:bottom w:val="none" w:sz="0" w:space="0" w:color="auto"/>
                <w:right w:val="none" w:sz="0" w:space="0" w:color="auto"/>
              </w:divBdr>
            </w:div>
            <w:div w:id="2041661927">
              <w:marLeft w:val="0"/>
              <w:marRight w:val="0"/>
              <w:marTop w:val="0"/>
              <w:marBottom w:val="0"/>
              <w:divBdr>
                <w:top w:val="none" w:sz="0" w:space="0" w:color="auto"/>
                <w:left w:val="none" w:sz="0" w:space="0" w:color="auto"/>
                <w:bottom w:val="none" w:sz="0" w:space="0" w:color="auto"/>
                <w:right w:val="none" w:sz="0" w:space="0" w:color="auto"/>
              </w:divBdr>
            </w:div>
            <w:div w:id="2082831051">
              <w:marLeft w:val="0"/>
              <w:marRight w:val="0"/>
              <w:marTop w:val="0"/>
              <w:marBottom w:val="0"/>
              <w:divBdr>
                <w:top w:val="none" w:sz="0" w:space="0" w:color="auto"/>
                <w:left w:val="none" w:sz="0" w:space="0" w:color="auto"/>
                <w:bottom w:val="none" w:sz="0" w:space="0" w:color="auto"/>
                <w:right w:val="none" w:sz="0" w:space="0" w:color="auto"/>
              </w:divBdr>
            </w:div>
          </w:divsChild>
        </w:div>
        <w:div w:id="1857696512">
          <w:marLeft w:val="0"/>
          <w:marRight w:val="0"/>
          <w:marTop w:val="0"/>
          <w:marBottom w:val="0"/>
          <w:divBdr>
            <w:top w:val="none" w:sz="0" w:space="0" w:color="auto"/>
            <w:left w:val="none" w:sz="0" w:space="0" w:color="auto"/>
            <w:bottom w:val="none" w:sz="0" w:space="0" w:color="auto"/>
            <w:right w:val="none" w:sz="0" w:space="0" w:color="auto"/>
          </w:divBdr>
        </w:div>
      </w:divsChild>
    </w:div>
    <w:div w:id="2117749026">
      <w:bodyDiv w:val="1"/>
      <w:marLeft w:val="0"/>
      <w:marRight w:val="0"/>
      <w:marTop w:val="0"/>
      <w:marBottom w:val="0"/>
      <w:divBdr>
        <w:top w:val="none" w:sz="0" w:space="0" w:color="auto"/>
        <w:left w:val="none" w:sz="0" w:space="0" w:color="auto"/>
        <w:bottom w:val="none" w:sz="0" w:space="0" w:color="auto"/>
        <w:right w:val="none" w:sz="0" w:space="0" w:color="auto"/>
      </w:divBdr>
      <w:divsChild>
        <w:div w:id="243270558">
          <w:marLeft w:val="0"/>
          <w:marRight w:val="0"/>
          <w:marTop w:val="0"/>
          <w:marBottom w:val="0"/>
          <w:divBdr>
            <w:top w:val="none" w:sz="0" w:space="0" w:color="auto"/>
            <w:left w:val="none" w:sz="0" w:space="0" w:color="auto"/>
            <w:bottom w:val="none" w:sz="0" w:space="0" w:color="auto"/>
            <w:right w:val="none" w:sz="0" w:space="0" w:color="auto"/>
          </w:divBdr>
        </w:div>
        <w:div w:id="356858217">
          <w:marLeft w:val="0"/>
          <w:marRight w:val="0"/>
          <w:marTop w:val="0"/>
          <w:marBottom w:val="0"/>
          <w:divBdr>
            <w:top w:val="none" w:sz="0" w:space="0" w:color="auto"/>
            <w:left w:val="none" w:sz="0" w:space="0" w:color="auto"/>
            <w:bottom w:val="none" w:sz="0" w:space="0" w:color="auto"/>
            <w:right w:val="none" w:sz="0" w:space="0" w:color="auto"/>
          </w:divBdr>
          <w:divsChild>
            <w:div w:id="61371361">
              <w:marLeft w:val="0"/>
              <w:marRight w:val="0"/>
              <w:marTop w:val="0"/>
              <w:marBottom w:val="0"/>
              <w:divBdr>
                <w:top w:val="none" w:sz="0" w:space="0" w:color="auto"/>
                <w:left w:val="none" w:sz="0" w:space="0" w:color="auto"/>
                <w:bottom w:val="none" w:sz="0" w:space="0" w:color="auto"/>
                <w:right w:val="none" w:sz="0" w:space="0" w:color="auto"/>
              </w:divBdr>
            </w:div>
            <w:div w:id="122117564">
              <w:marLeft w:val="0"/>
              <w:marRight w:val="0"/>
              <w:marTop w:val="0"/>
              <w:marBottom w:val="0"/>
              <w:divBdr>
                <w:top w:val="none" w:sz="0" w:space="0" w:color="auto"/>
                <w:left w:val="none" w:sz="0" w:space="0" w:color="auto"/>
                <w:bottom w:val="none" w:sz="0" w:space="0" w:color="auto"/>
                <w:right w:val="none" w:sz="0" w:space="0" w:color="auto"/>
              </w:divBdr>
            </w:div>
            <w:div w:id="270360859">
              <w:marLeft w:val="0"/>
              <w:marRight w:val="0"/>
              <w:marTop w:val="0"/>
              <w:marBottom w:val="0"/>
              <w:divBdr>
                <w:top w:val="none" w:sz="0" w:space="0" w:color="auto"/>
                <w:left w:val="none" w:sz="0" w:space="0" w:color="auto"/>
                <w:bottom w:val="none" w:sz="0" w:space="0" w:color="auto"/>
                <w:right w:val="none" w:sz="0" w:space="0" w:color="auto"/>
              </w:divBdr>
            </w:div>
            <w:div w:id="279843645">
              <w:marLeft w:val="0"/>
              <w:marRight w:val="0"/>
              <w:marTop w:val="0"/>
              <w:marBottom w:val="0"/>
              <w:divBdr>
                <w:top w:val="none" w:sz="0" w:space="0" w:color="auto"/>
                <w:left w:val="none" w:sz="0" w:space="0" w:color="auto"/>
                <w:bottom w:val="none" w:sz="0" w:space="0" w:color="auto"/>
                <w:right w:val="none" w:sz="0" w:space="0" w:color="auto"/>
              </w:divBdr>
            </w:div>
            <w:div w:id="293677186">
              <w:marLeft w:val="0"/>
              <w:marRight w:val="0"/>
              <w:marTop w:val="0"/>
              <w:marBottom w:val="0"/>
              <w:divBdr>
                <w:top w:val="none" w:sz="0" w:space="0" w:color="auto"/>
                <w:left w:val="none" w:sz="0" w:space="0" w:color="auto"/>
                <w:bottom w:val="none" w:sz="0" w:space="0" w:color="auto"/>
                <w:right w:val="none" w:sz="0" w:space="0" w:color="auto"/>
              </w:divBdr>
            </w:div>
            <w:div w:id="394201670">
              <w:marLeft w:val="0"/>
              <w:marRight w:val="0"/>
              <w:marTop w:val="0"/>
              <w:marBottom w:val="0"/>
              <w:divBdr>
                <w:top w:val="none" w:sz="0" w:space="0" w:color="auto"/>
                <w:left w:val="none" w:sz="0" w:space="0" w:color="auto"/>
                <w:bottom w:val="none" w:sz="0" w:space="0" w:color="auto"/>
                <w:right w:val="none" w:sz="0" w:space="0" w:color="auto"/>
              </w:divBdr>
            </w:div>
            <w:div w:id="540477288">
              <w:marLeft w:val="0"/>
              <w:marRight w:val="0"/>
              <w:marTop w:val="0"/>
              <w:marBottom w:val="0"/>
              <w:divBdr>
                <w:top w:val="none" w:sz="0" w:space="0" w:color="auto"/>
                <w:left w:val="none" w:sz="0" w:space="0" w:color="auto"/>
                <w:bottom w:val="none" w:sz="0" w:space="0" w:color="auto"/>
                <w:right w:val="none" w:sz="0" w:space="0" w:color="auto"/>
              </w:divBdr>
            </w:div>
            <w:div w:id="661544286">
              <w:marLeft w:val="0"/>
              <w:marRight w:val="0"/>
              <w:marTop w:val="0"/>
              <w:marBottom w:val="0"/>
              <w:divBdr>
                <w:top w:val="none" w:sz="0" w:space="0" w:color="auto"/>
                <w:left w:val="none" w:sz="0" w:space="0" w:color="auto"/>
                <w:bottom w:val="none" w:sz="0" w:space="0" w:color="auto"/>
                <w:right w:val="none" w:sz="0" w:space="0" w:color="auto"/>
              </w:divBdr>
            </w:div>
            <w:div w:id="662044973">
              <w:marLeft w:val="0"/>
              <w:marRight w:val="0"/>
              <w:marTop w:val="0"/>
              <w:marBottom w:val="0"/>
              <w:divBdr>
                <w:top w:val="none" w:sz="0" w:space="0" w:color="auto"/>
                <w:left w:val="none" w:sz="0" w:space="0" w:color="auto"/>
                <w:bottom w:val="none" w:sz="0" w:space="0" w:color="auto"/>
                <w:right w:val="none" w:sz="0" w:space="0" w:color="auto"/>
              </w:divBdr>
            </w:div>
            <w:div w:id="732774622">
              <w:marLeft w:val="0"/>
              <w:marRight w:val="0"/>
              <w:marTop w:val="0"/>
              <w:marBottom w:val="0"/>
              <w:divBdr>
                <w:top w:val="none" w:sz="0" w:space="0" w:color="auto"/>
                <w:left w:val="none" w:sz="0" w:space="0" w:color="auto"/>
                <w:bottom w:val="none" w:sz="0" w:space="0" w:color="auto"/>
                <w:right w:val="none" w:sz="0" w:space="0" w:color="auto"/>
              </w:divBdr>
            </w:div>
            <w:div w:id="757795843">
              <w:marLeft w:val="0"/>
              <w:marRight w:val="0"/>
              <w:marTop w:val="0"/>
              <w:marBottom w:val="0"/>
              <w:divBdr>
                <w:top w:val="none" w:sz="0" w:space="0" w:color="auto"/>
                <w:left w:val="none" w:sz="0" w:space="0" w:color="auto"/>
                <w:bottom w:val="none" w:sz="0" w:space="0" w:color="auto"/>
                <w:right w:val="none" w:sz="0" w:space="0" w:color="auto"/>
              </w:divBdr>
            </w:div>
            <w:div w:id="800000277">
              <w:marLeft w:val="0"/>
              <w:marRight w:val="0"/>
              <w:marTop w:val="0"/>
              <w:marBottom w:val="0"/>
              <w:divBdr>
                <w:top w:val="none" w:sz="0" w:space="0" w:color="auto"/>
                <w:left w:val="none" w:sz="0" w:space="0" w:color="auto"/>
                <w:bottom w:val="none" w:sz="0" w:space="0" w:color="auto"/>
                <w:right w:val="none" w:sz="0" w:space="0" w:color="auto"/>
              </w:divBdr>
            </w:div>
            <w:div w:id="1003165035">
              <w:marLeft w:val="0"/>
              <w:marRight w:val="0"/>
              <w:marTop w:val="0"/>
              <w:marBottom w:val="0"/>
              <w:divBdr>
                <w:top w:val="none" w:sz="0" w:space="0" w:color="auto"/>
                <w:left w:val="none" w:sz="0" w:space="0" w:color="auto"/>
                <w:bottom w:val="none" w:sz="0" w:space="0" w:color="auto"/>
                <w:right w:val="none" w:sz="0" w:space="0" w:color="auto"/>
              </w:divBdr>
            </w:div>
            <w:div w:id="1146506955">
              <w:marLeft w:val="0"/>
              <w:marRight w:val="0"/>
              <w:marTop w:val="0"/>
              <w:marBottom w:val="0"/>
              <w:divBdr>
                <w:top w:val="none" w:sz="0" w:space="0" w:color="auto"/>
                <w:left w:val="none" w:sz="0" w:space="0" w:color="auto"/>
                <w:bottom w:val="none" w:sz="0" w:space="0" w:color="auto"/>
                <w:right w:val="none" w:sz="0" w:space="0" w:color="auto"/>
              </w:divBdr>
            </w:div>
            <w:div w:id="1345471157">
              <w:marLeft w:val="0"/>
              <w:marRight w:val="0"/>
              <w:marTop w:val="0"/>
              <w:marBottom w:val="0"/>
              <w:divBdr>
                <w:top w:val="none" w:sz="0" w:space="0" w:color="auto"/>
                <w:left w:val="none" w:sz="0" w:space="0" w:color="auto"/>
                <w:bottom w:val="none" w:sz="0" w:space="0" w:color="auto"/>
                <w:right w:val="none" w:sz="0" w:space="0" w:color="auto"/>
              </w:divBdr>
            </w:div>
            <w:div w:id="1485001182">
              <w:marLeft w:val="0"/>
              <w:marRight w:val="0"/>
              <w:marTop w:val="0"/>
              <w:marBottom w:val="0"/>
              <w:divBdr>
                <w:top w:val="none" w:sz="0" w:space="0" w:color="auto"/>
                <w:left w:val="none" w:sz="0" w:space="0" w:color="auto"/>
                <w:bottom w:val="none" w:sz="0" w:space="0" w:color="auto"/>
                <w:right w:val="none" w:sz="0" w:space="0" w:color="auto"/>
              </w:divBdr>
            </w:div>
            <w:div w:id="1505433530">
              <w:marLeft w:val="0"/>
              <w:marRight w:val="0"/>
              <w:marTop w:val="0"/>
              <w:marBottom w:val="0"/>
              <w:divBdr>
                <w:top w:val="none" w:sz="0" w:space="0" w:color="auto"/>
                <w:left w:val="none" w:sz="0" w:space="0" w:color="auto"/>
                <w:bottom w:val="none" w:sz="0" w:space="0" w:color="auto"/>
                <w:right w:val="none" w:sz="0" w:space="0" w:color="auto"/>
              </w:divBdr>
            </w:div>
            <w:div w:id="1545865334">
              <w:marLeft w:val="0"/>
              <w:marRight w:val="0"/>
              <w:marTop w:val="0"/>
              <w:marBottom w:val="0"/>
              <w:divBdr>
                <w:top w:val="none" w:sz="0" w:space="0" w:color="auto"/>
                <w:left w:val="none" w:sz="0" w:space="0" w:color="auto"/>
                <w:bottom w:val="none" w:sz="0" w:space="0" w:color="auto"/>
                <w:right w:val="none" w:sz="0" w:space="0" w:color="auto"/>
              </w:divBdr>
            </w:div>
            <w:div w:id="1547136111">
              <w:marLeft w:val="0"/>
              <w:marRight w:val="0"/>
              <w:marTop w:val="0"/>
              <w:marBottom w:val="0"/>
              <w:divBdr>
                <w:top w:val="none" w:sz="0" w:space="0" w:color="auto"/>
                <w:left w:val="none" w:sz="0" w:space="0" w:color="auto"/>
                <w:bottom w:val="none" w:sz="0" w:space="0" w:color="auto"/>
                <w:right w:val="none" w:sz="0" w:space="0" w:color="auto"/>
              </w:divBdr>
            </w:div>
          </w:divsChild>
        </w:div>
        <w:div w:id="422844390">
          <w:marLeft w:val="0"/>
          <w:marRight w:val="0"/>
          <w:marTop w:val="0"/>
          <w:marBottom w:val="0"/>
          <w:divBdr>
            <w:top w:val="none" w:sz="0" w:space="0" w:color="auto"/>
            <w:left w:val="none" w:sz="0" w:space="0" w:color="auto"/>
            <w:bottom w:val="none" w:sz="0" w:space="0" w:color="auto"/>
            <w:right w:val="none" w:sz="0" w:space="0" w:color="auto"/>
          </w:divBdr>
        </w:div>
        <w:div w:id="894513543">
          <w:marLeft w:val="0"/>
          <w:marRight w:val="0"/>
          <w:marTop w:val="0"/>
          <w:marBottom w:val="0"/>
          <w:divBdr>
            <w:top w:val="none" w:sz="0" w:space="0" w:color="auto"/>
            <w:left w:val="none" w:sz="0" w:space="0" w:color="auto"/>
            <w:bottom w:val="none" w:sz="0" w:space="0" w:color="auto"/>
            <w:right w:val="none" w:sz="0" w:space="0" w:color="auto"/>
          </w:divBdr>
        </w:div>
        <w:div w:id="1237284863">
          <w:marLeft w:val="0"/>
          <w:marRight w:val="0"/>
          <w:marTop w:val="0"/>
          <w:marBottom w:val="0"/>
          <w:divBdr>
            <w:top w:val="none" w:sz="0" w:space="0" w:color="auto"/>
            <w:left w:val="none" w:sz="0" w:space="0" w:color="auto"/>
            <w:bottom w:val="none" w:sz="0" w:space="0" w:color="auto"/>
            <w:right w:val="none" w:sz="0" w:space="0" w:color="auto"/>
          </w:divBdr>
        </w:div>
        <w:div w:id="1743944580">
          <w:marLeft w:val="0"/>
          <w:marRight w:val="0"/>
          <w:marTop w:val="0"/>
          <w:marBottom w:val="0"/>
          <w:divBdr>
            <w:top w:val="none" w:sz="0" w:space="0" w:color="auto"/>
            <w:left w:val="none" w:sz="0" w:space="0" w:color="auto"/>
            <w:bottom w:val="none" w:sz="0" w:space="0" w:color="auto"/>
            <w:right w:val="none" w:sz="0" w:space="0" w:color="auto"/>
          </w:divBdr>
          <w:divsChild>
            <w:div w:id="2033067974">
              <w:marLeft w:val="-75"/>
              <w:marRight w:val="0"/>
              <w:marTop w:val="30"/>
              <w:marBottom w:val="30"/>
              <w:divBdr>
                <w:top w:val="none" w:sz="0" w:space="0" w:color="auto"/>
                <w:left w:val="none" w:sz="0" w:space="0" w:color="auto"/>
                <w:bottom w:val="none" w:sz="0" w:space="0" w:color="auto"/>
                <w:right w:val="none" w:sz="0" w:space="0" w:color="auto"/>
              </w:divBdr>
              <w:divsChild>
                <w:div w:id="4673525">
                  <w:marLeft w:val="0"/>
                  <w:marRight w:val="0"/>
                  <w:marTop w:val="0"/>
                  <w:marBottom w:val="0"/>
                  <w:divBdr>
                    <w:top w:val="none" w:sz="0" w:space="0" w:color="auto"/>
                    <w:left w:val="none" w:sz="0" w:space="0" w:color="auto"/>
                    <w:bottom w:val="none" w:sz="0" w:space="0" w:color="auto"/>
                    <w:right w:val="none" w:sz="0" w:space="0" w:color="auto"/>
                  </w:divBdr>
                  <w:divsChild>
                    <w:div w:id="1412505098">
                      <w:marLeft w:val="0"/>
                      <w:marRight w:val="0"/>
                      <w:marTop w:val="0"/>
                      <w:marBottom w:val="0"/>
                      <w:divBdr>
                        <w:top w:val="none" w:sz="0" w:space="0" w:color="auto"/>
                        <w:left w:val="none" w:sz="0" w:space="0" w:color="auto"/>
                        <w:bottom w:val="none" w:sz="0" w:space="0" w:color="auto"/>
                        <w:right w:val="none" w:sz="0" w:space="0" w:color="auto"/>
                      </w:divBdr>
                    </w:div>
                  </w:divsChild>
                </w:div>
                <w:div w:id="30689349">
                  <w:marLeft w:val="0"/>
                  <w:marRight w:val="0"/>
                  <w:marTop w:val="0"/>
                  <w:marBottom w:val="0"/>
                  <w:divBdr>
                    <w:top w:val="none" w:sz="0" w:space="0" w:color="auto"/>
                    <w:left w:val="none" w:sz="0" w:space="0" w:color="auto"/>
                    <w:bottom w:val="none" w:sz="0" w:space="0" w:color="auto"/>
                    <w:right w:val="none" w:sz="0" w:space="0" w:color="auto"/>
                  </w:divBdr>
                  <w:divsChild>
                    <w:div w:id="1637103633">
                      <w:marLeft w:val="0"/>
                      <w:marRight w:val="0"/>
                      <w:marTop w:val="0"/>
                      <w:marBottom w:val="0"/>
                      <w:divBdr>
                        <w:top w:val="none" w:sz="0" w:space="0" w:color="auto"/>
                        <w:left w:val="none" w:sz="0" w:space="0" w:color="auto"/>
                        <w:bottom w:val="none" w:sz="0" w:space="0" w:color="auto"/>
                        <w:right w:val="none" w:sz="0" w:space="0" w:color="auto"/>
                      </w:divBdr>
                    </w:div>
                  </w:divsChild>
                </w:div>
                <w:div w:id="50345848">
                  <w:marLeft w:val="0"/>
                  <w:marRight w:val="0"/>
                  <w:marTop w:val="0"/>
                  <w:marBottom w:val="0"/>
                  <w:divBdr>
                    <w:top w:val="none" w:sz="0" w:space="0" w:color="auto"/>
                    <w:left w:val="none" w:sz="0" w:space="0" w:color="auto"/>
                    <w:bottom w:val="none" w:sz="0" w:space="0" w:color="auto"/>
                    <w:right w:val="none" w:sz="0" w:space="0" w:color="auto"/>
                  </w:divBdr>
                  <w:divsChild>
                    <w:div w:id="1536503284">
                      <w:marLeft w:val="0"/>
                      <w:marRight w:val="0"/>
                      <w:marTop w:val="0"/>
                      <w:marBottom w:val="0"/>
                      <w:divBdr>
                        <w:top w:val="none" w:sz="0" w:space="0" w:color="auto"/>
                        <w:left w:val="none" w:sz="0" w:space="0" w:color="auto"/>
                        <w:bottom w:val="none" w:sz="0" w:space="0" w:color="auto"/>
                        <w:right w:val="none" w:sz="0" w:space="0" w:color="auto"/>
                      </w:divBdr>
                    </w:div>
                  </w:divsChild>
                </w:div>
                <w:div w:id="72898105">
                  <w:marLeft w:val="0"/>
                  <w:marRight w:val="0"/>
                  <w:marTop w:val="0"/>
                  <w:marBottom w:val="0"/>
                  <w:divBdr>
                    <w:top w:val="none" w:sz="0" w:space="0" w:color="auto"/>
                    <w:left w:val="none" w:sz="0" w:space="0" w:color="auto"/>
                    <w:bottom w:val="none" w:sz="0" w:space="0" w:color="auto"/>
                    <w:right w:val="none" w:sz="0" w:space="0" w:color="auto"/>
                  </w:divBdr>
                  <w:divsChild>
                    <w:div w:id="1189757943">
                      <w:marLeft w:val="0"/>
                      <w:marRight w:val="0"/>
                      <w:marTop w:val="0"/>
                      <w:marBottom w:val="0"/>
                      <w:divBdr>
                        <w:top w:val="none" w:sz="0" w:space="0" w:color="auto"/>
                        <w:left w:val="none" w:sz="0" w:space="0" w:color="auto"/>
                        <w:bottom w:val="none" w:sz="0" w:space="0" w:color="auto"/>
                        <w:right w:val="none" w:sz="0" w:space="0" w:color="auto"/>
                      </w:divBdr>
                    </w:div>
                  </w:divsChild>
                </w:div>
                <w:div w:id="76634444">
                  <w:marLeft w:val="0"/>
                  <w:marRight w:val="0"/>
                  <w:marTop w:val="0"/>
                  <w:marBottom w:val="0"/>
                  <w:divBdr>
                    <w:top w:val="none" w:sz="0" w:space="0" w:color="auto"/>
                    <w:left w:val="none" w:sz="0" w:space="0" w:color="auto"/>
                    <w:bottom w:val="none" w:sz="0" w:space="0" w:color="auto"/>
                    <w:right w:val="none" w:sz="0" w:space="0" w:color="auto"/>
                  </w:divBdr>
                  <w:divsChild>
                    <w:div w:id="1192916483">
                      <w:marLeft w:val="0"/>
                      <w:marRight w:val="0"/>
                      <w:marTop w:val="0"/>
                      <w:marBottom w:val="0"/>
                      <w:divBdr>
                        <w:top w:val="none" w:sz="0" w:space="0" w:color="auto"/>
                        <w:left w:val="none" w:sz="0" w:space="0" w:color="auto"/>
                        <w:bottom w:val="none" w:sz="0" w:space="0" w:color="auto"/>
                        <w:right w:val="none" w:sz="0" w:space="0" w:color="auto"/>
                      </w:divBdr>
                    </w:div>
                  </w:divsChild>
                </w:div>
                <w:div w:id="206836503">
                  <w:marLeft w:val="0"/>
                  <w:marRight w:val="0"/>
                  <w:marTop w:val="0"/>
                  <w:marBottom w:val="0"/>
                  <w:divBdr>
                    <w:top w:val="none" w:sz="0" w:space="0" w:color="auto"/>
                    <w:left w:val="none" w:sz="0" w:space="0" w:color="auto"/>
                    <w:bottom w:val="none" w:sz="0" w:space="0" w:color="auto"/>
                    <w:right w:val="none" w:sz="0" w:space="0" w:color="auto"/>
                  </w:divBdr>
                  <w:divsChild>
                    <w:div w:id="1043988931">
                      <w:marLeft w:val="0"/>
                      <w:marRight w:val="0"/>
                      <w:marTop w:val="0"/>
                      <w:marBottom w:val="0"/>
                      <w:divBdr>
                        <w:top w:val="none" w:sz="0" w:space="0" w:color="auto"/>
                        <w:left w:val="none" w:sz="0" w:space="0" w:color="auto"/>
                        <w:bottom w:val="none" w:sz="0" w:space="0" w:color="auto"/>
                        <w:right w:val="none" w:sz="0" w:space="0" w:color="auto"/>
                      </w:divBdr>
                    </w:div>
                  </w:divsChild>
                </w:div>
                <w:div w:id="238684071">
                  <w:marLeft w:val="0"/>
                  <w:marRight w:val="0"/>
                  <w:marTop w:val="0"/>
                  <w:marBottom w:val="0"/>
                  <w:divBdr>
                    <w:top w:val="none" w:sz="0" w:space="0" w:color="auto"/>
                    <w:left w:val="none" w:sz="0" w:space="0" w:color="auto"/>
                    <w:bottom w:val="none" w:sz="0" w:space="0" w:color="auto"/>
                    <w:right w:val="none" w:sz="0" w:space="0" w:color="auto"/>
                  </w:divBdr>
                  <w:divsChild>
                    <w:div w:id="1872067940">
                      <w:marLeft w:val="0"/>
                      <w:marRight w:val="0"/>
                      <w:marTop w:val="0"/>
                      <w:marBottom w:val="0"/>
                      <w:divBdr>
                        <w:top w:val="none" w:sz="0" w:space="0" w:color="auto"/>
                        <w:left w:val="none" w:sz="0" w:space="0" w:color="auto"/>
                        <w:bottom w:val="none" w:sz="0" w:space="0" w:color="auto"/>
                        <w:right w:val="none" w:sz="0" w:space="0" w:color="auto"/>
                      </w:divBdr>
                    </w:div>
                  </w:divsChild>
                </w:div>
                <w:div w:id="248739039">
                  <w:marLeft w:val="0"/>
                  <w:marRight w:val="0"/>
                  <w:marTop w:val="0"/>
                  <w:marBottom w:val="0"/>
                  <w:divBdr>
                    <w:top w:val="none" w:sz="0" w:space="0" w:color="auto"/>
                    <w:left w:val="none" w:sz="0" w:space="0" w:color="auto"/>
                    <w:bottom w:val="none" w:sz="0" w:space="0" w:color="auto"/>
                    <w:right w:val="none" w:sz="0" w:space="0" w:color="auto"/>
                  </w:divBdr>
                  <w:divsChild>
                    <w:div w:id="2086292175">
                      <w:marLeft w:val="0"/>
                      <w:marRight w:val="0"/>
                      <w:marTop w:val="0"/>
                      <w:marBottom w:val="0"/>
                      <w:divBdr>
                        <w:top w:val="none" w:sz="0" w:space="0" w:color="auto"/>
                        <w:left w:val="none" w:sz="0" w:space="0" w:color="auto"/>
                        <w:bottom w:val="none" w:sz="0" w:space="0" w:color="auto"/>
                        <w:right w:val="none" w:sz="0" w:space="0" w:color="auto"/>
                      </w:divBdr>
                    </w:div>
                  </w:divsChild>
                </w:div>
                <w:div w:id="310717753">
                  <w:marLeft w:val="0"/>
                  <w:marRight w:val="0"/>
                  <w:marTop w:val="0"/>
                  <w:marBottom w:val="0"/>
                  <w:divBdr>
                    <w:top w:val="none" w:sz="0" w:space="0" w:color="auto"/>
                    <w:left w:val="none" w:sz="0" w:space="0" w:color="auto"/>
                    <w:bottom w:val="none" w:sz="0" w:space="0" w:color="auto"/>
                    <w:right w:val="none" w:sz="0" w:space="0" w:color="auto"/>
                  </w:divBdr>
                  <w:divsChild>
                    <w:div w:id="246118969">
                      <w:marLeft w:val="0"/>
                      <w:marRight w:val="0"/>
                      <w:marTop w:val="0"/>
                      <w:marBottom w:val="0"/>
                      <w:divBdr>
                        <w:top w:val="none" w:sz="0" w:space="0" w:color="auto"/>
                        <w:left w:val="none" w:sz="0" w:space="0" w:color="auto"/>
                        <w:bottom w:val="none" w:sz="0" w:space="0" w:color="auto"/>
                        <w:right w:val="none" w:sz="0" w:space="0" w:color="auto"/>
                      </w:divBdr>
                    </w:div>
                    <w:div w:id="1570768249">
                      <w:marLeft w:val="0"/>
                      <w:marRight w:val="0"/>
                      <w:marTop w:val="0"/>
                      <w:marBottom w:val="0"/>
                      <w:divBdr>
                        <w:top w:val="none" w:sz="0" w:space="0" w:color="auto"/>
                        <w:left w:val="none" w:sz="0" w:space="0" w:color="auto"/>
                        <w:bottom w:val="none" w:sz="0" w:space="0" w:color="auto"/>
                        <w:right w:val="none" w:sz="0" w:space="0" w:color="auto"/>
                      </w:divBdr>
                    </w:div>
                  </w:divsChild>
                </w:div>
                <w:div w:id="337123692">
                  <w:marLeft w:val="0"/>
                  <w:marRight w:val="0"/>
                  <w:marTop w:val="0"/>
                  <w:marBottom w:val="0"/>
                  <w:divBdr>
                    <w:top w:val="none" w:sz="0" w:space="0" w:color="auto"/>
                    <w:left w:val="none" w:sz="0" w:space="0" w:color="auto"/>
                    <w:bottom w:val="none" w:sz="0" w:space="0" w:color="auto"/>
                    <w:right w:val="none" w:sz="0" w:space="0" w:color="auto"/>
                  </w:divBdr>
                  <w:divsChild>
                    <w:div w:id="1233613859">
                      <w:marLeft w:val="0"/>
                      <w:marRight w:val="0"/>
                      <w:marTop w:val="0"/>
                      <w:marBottom w:val="0"/>
                      <w:divBdr>
                        <w:top w:val="none" w:sz="0" w:space="0" w:color="auto"/>
                        <w:left w:val="none" w:sz="0" w:space="0" w:color="auto"/>
                        <w:bottom w:val="none" w:sz="0" w:space="0" w:color="auto"/>
                        <w:right w:val="none" w:sz="0" w:space="0" w:color="auto"/>
                      </w:divBdr>
                    </w:div>
                  </w:divsChild>
                </w:div>
                <w:div w:id="355927810">
                  <w:marLeft w:val="0"/>
                  <w:marRight w:val="0"/>
                  <w:marTop w:val="0"/>
                  <w:marBottom w:val="0"/>
                  <w:divBdr>
                    <w:top w:val="none" w:sz="0" w:space="0" w:color="auto"/>
                    <w:left w:val="none" w:sz="0" w:space="0" w:color="auto"/>
                    <w:bottom w:val="none" w:sz="0" w:space="0" w:color="auto"/>
                    <w:right w:val="none" w:sz="0" w:space="0" w:color="auto"/>
                  </w:divBdr>
                  <w:divsChild>
                    <w:div w:id="1127357566">
                      <w:marLeft w:val="0"/>
                      <w:marRight w:val="0"/>
                      <w:marTop w:val="0"/>
                      <w:marBottom w:val="0"/>
                      <w:divBdr>
                        <w:top w:val="none" w:sz="0" w:space="0" w:color="auto"/>
                        <w:left w:val="none" w:sz="0" w:space="0" w:color="auto"/>
                        <w:bottom w:val="none" w:sz="0" w:space="0" w:color="auto"/>
                        <w:right w:val="none" w:sz="0" w:space="0" w:color="auto"/>
                      </w:divBdr>
                    </w:div>
                  </w:divsChild>
                </w:div>
                <w:div w:id="513883392">
                  <w:marLeft w:val="0"/>
                  <w:marRight w:val="0"/>
                  <w:marTop w:val="0"/>
                  <w:marBottom w:val="0"/>
                  <w:divBdr>
                    <w:top w:val="none" w:sz="0" w:space="0" w:color="auto"/>
                    <w:left w:val="none" w:sz="0" w:space="0" w:color="auto"/>
                    <w:bottom w:val="none" w:sz="0" w:space="0" w:color="auto"/>
                    <w:right w:val="none" w:sz="0" w:space="0" w:color="auto"/>
                  </w:divBdr>
                  <w:divsChild>
                    <w:div w:id="1475487457">
                      <w:marLeft w:val="0"/>
                      <w:marRight w:val="0"/>
                      <w:marTop w:val="0"/>
                      <w:marBottom w:val="0"/>
                      <w:divBdr>
                        <w:top w:val="none" w:sz="0" w:space="0" w:color="auto"/>
                        <w:left w:val="none" w:sz="0" w:space="0" w:color="auto"/>
                        <w:bottom w:val="none" w:sz="0" w:space="0" w:color="auto"/>
                        <w:right w:val="none" w:sz="0" w:space="0" w:color="auto"/>
                      </w:divBdr>
                    </w:div>
                  </w:divsChild>
                </w:div>
                <w:div w:id="563957629">
                  <w:marLeft w:val="0"/>
                  <w:marRight w:val="0"/>
                  <w:marTop w:val="0"/>
                  <w:marBottom w:val="0"/>
                  <w:divBdr>
                    <w:top w:val="none" w:sz="0" w:space="0" w:color="auto"/>
                    <w:left w:val="none" w:sz="0" w:space="0" w:color="auto"/>
                    <w:bottom w:val="none" w:sz="0" w:space="0" w:color="auto"/>
                    <w:right w:val="none" w:sz="0" w:space="0" w:color="auto"/>
                  </w:divBdr>
                  <w:divsChild>
                    <w:div w:id="580335010">
                      <w:marLeft w:val="0"/>
                      <w:marRight w:val="0"/>
                      <w:marTop w:val="0"/>
                      <w:marBottom w:val="0"/>
                      <w:divBdr>
                        <w:top w:val="none" w:sz="0" w:space="0" w:color="auto"/>
                        <w:left w:val="none" w:sz="0" w:space="0" w:color="auto"/>
                        <w:bottom w:val="none" w:sz="0" w:space="0" w:color="auto"/>
                        <w:right w:val="none" w:sz="0" w:space="0" w:color="auto"/>
                      </w:divBdr>
                    </w:div>
                  </w:divsChild>
                </w:div>
                <w:div w:id="574898661">
                  <w:marLeft w:val="0"/>
                  <w:marRight w:val="0"/>
                  <w:marTop w:val="0"/>
                  <w:marBottom w:val="0"/>
                  <w:divBdr>
                    <w:top w:val="none" w:sz="0" w:space="0" w:color="auto"/>
                    <w:left w:val="none" w:sz="0" w:space="0" w:color="auto"/>
                    <w:bottom w:val="none" w:sz="0" w:space="0" w:color="auto"/>
                    <w:right w:val="none" w:sz="0" w:space="0" w:color="auto"/>
                  </w:divBdr>
                  <w:divsChild>
                    <w:div w:id="2021467169">
                      <w:marLeft w:val="0"/>
                      <w:marRight w:val="0"/>
                      <w:marTop w:val="0"/>
                      <w:marBottom w:val="0"/>
                      <w:divBdr>
                        <w:top w:val="none" w:sz="0" w:space="0" w:color="auto"/>
                        <w:left w:val="none" w:sz="0" w:space="0" w:color="auto"/>
                        <w:bottom w:val="none" w:sz="0" w:space="0" w:color="auto"/>
                        <w:right w:val="none" w:sz="0" w:space="0" w:color="auto"/>
                      </w:divBdr>
                    </w:div>
                  </w:divsChild>
                </w:div>
                <w:div w:id="612513294">
                  <w:marLeft w:val="0"/>
                  <w:marRight w:val="0"/>
                  <w:marTop w:val="0"/>
                  <w:marBottom w:val="0"/>
                  <w:divBdr>
                    <w:top w:val="none" w:sz="0" w:space="0" w:color="auto"/>
                    <w:left w:val="none" w:sz="0" w:space="0" w:color="auto"/>
                    <w:bottom w:val="none" w:sz="0" w:space="0" w:color="auto"/>
                    <w:right w:val="none" w:sz="0" w:space="0" w:color="auto"/>
                  </w:divBdr>
                  <w:divsChild>
                    <w:div w:id="2095583821">
                      <w:marLeft w:val="0"/>
                      <w:marRight w:val="0"/>
                      <w:marTop w:val="0"/>
                      <w:marBottom w:val="0"/>
                      <w:divBdr>
                        <w:top w:val="none" w:sz="0" w:space="0" w:color="auto"/>
                        <w:left w:val="none" w:sz="0" w:space="0" w:color="auto"/>
                        <w:bottom w:val="none" w:sz="0" w:space="0" w:color="auto"/>
                        <w:right w:val="none" w:sz="0" w:space="0" w:color="auto"/>
                      </w:divBdr>
                    </w:div>
                  </w:divsChild>
                </w:div>
                <w:div w:id="645086891">
                  <w:marLeft w:val="0"/>
                  <w:marRight w:val="0"/>
                  <w:marTop w:val="0"/>
                  <w:marBottom w:val="0"/>
                  <w:divBdr>
                    <w:top w:val="none" w:sz="0" w:space="0" w:color="auto"/>
                    <w:left w:val="none" w:sz="0" w:space="0" w:color="auto"/>
                    <w:bottom w:val="none" w:sz="0" w:space="0" w:color="auto"/>
                    <w:right w:val="none" w:sz="0" w:space="0" w:color="auto"/>
                  </w:divBdr>
                  <w:divsChild>
                    <w:div w:id="1346446273">
                      <w:marLeft w:val="0"/>
                      <w:marRight w:val="0"/>
                      <w:marTop w:val="0"/>
                      <w:marBottom w:val="0"/>
                      <w:divBdr>
                        <w:top w:val="none" w:sz="0" w:space="0" w:color="auto"/>
                        <w:left w:val="none" w:sz="0" w:space="0" w:color="auto"/>
                        <w:bottom w:val="none" w:sz="0" w:space="0" w:color="auto"/>
                        <w:right w:val="none" w:sz="0" w:space="0" w:color="auto"/>
                      </w:divBdr>
                    </w:div>
                  </w:divsChild>
                </w:div>
                <w:div w:id="753403516">
                  <w:marLeft w:val="0"/>
                  <w:marRight w:val="0"/>
                  <w:marTop w:val="0"/>
                  <w:marBottom w:val="0"/>
                  <w:divBdr>
                    <w:top w:val="none" w:sz="0" w:space="0" w:color="auto"/>
                    <w:left w:val="none" w:sz="0" w:space="0" w:color="auto"/>
                    <w:bottom w:val="none" w:sz="0" w:space="0" w:color="auto"/>
                    <w:right w:val="none" w:sz="0" w:space="0" w:color="auto"/>
                  </w:divBdr>
                  <w:divsChild>
                    <w:div w:id="1705787704">
                      <w:marLeft w:val="0"/>
                      <w:marRight w:val="0"/>
                      <w:marTop w:val="0"/>
                      <w:marBottom w:val="0"/>
                      <w:divBdr>
                        <w:top w:val="none" w:sz="0" w:space="0" w:color="auto"/>
                        <w:left w:val="none" w:sz="0" w:space="0" w:color="auto"/>
                        <w:bottom w:val="none" w:sz="0" w:space="0" w:color="auto"/>
                        <w:right w:val="none" w:sz="0" w:space="0" w:color="auto"/>
                      </w:divBdr>
                    </w:div>
                  </w:divsChild>
                </w:div>
                <w:div w:id="776289515">
                  <w:marLeft w:val="0"/>
                  <w:marRight w:val="0"/>
                  <w:marTop w:val="0"/>
                  <w:marBottom w:val="0"/>
                  <w:divBdr>
                    <w:top w:val="none" w:sz="0" w:space="0" w:color="auto"/>
                    <w:left w:val="none" w:sz="0" w:space="0" w:color="auto"/>
                    <w:bottom w:val="none" w:sz="0" w:space="0" w:color="auto"/>
                    <w:right w:val="none" w:sz="0" w:space="0" w:color="auto"/>
                  </w:divBdr>
                  <w:divsChild>
                    <w:div w:id="440877045">
                      <w:marLeft w:val="0"/>
                      <w:marRight w:val="0"/>
                      <w:marTop w:val="0"/>
                      <w:marBottom w:val="0"/>
                      <w:divBdr>
                        <w:top w:val="none" w:sz="0" w:space="0" w:color="auto"/>
                        <w:left w:val="none" w:sz="0" w:space="0" w:color="auto"/>
                        <w:bottom w:val="none" w:sz="0" w:space="0" w:color="auto"/>
                        <w:right w:val="none" w:sz="0" w:space="0" w:color="auto"/>
                      </w:divBdr>
                    </w:div>
                  </w:divsChild>
                </w:div>
                <w:div w:id="814681031">
                  <w:marLeft w:val="0"/>
                  <w:marRight w:val="0"/>
                  <w:marTop w:val="0"/>
                  <w:marBottom w:val="0"/>
                  <w:divBdr>
                    <w:top w:val="none" w:sz="0" w:space="0" w:color="auto"/>
                    <w:left w:val="none" w:sz="0" w:space="0" w:color="auto"/>
                    <w:bottom w:val="none" w:sz="0" w:space="0" w:color="auto"/>
                    <w:right w:val="none" w:sz="0" w:space="0" w:color="auto"/>
                  </w:divBdr>
                  <w:divsChild>
                    <w:div w:id="681081819">
                      <w:marLeft w:val="0"/>
                      <w:marRight w:val="0"/>
                      <w:marTop w:val="0"/>
                      <w:marBottom w:val="0"/>
                      <w:divBdr>
                        <w:top w:val="none" w:sz="0" w:space="0" w:color="auto"/>
                        <w:left w:val="none" w:sz="0" w:space="0" w:color="auto"/>
                        <w:bottom w:val="none" w:sz="0" w:space="0" w:color="auto"/>
                        <w:right w:val="none" w:sz="0" w:space="0" w:color="auto"/>
                      </w:divBdr>
                    </w:div>
                  </w:divsChild>
                </w:div>
                <w:div w:id="822307936">
                  <w:marLeft w:val="0"/>
                  <w:marRight w:val="0"/>
                  <w:marTop w:val="0"/>
                  <w:marBottom w:val="0"/>
                  <w:divBdr>
                    <w:top w:val="none" w:sz="0" w:space="0" w:color="auto"/>
                    <w:left w:val="none" w:sz="0" w:space="0" w:color="auto"/>
                    <w:bottom w:val="none" w:sz="0" w:space="0" w:color="auto"/>
                    <w:right w:val="none" w:sz="0" w:space="0" w:color="auto"/>
                  </w:divBdr>
                  <w:divsChild>
                    <w:div w:id="378668614">
                      <w:marLeft w:val="0"/>
                      <w:marRight w:val="0"/>
                      <w:marTop w:val="0"/>
                      <w:marBottom w:val="0"/>
                      <w:divBdr>
                        <w:top w:val="none" w:sz="0" w:space="0" w:color="auto"/>
                        <w:left w:val="none" w:sz="0" w:space="0" w:color="auto"/>
                        <w:bottom w:val="none" w:sz="0" w:space="0" w:color="auto"/>
                        <w:right w:val="none" w:sz="0" w:space="0" w:color="auto"/>
                      </w:divBdr>
                    </w:div>
                  </w:divsChild>
                </w:div>
                <w:div w:id="1010107650">
                  <w:marLeft w:val="0"/>
                  <w:marRight w:val="0"/>
                  <w:marTop w:val="0"/>
                  <w:marBottom w:val="0"/>
                  <w:divBdr>
                    <w:top w:val="none" w:sz="0" w:space="0" w:color="auto"/>
                    <w:left w:val="none" w:sz="0" w:space="0" w:color="auto"/>
                    <w:bottom w:val="none" w:sz="0" w:space="0" w:color="auto"/>
                    <w:right w:val="none" w:sz="0" w:space="0" w:color="auto"/>
                  </w:divBdr>
                  <w:divsChild>
                    <w:div w:id="328405525">
                      <w:marLeft w:val="0"/>
                      <w:marRight w:val="0"/>
                      <w:marTop w:val="0"/>
                      <w:marBottom w:val="0"/>
                      <w:divBdr>
                        <w:top w:val="none" w:sz="0" w:space="0" w:color="auto"/>
                        <w:left w:val="none" w:sz="0" w:space="0" w:color="auto"/>
                        <w:bottom w:val="none" w:sz="0" w:space="0" w:color="auto"/>
                        <w:right w:val="none" w:sz="0" w:space="0" w:color="auto"/>
                      </w:divBdr>
                    </w:div>
                  </w:divsChild>
                </w:div>
                <w:div w:id="1101533708">
                  <w:marLeft w:val="0"/>
                  <w:marRight w:val="0"/>
                  <w:marTop w:val="0"/>
                  <w:marBottom w:val="0"/>
                  <w:divBdr>
                    <w:top w:val="none" w:sz="0" w:space="0" w:color="auto"/>
                    <w:left w:val="none" w:sz="0" w:space="0" w:color="auto"/>
                    <w:bottom w:val="none" w:sz="0" w:space="0" w:color="auto"/>
                    <w:right w:val="none" w:sz="0" w:space="0" w:color="auto"/>
                  </w:divBdr>
                  <w:divsChild>
                    <w:div w:id="642932277">
                      <w:marLeft w:val="0"/>
                      <w:marRight w:val="0"/>
                      <w:marTop w:val="0"/>
                      <w:marBottom w:val="0"/>
                      <w:divBdr>
                        <w:top w:val="none" w:sz="0" w:space="0" w:color="auto"/>
                        <w:left w:val="none" w:sz="0" w:space="0" w:color="auto"/>
                        <w:bottom w:val="none" w:sz="0" w:space="0" w:color="auto"/>
                        <w:right w:val="none" w:sz="0" w:space="0" w:color="auto"/>
                      </w:divBdr>
                    </w:div>
                  </w:divsChild>
                </w:div>
                <w:div w:id="1110469947">
                  <w:marLeft w:val="0"/>
                  <w:marRight w:val="0"/>
                  <w:marTop w:val="0"/>
                  <w:marBottom w:val="0"/>
                  <w:divBdr>
                    <w:top w:val="none" w:sz="0" w:space="0" w:color="auto"/>
                    <w:left w:val="none" w:sz="0" w:space="0" w:color="auto"/>
                    <w:bottom w:val="none" w:sz="0" w:space="0" w:color="auto"/>
                    <w:right w:val="none" w:sz="0" w:space="0" w:color="auto"/>
                  </w:divBdr>
                  <w:divsChild>
                    <w:div w:id="1908221556">
                      <w:marLeft w:val="0"/>
                      <w:marRight w:val="0"/>
                      <w:marTop w:val="0"/>
                      <w:marBottom w:val="0"/>
                      <w:divBdr>
                        <w:top w:val="none" w:sz="0" w:space="0" w:color="auto"/>
                        <w:left w:val="none" w:sz="0" w:space="0" w:color="auto"/>
                        <w:bottom w:val="none" w:sz="0" w:space="0" w:color="auto"/>
                        <w:right w:val="none" w:sz="0" w:space="0" w:color="auto"/>
                      </w:divBdr>
                    </w:div>
                  </w:divsChild>
                </w:div>
                <w:div w:id="1156262947">
                  <w:marLeft w:val="0"/>
                  <w:marRight w:val="0"/>
                  <w:marTop w:val="0"/>
                  <w:marBottom w:val="0"/>
                  <w:divBdr>
                    <w:top w:val="none" w:sz="0" w:space="0" w:color="auto"/>
                    <w:left w:val="none" w:sz="0" w:space="0" w:color="auto"/>
                    <w:bottom w:val="none" w:sz="0" w:space="0" w:color="auto"/>
                    <w:right w:val="none" w:sz="0" w:space="0" w:color="auto"/>
                  </w:divBdr>
                  <w:divsChild>
                    <w:div w:id="1378969085">
                      <w:marLeft w:val="0"/>
                      <w:marRight w:val="0"/>
                      <w:marTop w:val="0"/>
                      <w:marBottom w:val="0"/>
                      <w:divBdr>
                        <w:top w:val="none" w:sz="0" w:space="0" w:color="auto"/>
                        <w:left w:val="none" w:sz="0" w:space="0" w:color="auto"/>
                        <w:bottom w:val="none" w:sz="0" w:space="0" w:color="auto"/>
                        <w:right w:val="none" w:sz="0" w:space="0" w:color="auto"/>
                      </w:divBdr>
                    </w:div>
                  </w:divsChild>
                </w:div>
                <w:div w:id="1260797462">
                  <w:marLeft w:val="0"/>
                  <w:marRight w:val="0"/>
                  <w:marTop w:val="0"/>
                  <w:marBottom w:val="0"/>
                  <w:divBdr>
                    <w:top w:val="none" w:sz="0" w:space="0" w:color="auto"/>
                    <w:left w:val="none" w:sz="0" w:space="0" w:color="auto"/>
                    <w:bottom w:val="none" w:sz="0" w:space="0" w:color="auto"/>
                    <w:right w:val="none" w:sz="0" w:space="0" w:color="auto"/>
                  </w:divBdr>
                  <w:divsChild>
                    <w:div w:id="693725567">
                      <w:marLeft w:val="0"/>
                      <w:marRight w:val="0"/>
                      <w:marTop w:val="0"/>
                      <w:marBottom w:val="0"/>
                      <w:divBdr>
                        <w:top w:val="none" w:sz="0" w:space="0" w:color="auto"/>
                        <w:left w:val="none" w:sz="0" w:space="0" w:color="auto"/>
                        <w:bottom w:val="none" w:sz="0" w:space="0" w:color="auto"/>
                        <w:right w:val="none" w:sz="0" w:space="0" w:color="auto"/>
                      </w:divBdr>
                    </w:div>
                  </w:divsChild>
                </w:div>
                <w:div w:id="1353534216">
                  <w:marLeft w:val="0"/>
                  <w:marRight w:val="0"/>
                  <w:marTop w:val="0"/>
                  <w:marBottom w:val="0"/>
                  <w:divBdr>
                    <w:top w:val="none" w:sz="0" w:space="0" w:color="auto"/>
                    <w:left w:val="none" w:sz="0" w:space="0" w:color="auto"/>
                    <w:bottom w:val="none" w:sz="0" w:space="0" w:color="auto"/>
                    <w:right w:val="none" w:sz="0" w:space="0" w:color="auto"/>
                  </w:divBdr>
                  <w:divsChild>
                    <w:div w:id="602998870">
                      <w:marLeft w:val="0"/>
                      <w:marRight w:val="0"/>
                      <w:marTop w:val="0"/>
                      <w:marBottom w:val="0"/>
                      <w:divBdr>
                        <w:top w:val="none" w:sz="0" w:space="0" w:color="auto"/>
                        <w:left w:val="none" w:sz="0" w:space="0" w:color="auto"/>
                        <w:bottom w:val="none" w:sz="0" w:space="0" w:color="auto"/>
                        <w:right w:val="none" w:sz="0" w:space="0" w:color="auto"/>
                      </w:divBdr>
                    </w:div>
                  </w:divsChild>
                </w:div>
                <w:div w:id="1390837057">
                  <w:marLeft w:val="0"/>
                  <w:marRight w:val="0"/>
                  <w:marTop w:val="0"/>
                  <w:marBottom w:val="0"/>
                  <w:divBdr>
                    <w:top w:val="none" w:sz="0" w:space="0" w:color="auto"/>
                    <w:left w:val="none" w:sz="0" w:space="0" w:color="auto"/>
                    <w:bottom w:val="none" w:sz="0" w:space="0" w:color="auto"/>
                    <w:right w:val="none" w:sz="0" w:space="0" w:color="auto"/>
                  </w:divBdr>
                  <w:divsChild>
                    <w:div w:id="1454322817">
                      <w:marLeft w:val="0"/>
                      <w:marRight w:val="0"/>
                      <w:marTop w:val="0"/>
                      <w:marBottom w:val="0"/>
                      <w:divBdr>
                        <w:top w:val="none" w:sz="0" w:space="0" w:color="auto"/>
                        <w:left w:val="none" w:sz="0" w:space="0" w:color="auto"/>
                        <w:bottom w:val="none" w:sz="0" w:space="0" w:color="auto"/>
                        <w:right w:val="none" w:sz="0" w:space="0" w:color="auto"/>
                      </w:divBdr>
                    </w:div>
                  </w:divsChild>
                </w:div>
                <w:div w:id="1577403158">
                  <w:marLeft w:val="0"/>
                  <w:marRight w:val="0"/>
                  <w:marTop w:val="0"/>
                  <w:marBottom w:val="0"/>
                  <w:divBdr>
                    <w:top w:val="none" w:sz="0" w:space="0" w:color="auto"/>
                    <w:left w:val="none" w:sz="0" w:space="0" w:color="auto"/>
                    <w:bottom w:val="none" w:sz="0" w:space="0" w:color="auto"/>
                    <w:right w:val="none" w:sz="0" w:space="0" w:color="auto"/>
                  </w:divBdr>
                  <w:divsChild>
                    <w:div w:id="414716318">
                      <w:marLeft w:val="0"/>
                      <w:marRight w:val="0"/>
                      <w:marTop w:val="0"/>
                      <w:marBottom w:val="0"/>
                      <w:divBdr>
                        <w:top w:val="none" w:sz="0" w:space="0" w:color="auto"/>
                        <w:left w:val="none" w:sz="0" w:space="0" w:color="auto"/>
                        <w:bottom w:val="none" w:sz="0" w:space="0" w:color="auto"/>
                        <w:right w:val="none" w:sz="0" w:space="0" w:color="auto"/>
                      </w:divBdr>
                    </w:div>
                  </w:divsChild>
                </w:div>
                <w:div w:id="1611470791">
                  <w:marLeft w:val="0"/>
                  <w:marRight w:val="0"/>
                  <w:marTop w:val="0"/>
                  <w:marBottom w:val="0"/>
                  <w:divBdr>
                    <w:top w:val="none" w:sz="0" w:space="0" w:color="auto"/>
                    <w:left w:val="none" w:sz="0" w:space="0" w:color="auto"/>
                    <w:bottom w:val="none" w:sz="0" w:space="0" w:color="auto"/>
                    <w:right w:val="none" w:sz="0" w:space="0" w:color="auto"/>
                  </w:divBdr>
                  <w:divsChild>
                    <w:div w:id="737173680">
                      <w:marLeft w:val="0"/>
                      <w:marRight w:val="0"/>
                      <w:marTop w:val="0"/>
                      <w:marBottom w:val="0"/>
                      <w:divBdr>
                        <w:top w:val="none" w:sz="0" w:space="0" w:color="auto"/>
                        <w:left w:val="none" w:sz="0" w:space="0" w:color="auto"/>
                        <w:bottom w:val="none" w:sz="0" w:space="0" w:color="auto"/>
                        <w:right w:val="none" w:sz="0" w:space="0" w:color="auto"/>
                      </w:divBdr>
                    </w:div>
                  </w:divsChild>
                </w:div>
                <w:div w:id="1629432009">
                  <w:marLeft w:val="0"/>
                  <w:marRight w:val="0"/>
                  <w:marTop w:val="0"/>
                  <w:marBottom w:val="0"/>
                  <w:divBdr>
                    <w:top w:val="none" w:sz="0" w:space="0" w:color="auto"/>
                    <w:left w:val="none" w:sz="0" w:space="0" w:color="auto"/>
                    <w:bottom w:val="none" w:sz="0" w:space="0" w:color="auto"/>
                    <w:right w:val="none" w:sz="0" w:space="0" w:color="auto"/>
                  </w:divBdr>
                  <w:divsChild>
                    <w:div w:id="2146314652">
                      <w:marLeft w:val="0"/>
                      <w:marRight w:val="0"/>
                      <w:marTop w:val="0"/>
                      <w:marBottom w:val="0"/>
                      <w:divBdr>
                        <w:top w:val="none" w:sz="0" w:space="0" w:color="auto"/>
                        <w:left w:val="none" w:sz="0" w:space="0" w:color="auto"/>
                        <w:bottom w:val="none" w:sz="0" w:space="0" w:color="auto"/>
                        <w:right w:val="none" w:sz="0" w:space="0" w:color="auto"/>
                      </w:divBdr>
                    </w:div>
                  </w:divsChild>
                </w:div>
                <w:div w:id="1697534948">
                  <w:marLeft w:val="0"/>
                  <w:marRight w:val="0"/>
                  <w:marTop w:val="0"/>
                  <w:marBottom w:val="0"/>
                  <w:divBdr>
                    <w:top w:val="none" w:sz="0" w:space="0" w:color="auto"/>
                    <w:left w:val="none" w:sz="0" w:space="0" w:color="auto"/>
                    <w:bottom w:val="none" w:sz="0" w:space="0" w:color="auto"/>
                    <w:right w:val="none" w:sz="0" w:space="0" w:color="auto"/>
                  </w:divBdr>
                  <w:divsChild>
                    <w:div w:id="439682928">
                      <w:marLeft w:val="0"/>
                      <w:marRight w:val="0"/>
                      <w:marTop w:val="0"/>
                      <w:marBottom w:val="0"/>
                      <w:divBdr>
                        <w:top w:val="none" w:sz="0" w:space="0" w:color="auto"/>
                        <w:left w:val="none" w:sz="0" w:space="0" w:color="auto"/>
                        <w:bottom w:val="none" w:sz="0" w:space="0" w:color="auto"/>
                        <w:right w:val="none" w:sz="0" w:space="0" w:color="auto"/>
                      </w:divBdr>
                    </w:div>
                  </w:divsChild>
                </w:div>
                <w:div w:id="1720742334">
                  <w:marLeft w:val="0"/>
                  <w:marRight w:val="0"/>
                  <w:marTop w:val="0"/>
                  <w:marBottom w:val="0"/>
                  <w:divBdr>
                    <w:top w:val="none" w:sz="0" w:space="0" w:color="auto"/>
                    <w:left w:val="none" w:sz="0" w:space="0" w:color="auto"/>
                    <w:bottom w:val="none" w:sz="0" w:space="0" w:color="auto"/>
                    <w:right w:val="none" w:sz="0" w:space="0" w:color="auto"/>
                  </w:divBdr>
                  <w:divsChild>
                    <w:div w:id="784546372">
                      <w:marLeft w:val="0"/>
                      <w:marRight w:val="0"/>
                      <w:marTop w:val="0"/>
                      <w:marBottom w:val="0"/>
                      <w:divBdr>
                        <w:top w:val="none" w:sz="0" w:space="0" w:color="auto"/>
                        <w:left w:val="none" w:sz="0" w:space="0" w:color="auto"/>
                        <w:bottom w:val="none" w:sz="0" w:space="0" w:color="auto"/>
                        <w:right w:val="none" w:sz="0" w:space="0" w:color="auto"/>
                      </w:divBdr>
                    </w:div>
                  </w:divsChild>
                </w:div>
                <w:div w:id="1730424366">
                  <w:marLeft w:val="0"/>
                  <w:marRight w:val="0"/>
                  <w:marTop w:val="0"/>
                  <w:marBottom w:val="0"/>
                  <w:divBdr>
                    <w:top w:val="none" w:sz="0" w:space="0" w:color="auto"/>
                    <w:left w:val="none" w:sz="0" w:space="0" w:color="auto"/>
                    <w:bottom w:val="none" w:sz="0" w:space="0" w:color="auto"/>
                    <w:right w:val="none" w:sz="0" w:space="0" w:color="auto"/>
                  </w:divBdr>
                  <w:divsChild>
                    <w:div w:id="1300569586">
                      <w:marLeft w:val="0"/>
                      <w:marRight w:val="0"/>
                      <w:marTop w:val="0"/>
                      <w:marBottom w:val="0"/>
                      <w:divBdr>
                        <w:top w:val="none" w:sz="0" w:space="0" w:color="auto"/>
                        <w:left w:val="none" w:sz="0" w:space="0" w:color="auto"/>
                        <w:bottom w:val="none" w:sz="0" w:space="0" w:color="auto"/>
                        <w:right w:val="none" w:sz="0" w:space="0" w:color="auto"/>
                      </w:divBdr>
                    </w:div>
                  </w:divsChild>
                </w:div>
                <w:div w:id="1845126641">
                  <w:marLeft w:val="0"/>
                  <w:marRight w:val="0"/>
                  <w:marTop w:val="0"/>
                  <w:marBottom w:val="0"/>
                  <w:divBdr>
                    <w:top w:val="none" w:sz="0" w:space="0" w:color="auto"/>
                    <w:left w:val="none" w:sz="0" w:space="0" w:color="auto"/>
                    <w:bottom w:val="none" w:sz="0" w:space="0" w:color="auto"/>
                    <w:right w:val="none" w:sz="0" w:space="0" w:color="auto"/>
                  </w:divBdr>
                  <w:divsChild>
                    <w:div w:id="417606502">
                      <w:marLeft w:val="0"/>
                      <w:marRight w:val="0"/>
                      <w:marTop w:val="0"/>
                      <w:marBottom w:val="0"/>
                      <w:divBdr>
                        <w:top w:val="none" w:sz="0" w:space="0" w:color="auto"/>
                        <w:left w:val="none" w:sz="0" w:space="0" w:color="auto"/>
                        <w:bottom w:val="none" w:sz="0" w:space="0" w:color="auto"/>
                        <w:right w:val="none" w:sz="0" w:space="0" w:color="auto"/>
                      </w:divBdr>
                    </w:div>
                  </w:divsChild>
                </w:div>
                <w:div w:id="1851337506">
                  <w:marLeft w:val="0"/>
                  <w:marRight w:val="0"/>
                  <w:marTop w:val="0"/>
                  <w:marBottom w:val="0"/>
                  <w:divBdr>
                    <w:top w:val="none" w:sz="0" w:space="0" w:color="auto"/>
                    <w:left w:val="none" w:sz="0" w:space="0" w:color="auto"/>
                    <w:bottom w:val="none" w:sz="0" w:space="0" w:color="auto"/>
                    <w:right w:val="none" w:sz="0" w:space="0" w:color="auto"/>
                  </w:divBdr>
                  <w:divsChild>
                    <w:div w:id="80570572">
                      <w:marLeft w:val="0"/>
                      <w:marRight w:val="0"/>
                      <w:marTop w:val="0"/>
                      <w:marBottom w:val="0"/>
                      <w:divBdr>
                        <w:top w:val="none" w:sz="0" w:space="0" w:color="auto"/>
                        <w:left w:val="none" w:sz="0" w:space="0" w:color="auto"/>
                        <w:bottom w:val="none" w:sz="0" w:space="0" w:color="auto"/>
                        <w:right w:val="none" w:sz="0" w:space="0" w:color="auto"/>
                      </w:divBdr>
                    </w:div>
                  </w:divsChild>
                </w:div>
                <w:div w:id="1936010282">
                  <w:marLeft w:val="0"/>
                  <w:marRight w:val="0"/>
                  <w:marTop w:val="0"/>
                  <w:marBottom w:val="0"/>
                  <w:divBdr>
                    <w:top w:val="none" w:sz="0" w:space="0" w:color="auto"/>
                    <w:left w:val="none" w:sz="0" w:space="0" w:color="auto"/>
                    <w:bottom w:val="none" w:sz="0" w:space="0" w:color="auto"/>
                    <w:right w:val="none" w:sz="0" w:space="0" w:color="auto"/>
                  </w:divBdr>
                  <w:divsChild>
                    <w:div w:id="1280407503">
                      <w:marLeft w:val="0"/>
                      <w:marRight w:val="0"/>
                      <w:marTop w:val="0"/>
                      <w:marBottom w:val="0"/>
                      <w:divBdr>
                        <w:top w:val="none" w:sz="0" w:space="0" w:color="auto"/>
                        <w:left w:val="none" w:sz="0" w:space="0" w:color="auto"/>
                        <w:bottom w:val="none" w:sz="0" w:space="0" w:color="auto"/>
                        <w:right w:val="none" w:sz="0" w:space="0" w:color="auto"/>
                      </w:divBdr>
                    </w:div>
                  </w:divsChild>
                </w:div>
                <w:div w:id="1956784766">
                  <w:marLeft w:val="0"/>
                  <w:marRight w:val="0"/>
                  <w:marTop w:val="0"/>
                  <w:marBottom w:val="0"/>
                  <w:divBdr>
                    <w:top w:val="none" w:sz="0" w:space="0" w:color="auto"/>
                    <w:left w:val="none" w:sz="0" w:space="0" w:color="auto"/>
                    <w:bottom w:val="none" w:sz="0" w:space="0" w:color="auto"/>
                    <w:right w:val="none" w:sz="0" w:space="0" w:color="auto"/>
                  </w:divBdr>
                  <w:divsChild>
                    <w:div w:id="909735747">
                      <w:marLeft w:val="0"/>
                      <w:marRight w:val="0"/>
                      <w:marTop w:val="0"/>
                      <w:marBottom w:val="0"/>
                      <w:divBdr>
                        <w:top w:val="none" w:sz="0" w:space="0" w:color="auto"/>
                        <w:left w:val="none" w:sz="0" w:space="0" w:color="auto"/>
                        <w:bottom w:val="none" w:sz="0" w:space="0" w:color="auto"/>
                        <w:right w:val="none" w:sz="0" w:space="0" w:color="auto"/>
                      </w:divBdr>
                    </w:div>
                  </w:divsChild>
                </w:div>
                <w:div w:id="1987280516">
                  <w:marLeft w:val="0"/>
                  <w:marRight w:val="0"/>
                  <w:marTop w:val="0"/>
                  <w:marBottom w:val="0"/>
                  <w:divBdr>
                    <w:top w:val="none" w:sz="0" w:space="0" w:color="auto"/>
                    <w:left w:val="none" w:sz="0" w:space="0" w:color="auto"/>
                    <w:bottom w:val="none" w:sz="0" w:space="0" w:color="auto"/>
                    <w:right w:val="none" w:sz="0" w:space="0" w:color="auto"/>
                  </w:divBdr>
                  <w:divsChild>
                    <w:div w:id="1257907199">
                      <w:marLeft w:val="0"/>
                      <w:marRight w:val="0"/>
                      <w:marTop w:val="0"/>
                      <w:marBottom w:val="0"/>
                      <w:divBdr>
                        <w:top w:val="none" w:sz="0" w:space="0" w:color="auto"/>
                        <w:left w:val="none" w:sz="0" w:space="0" w:color="auto"/>
                        <w:bottom w:val="none" w:sz="0" w:space="0" w:color="auto"/>
                        <w:right w:val="none" w:sz="0" w:space="0" w:color="auto"/>
                      </w:divBdr>
                    </w:div>
                  </w:divsChild>
                </w:div>
                <w:div w:id="2048677194">
                  <w:marLeft w:val="0"/>
                  <w:marRight w:val="0"/>
                  <w:marTop w:val="0"/>
                  <w:marBottom w:val="0"/>
                  <w:divBdr>
                    <w:top w:val="none" w:sz="0" w:space="0" w:color="auto"/>
                    <w:left w:val="none" w:sz="0" w:space="0" w:color="auto"/>
                    <w:bottom w:val="none" w:sz="0" w:space="0" w:color="auto"/>
                    <w:right w:val="none" w:sz="0" w:space="0" w:color="auto"/>
                  </w:divBdr>
                  <w:divsChild>
                    <w:div w:id="66390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5449031">
          <w:marLeft w:val="0"/>
          <w:marRight w:val="0"/>
          <w:marTop w:val="0"/>
          <w:marBottom w:val="0"/>
          <w:divBdr>
            <w:top w:val="none" w:sz="0" w:space="0" w:color="auto"/>
            <w:left w:val="none" w:sz="0" w:space="0" w:color="auto"/>
            <w:bottom w:val="none" w:sz="0" w:space="0" w:color="auto"/>
            <w:right w:val="none" w:sz="0" w:space="0" w:color="auto"/>
          </w:divBdr>
          <w:divsChild>
            <w:div w:id="1236865332">
              <w:marLeft w:val="-75"/>
              <w:marRight w:val="0"/>
              <w:marTop w:val="30"/>
              <w:marBottom w:val="30"/>
              <w:divBdr>
                <w:top w:val="none" w:sz="0" w:space="0" w:color="auto"/>
                <w:left w:val="none" w:sz="0" w:space="0" w:color="auto"/>
                <w:bottom w:val="none" w:sz="0" w:space="0" w:color="auto"/>
                <w:right w:val="none" w:sz="0" w:space="0" w:color="auto"/>
              </w:divBdr>
              <w:divsChild>
                <w:div w:id="105196411">
                  <w:marLeft w:val="0"/>
                  <w:marRight w:val="0"/>
                  <w:marTop w:val="0"/>
                  <w:marBottom w:val="0"/>
                  <w:divBdr>
                    <w:top w:val="none" w:sz="0" w:space="0" w:color="auto"/>
                    <w:left w:val="none" w:sz="0" w:space="0" w:color="auto"/>
                    <w:bottom w:val="none" w:sz="0" w:space="0" w:color="auto"/>
                    <w:right w:val="none" w:sz="0" w:space="0" w:color="auto"/>
                  </w:divBdr>
                  <w:divsChild>
                    <w:div w:id="1415543476">
                      <w:marLeft w:val="0"/>
                      <w:marRight w:val="0"/>
                      <w:marTop w:val="0"/>
                      <w:marBottom w:val="0"/>
                      <w:divBdr>
                        <w:top w:val="none" w:sz="0" w:space="0" w:color="auto"/>
                        <w:left w:val="none" w:sz="0" w:space="0" w:color="auto"/>
                        <w:bottom w:val="none" w:sz="0" w:space="0" w:color="auto"/>
                        <w:right w:val="none" w:sz="0" w:space="0" w:color="auto"/>
                      </w:divBdr>
                    </w:div>
                  </w:divsChild>
                </w:div>
                <w:div w:id="140850815">
                  <w:marLeft w:val="0"/>
                  <w:marRight w:val="0"/>
                  <w:marTop w:val="0"/>
                  <w:marBottom w:val="0"/>
                  <w:divBdr>
                    <w:top w:val="none" w:sz="0" w:space="0" w:color="auto"/>
                    <w:left w:val="none" w:sz="0" w:space="0" w:color="auto"/>
                    <w:bottom w:val="none" w:sz="0" w:space="0" w:color="auto"/>
                    <w:right w:val="none" w:sz="0" w:space="0" w:color="auto"/>
                  </w:divBdr>
                  <w:divsChild>
                    <w:div w:id="557010456">
                      <w:marLeft w:val="0"/>
                      <w:marRight w:val="0"/>
                      <w:marTop w:val="0"/>
                      <w:marBottom w:val="0"/>
                      <w:divBdr>
                        <w:top w:val="none" w:sz="0" w:space="0" w:color="auto"/>
                        <w:left w:val="none" w:sz="0" w:space="0" w:color="auto"/>
                        <w:bottom w:val="none" w:sz="0" w:space="0" w:color="auto"/>
                        <w:right w:val="none" w:sz="0" w:space="0" w:color="auto"/>
                      </w:divBdr>
                    </w:div>
                  </w:divsChild>
                </w:div>
                <w:div w:id="331416448">
                  <w:marLeft w:val="0"/>
                  <w:marRight w:val="0"/>
                  <w:marTop w:val="0"/>
                  <w:marBottom w:val="0"/>
                  <w:divBdr>
                    <w:top w:val="none" w:sz="0" w:space="0" w:color="auto"/>
                    <w:left w:val="none" w:sz="0" w:space="0" w:color="auto"/>
                    <w:bottom w:val="none" w:sz="0" w:space="0" w:color="auto"/>
                    <w:right w:val="none" w:sz="0" w:space="0" w:color="auto"/>
                  </w:divBdr>
                  <w:divsChild>
                    <w:div w:id="1058675024">
                      <w:marLeft w:val="0"/>
                      <w:marRight w:val="0"/>
                      <w:marTop w:val="0"/>
                      <w:marBottom w:val="0"/>
                      <w:divBdr>
                        <w:top w:val="none" w:sz="0" w:space="0" w:color="auto"/>
                        <w:left w:val="none" w:sz="0" w:space="0" w:color="auto"/>
                        <w:bottom w:val="none" w:sz="0" w:space="0" w:color="auto"/>
                        <w:right w:val="none" w:sz="0" w:space="0" w:color="auto"/>
                      </w:divBdr>
                    </w:div>
                  </w:divsChild>
                </w:div>
                <w:div w:id="332145783">
                  <w:marLeft w:val="0"/>
                  <w:marRight w:val="0"/>
                  <w:marTop w:val="0"/>
                  <w:marBottom w:val="0"/>
                  <w:divBdr>
                    <w:top w:val="none" w:sz="0" w:space="0" w:color="auto"/>
                    <w:left w:val="none" w:sz="0" w:space="0" w:color="auto"/>
                    <w:bottom w:val="none" w:sz="0" w:space="0" w:color="auto"/>
                    <w:right w:val="none" w:sz="0" w:space="0" w:color="auto"/>
                  </w:divBdr>
                  <w:divsChild>
                    <w:div w:id="1595240316">
                      <w:marLeft w:val="0"/>
                      <w:marRight w:val="0"/>
                      <w:marTop w:val="0"/>
                      <w:marBottom w:val="0"/>
                      <w:divBdr>
                        <w:top w:val="none" w:sz="0" w:space="0" w:color="auto"/>
                        <w:left w:val="none" w:sz="0" w:space="0" w:color="auto"/>
                        <w:bottom w:val="none" w:sz="0" w:space="0" w:color="auto"/>
                        <w:right w:val="none" w:sz="0" w:space="0" w:color="auto"/>
                      </w:divBdr>
                    </w:div>
                  </w:divsChild>
                </w:div>
                <w:div w:id="355354421">
                  <w:marLeft w:val="0"/>
                  <w:marRight w:val="0"/>
                  <w:marTop w:val="0"/>
                  <w:marBottom w:val="0"/>
                  <w:divBdr>
                    <w:top w:val="none" w:sz="0" w:space="0" w:color="auto"/>
                    <w:left w:val="none" w:sz="0" w:space="0" w:color="auto"/>
                    <w:bottom w:val="none" w:sz="0" w:space="0" w:color="auto"/>
                    <w:right w:val="none" w:sz="0" w:space="0" w:color="auto"/>
                  </w:divBdr>
                  <w:divsChild>
                    <w:div w:id="2134515781">
                      <w:marLeft w:val="0"/>
                      <w:marRight w:val="0"/>
                      <w:marTop w:val="0"/>
                      <w:marBottom w:val="0"/>
                      <w:divBdr>
                        <w:top w:val="none" w:sz="0" w:space="0" w:color="auto"/>
                        <w:left w:val="none" w:sz="0" w:space="0" w:color="auto"/>
                        <w:bottom w:val="none" w:sz="0" w:space="0" w:color="auto"/>
                        <w:right w:val="none" w:sz="0" w:space="0" w:color="auto"/>
                      </w:divBdr>
                    </w:div>
                  </w:divsChild>
                </w:div>
                <w:div w:id="360126807">
                  <w:marLeft w:val="0"/>
                  <w:marRight w:val="0"/>
                  <w:marTop w:val="0"/>
                  <w:marBottom w:val="0"/>
                  <w:divBdr>
                    <w:top w:val="none" w:sz="0" w:space="0" w:color="auto"/>
                    <w:left w:val="none" w:sz="0" w:space="0" w:color="auto"/>
                    <w:bottom w:val="none" w:sz="0" w:space="0" w:color="auto"/>
                    <w:right w:val="none" w:sz="0" w:space="0" w:color="auto"/>
                  </w:divBdr>
                  <w:divsChild>
                    <w:div w:id="3828547">
                      <w:marLeft w:val="0"/>
                      <w:marRight w:val="0"/>
                      <w:marTop w:val="0"/>
                      <w:marBottom w:val="0"/>
                      <w:divBdr>
                        <w:top w:val="none" w:sz="0" w:space="0" w:color="auto"/>
                        <w:left w:val="none" w:sz="0" w:space="0" w:color="auto"/>
                        <w:bottom w:val="none" w:sz="0" w:space="0" w:color="auto"/>
                        <w:right w:val="none" w:sz="0" w:space="0" w:color="auto"/>
                      </w:divBdr>
                    </w:div>
                  </w:divsChild>
                </w:div>
                <w:div w:id="383676974">
                  <w:marLeft w:val="0"/>
                  <w:marRight w:val="0"/>
                  <w:marTop w:val="0"/>
                  <w:marBottom w:val="0"/>
                  <w:divBdr>
                    <w:top w:val="none" w:sz="0" w:space="0" w:color="auto"/>
                    <w:left w:val="none" w:sz="0" w:space="0" w:color="auto"/>
                    <w:bottom w:val="none" w:sz="0" w:space="0" w:color="auto"/>
                    <w:right w:val="none" w:sz="0" w:space="0" w:color="auto"/>
                  </w:divBdr>
                  <w:divsChild>
                    <w:div w:id="2109154380">
                      <w:marLeft w:val="0"/>
                      <w:marRight w:val="0"/>
                      <w:marTop w:val="0"/>
                      <w:marBottom w:val="0"/>
                      <w:divBdr>
                        <w:top w:val="none" w:sz="0" w:space="0" w:color="auto"/>
                        <w:left w:val="none" w:sz="0" w:space="0" w:color="auto"/>
                        <w:bottom w:val="none" w:sz="0" w:space="0" w:color="auto"/>
                        <w:right w:val="none" w:sz="0" w:space="0" w:color="auto"/>
                      </w:divBdr>
                    </w:div>
                  </w:divsChild>
                </w:div>
                <w:div w:id="406149664">
                  <w:marLeft w:val="0"/>
                  <w:marRight w:val="0"/>
                  <w:marTop w:val="0"/>
                  <w:marBottom w:val="0"/>
                  <w:divBdr>
                    <w:top w:val="none" w:sz="0" w:space="0" w:color="auto"/>
                    <w:left w:val="none" w:sz="0" w:space="0" w:color="auto"/>
                    <w:bottom w:val="none" w:sz="0" w:space="0" w:color="auto"/>
                    <w:right w:val="none" w:sz="0" w:space="0" w:color="auto"/>
                  </w:divBdr>
                  <w:divsChild>
                    <w:div w:id="1117220042">
                      <w:marLeft w:val="0"/>
                      <w:marRight w:val="0"/>
                      <w:marTop w:val="0"/>
                      <w:marBottom w:val="0"/>
                      <w:divBdr>
                        <w:top w:val="none" w:sz="0" w:space="0" w:color="auto"/>
                        <w:left w:val="none" w:sz="0" w:space="0" w:color="auto"/>
                        <w:bottom w:val="none" w:sz="0" w:space="0" w:color="auto"/>
                        <w:right w:val="none" w:sz="0" w:space="0" w:color="auto"/>
                      </w:divBdr>
                    </w:div>
                  </w:divsChild>
                </w:div>
                <w:div w:id="422343962">
                  <w:marLeft w:val="0"/>
                  <w:marRight w:val="0"/>
                  <w:marTop w:val="0"/>
                  <w:marBottom w:val="0"/>
                  <w:divBdr>
                    <w:top w:val="none" w:sz="0" w:space="0" w:color="auto"/>
                    <w:left w:val="none" w:sz="0" w:space="0" w:color="auto"/>
                    <w:bottom w:val="none" w:sz="0" w:space="0" w:color="auto"/>
                    <w:right w:val="none" w:sz="0" w:space="0" w:color="auto"/>
                  </w:divBdr>
                  <w:divsChild>
                    <w:div w:id="1285038029">
                      <w:marLeft w:val="0"/>
                      <w:marRight w:val="0"/>
                      <w:marTop w:val="0"/>
                      <w:marBottom w:val="0"/>
                      <w:divBdr>
                        <w:top w:val="none" w:sz="0" w:space="0" w:color="auto"/>
                        <w:left w:val="none" w:sz="0" w:space="0" w:color="auto"/>
                        <w:bottom w:val="none" w:sz="0" w:space="0" w:color="auto"/>
                        <w:right w:val="none" w:sz="0" w:space="0" w:color="auto"/>
                      </w:divBdr>
                    </w:div>
                  </w:divsChild>
                </w:div>
                <w:div w:id="458843099">
                  <w:marLeft w:val="0"/>
                  <w:marRight w:val="0"/>
                  <w:marTop w:val="0"/>
                  <w:marBottom w:val="0"/>
                  <w:divBdr>
                    <w:top w:val="none" w:sz="0" w:space="0" w:color="auto"/>
                    <w:left w:val="none" w:sz="0" w:space="0" w:color="auto"/>
                    <w:bottom w:val="none" w:sz="0" w:space="0" w:color="auto"/>
                    <w:right w:val="none" w:sz="0" w:space="0" w:color="auto"/>
                  </w:divBdr>
                  <w:divsChild>
                    <w:div w:id="1420910930">
                      <w:marLeft w:val="0"/>
                      <w:marRight w:val="0"/>
                      <w:marTop w:val="0"/>
                      <w:marBottom w:val="0"/>
                      <w:divBdr>
                        <w:top w:val="none" w:sz="0" w:space="0" w:color="auto"/>
                        <w:left w:val="none" w:sz="0" w:space="0" w:color="auto"/>
                        <w:bottom w:val="none" w:sz="0" w:space="0" w:color="auto"/>
                        <w:right w:val="none" w:sz="0" w:space="0" w:color="auto"/>
                      </w:divBdr>
                    </w:div>
                  </w:divsChild>
                </w:div>
                <w:div w:id="463430760">
                  <w:marLeft w:val="0"/>
                  <w:marRight w:val="0"/>
                  <w:marTop w:val="0"/>
                  <w:marBottom w:val="0"/>
                  <w:divBdr>
                    <w:top w:val="none" w:sz="0" w:space="0" w:color="auto"/>
                    <w:left w:val="none" w:sz="0" w:space="0" w:color="auto"/>
                    <w:bottom w:val="none" w:sz="0" w:space="0" w:color="auto"/>
                    <w:right w:val="none" w:sz="0" w:space="0" w:color="auto"/>
                  </w:divBdr>
                  <w:divsChild>
                    <w:div w:id="714475438">
                      <w:marLeft w:val="0"/>
                      <w:marRight w:val="0"/>
                      <w:marTop w:val="0"/>
                      <w:marBottom w:val="0"/>
                      <w:divBdr>
                        <w:top w:val="none" w:sz="0" w:space="0" w:color="auto"/>
                        <w:left w:val="none" w:sz="0" w:space="0" w:color="auto"/>
                        <w:bottom w:val="none" w:sz="0" w:space="0" w:color="auto"/>
                        <w:right w:val="none" w:sz="0" w:space="0" w:color="auto"/>
                      </w:divBdr>
                    </w:div>
                  </w:divsChild>
                </w:div>
                <w:div w:id="474838406">
                  <w:marLeft w:val="0"/>
                  <w:marRight w:val="0"/>
                  <w:marTop w:val="0"/>
                  <w:marBottom w:val="0"/>
                  <w:divBdr>
                    <w:top w:val="none" w:sz="0" w:space="0" w:color="auto"/>
                    <w:left w:val="none" w:sz="0" w:space="0" w:color="auto"/>
                    <w:bottom w:val="none" w:sz="0" w:space="0" w:color="auto"/>
                    <w:right w:val="none" w:sz="0" w:space="0" w:color="auto"/>
                  </w:divBdr>
                  <w:divsChild>
                    <w:div w:id="726343840">
                      <w:marLeft w:val="0"/>
                      <w:marRight w:val="0"/>
                      <w:marTop w:val="0"/>
                      <w:marBottom w:val="0"/>
                      <w:divBdr>
                        <w:top w:val="none" w:sz="0" w:space="0" w:color="auto"/>
                        <w:left w:val="none" w:sz="0" w:space="0" w:color="auto"/>
                        <w:bottom w:val="none" w:sz="0" w:space="0" w:color="auto"/>
                        <w:right w:val="none" w:sz="0" w:space="0" w:color="auto"/>
                      </w:divBdr>
                    </w:div>
                  </w:divsChild>
                </w:div>
                <w:div w:id="475798073">
                  <w:marLeft w:val="0"/>
                  <w:marRight w:val="0"/>
                  <w:marTop w:val="0"/>
                  <w:marBottom w:val="0"/>
                  <w:divBdr>
                    <w:top w:val="none" w:sz="0" w:space="0" w:color="auto"/>
                    <w:left w:val="none" w:sz="0" w:space="0" w:color="auto"/>
                    <w:bottom w:val="none" w:sz="0" w:space="0" w:color="auto"/>
                    <w:right w:val="none" w:sz="0" w:space="0" w:color="auto"/>
                  </w:divBdr>
                  <w:divsChild>
                    <w:div w:id="1334918966">
                      <w:marLeft w:val="0"/>
                      <w:marRight w:val="0"/>
                      <w:marTop w:val="0"/>
                      <w:marBottom w:val="0"/>
                      <w:divBdr>
                        <w:top w:val="none" w:sz="0" w:space="0" w:color="auto"/>
                        <w:left w:val="none" w:sz="0" w:space="0" w:color="auto"/>
                        <w:bottom w:val="none" w:sz="0" w:space="0" w:color="auto"/>
                        <w:right w:val="none" w:sz="0" w:space="0" w:color="auto"/>
                      </w:divBdr>
                    </w:div>
                  </w:divsChild>
                </w:div>
                <w:div w:id="628753311">
                  <w:marLeft w:val="0"/>
                  <w:marRight w:val="0"/>
                  <w:marTop w:val="0"/>
                  <w:marBottom w:val="0"/>
                  <w:divBdr>
                    <w:top w:val="none" w:sz="0" w:space="0" w:color="auto"/>
                    <w:left w:val="none" w:sz="0" w:space="0" w:color="auto"/>
                    <w:bottom w:val="none" w:sz="0" w:space="0" w:color="auto"/>
                    <w:right w:val="none" w:sz="0" w:space="0" w:color="auto"/>
                  </w:divBdr>
                  <w:divsChild>
                    <w:div w:id="1500462929">
                      <w:marLeft w:val="0"/>
                      <w:marRight w:val="0"/>
                      <w:marTop w:val="0"/>
                      <w:marBottom w:val="0"/>
                      <w:divBdr>
                        <w:top w:val="none" w:sz="0" w:space="0" w:color="auto"/>
                        <w:left w:val="none" w:sz="0" w:space="0" w:color="auto"/>
                        <w:bottom w:val="none" w:sz="0" w:space="0" w:color="auto"/>
                        <w:right w:val="none" w:sz="0" w:space="0" w:color="auto"/>
                      </w:divBdr>
                    </w:div>
                  </w:divsChild>
                </w:div>
                <w:div w:id="653416995">
                  <w:marLeft w:val="0"/>
                  <w:marRight w:val="0"/>
                  <w:marTop w:val="0"/>
                  <w:marBottom w:val="0"/>
                  <w:divBdr>
                    <w:top w:val="none" w:sz="0" w:space="0" w:color="auto"/>
                    <w:left w:val="none" w:sz="0" w:space="0" w:color="auto"/>
                    <w:bottom w:val="none" w:sz="0" w:space="0" w:color="auto"/>
                    <w:right w:val="none" w:sz="0" w:space="0" w:color="auto"/>
                  </w:divBdr>
                  <w:divsChild>
                    <w:div w:id="1916356681">
                      <w:marLeft w:val="0"/>
                      <w:marRight w:val="0"/>
                      <w:marTop w:val="0"/>
                      <w:marBottom w:val="0"/>
                      <w:divBdr>
                        <w:top w:val="none" w:sz="0" w:space="0" w:color="auto"/>
                        <w:left w:val="none" w:sz="0" w:space="0" w:color="auto"/>
                        <w:bottom w:val="none" w:sz="0" w:space="0" w:color="auto"/>
                        <w:right w:val="none" w:sz="0" w:space="0" w:color="auto"/>
                      </w:divBdr>
                    </w:div>
                  </w:divsChild>
                </w:div>
                <w:div w:id="673724027">
                  <w:marLeft w:val="0"/>
                  <w:marRight w:val="0"/>
                  <w:marTop w:val="0"/>
                  <w:marBottom w:val="0"/>
                  <w:divBdr>
                    <w:top w:val="none" w:sz="0" w:space="0" w:color="auto"/>
                    <w:left w:val="none" w:sz="0" w:space="0" w:color="auto"/>
                    <w:bottom w:val="none" w:sz="0" w:space="0" w:color="auto"/>
                    <w:right w:val="none" w:sz="0" w:space="0" w:color="auto"/>
                  </w:divBdr>
                  <w:divsChild>
                    <w:div w:id="518086443">
                      <w:marLeft w:val="0"/>
                      <w:marRight w:val="0"/>
                      <w:marTop w:val="0"/>
                      <w:marBottom w:val="0"/>
                      <w:divBdr>
                        <w:top w:val="none" w:sz="0" w:space="0" w:color="auto"/>
                        <w:left w:val="none" w:sz="0" w:space="0" w:color="auto"/>
                        <w:bottom w:val="none" w:sz="0" w:space="0" w:color="auto"/>
                        <w:right w:val="none" w:sz="0" w:space="0" w:color="auto"/>
                      </w:divBdr>
                    </w:div>
                  </w:divsChild>
                </w:div>
                <w:div w:id="735205771">
                  <w:marLeft w:val="0"/>
                  <w:marRight w:val="0"/>
                  <w:marTop w:val="0"/>
                  <w:marBottom w:val="0"/>
                  <w:divBdr>
                    <w:top w:val="none" w:sz="0" w:space="0" w:color="auto"/>
                    <w:left w:val="none" w:sz="0" w:space="0" w:color="auto"/>
                    <w:bottom w:val="none" w:sz="0" w:space="0" w:color="auto"/>
                    <w:right w:val="none" w:sz="0" w:space="0" w:color="auto"/>
                  </w:divBdr>
                  <w:divsChild>
                    <w:div w:id="274757431">
                      <w:marLeft w:val="0"/>
                      <w:marRight w:val="0"/>
                      <w:marTop w:val="0"/>
                      <w:marBottom w:val="0"/>
                      <w:divBdr>
                        <w:top w:val="none" w:sz="0" w:space="0" w:color="auto"/>
                        <w:left w:val="none" w:sz="0" w:space="0" w:color="auto"/>
                        <w:bottom w:val="none" w:sz="0" w:space="0" w:color="auto"/>
                        <w:right w:val="none" w:sz="0" w:space="0" w:color="auto"/>
                      </w:divBdr>
                    </w:div>
                  </w:divsChild>
                </w:div>
                <w:div w:id="785580784">
                  <w:marLeft w:val="0"/>
                  <w:marRight w:val="0"/>
                  <w:marTop w:val="0"/>
                  <w:marBottom w:val="0"/>
                  <w:divBdr>
                    <w:top w:val="none" w:sz="0" w:space="0" w:color="auto"/>
                    <w:left w:val="none" w:sz="0" w:space="0" w:color="auto"/>
                    <w:bottom w:val="none" w:sz="0" w:space="0" w:color="auto"/>
                    <w:right w:val="none" w:sz="0" w:space="0" w:color="auto"/>
                  </w:divBdr>
                  <w:divsChild>
                    <w:div w:id="632255941">
                      <w:marLeft w:val="0"/>
                      <w:marRight w:val="0"/>
                      <w:marTop w:val="0"/>
                      <w:marBottom w:val="0"/>
                      <w:divBdr>
                        <w:top w:val="none" w:sz="0" w:space="0" w:color="auto"/>
                        <w:left w:val="none" w:sz="0" w:space="0" w:color="auto"/>
                        <w:bottom w:val="none" w:sz="0" w:space="0" w:color="auto"/>
                        <w:right w:val="none" w:sz="0" w:space="0" w:color="auto"/>
                      </w:divBdr>
                    </w:div>
                  </w:divsChild>
                </w:div>
                <w:div w:id="786508689">
                  <w:marLeft w:val="0"/>
                  <w:marRight w:val="0"/>
                  <w:marTop w:val="0"/>
                  <w:marBottom w:val="0"/>
                  <w:divBdr>
                    <w:top w:val="none" w:sz="0" w:space="0" w:color="auto"/>
                    <w:left w:val="none" w:sz="0" w:space="0" w:color="auto"/>
                    <w:bottom w:val="none" w:sz="0" w:space="0" w:color="auto"/>
                    <w:right w:val="none" w:sz="0" w:space="0" w:color="auto"/>
                  </w:divBdr>
                  <w:divsChild>
                    <w:div w:id="151410982">
                      <w:marLeft w:val="0"/>
                      <w:marRight w:val="0"/>
                      <w:marTop w:val="0"/>
                      <w:marBottom w:val="0"/>
                      <w:divBdr>
                        <w:top w:val="none" w:sz="0" w:space="0" w:color="auto"/>
                        <w:left w:val="none" w:sz="0" w:space="0" w:color="auto"/>
                        <w:bottom w:val="none" w:sz="0" w:space="0" w:color="auto"/>
                        <w:right w:val="none" w:sz="0" w:space="0" w:color="auto"/>
                      </w:divBdr>
                    </w:div>
                  </w:divsChild>
                </w:div>
                <w:div w:id="797456062">
                  <w:marLeft w:val="0"/>
                  <w:marRight w:val="0"/>
                  <w:marTop w:val="0"/>
                  <w:marBottom w:val="0"/>
                  <w:divBdr>
                    <w:top w:val="none" w:sz="0" w:space="0" w:color="auto"/>
                    <w:left w:val="none" w:sz="0" w:space="0" w:color="auto"/>
                    <w:bottom w:val="none" w:sz="0" w:space="0" w:color="auto"/>
                    <w:right w:val="none" w:sz="0" w:space="0" w:color="auto"/>
                  </w:divBdr>
                  <w:divsChild>
                    <w:div w:id="1961373864">
                      <w:marLeft w:val="0"/>
                      <w:marRight w:val="0"/>
                      <w:marTop w:val="0"/>
                      <w:marBottom w:val="0"/>
                      <w:divBdr>
                        <w:top w:val="none" w:sz="0" w:space="0" w:color="auto"/>
                        <w:left w:val="none" w:sz="0" w:space="0" w:color="auto"/>
                        <w:bottom w:val="none" w:sz="0" w:space="0" w:color="auto"/>
                        <w:right w:val="none" w:sz="0" w:space="0" w:color="auto"/>
                      </w:divBdr>
                    </w:div>
                  </w:divsChild>
                </w:div>
                <w:div w:id="822696860">
                  <w:marLeft w:val="0"/>
                  <w:marRight w:val="0"/>
                  <w:marTop w:val="0"/>
                  <w:marBottom w:val="0"/>
                  <w:divBdr>
                    <w:top w:val="none" w:sz="0" w:space="0" w:color="auto"/>
                    <w:left w:val="none" w:sz="0" w:space="0" w:color="auto"/>
                    <w:bottom w:val="none" w:sz="0" w:space="0" w:color="auto"/>
                    <w:right w:val="none" w:sz="0" w:space="0" w:color="auto"/>
                  </w:divBdr>
                  <w:divsChild>
                    <w:div w:id="713702812">
                      <w:marLeft w:val="0"/>
                      <w:marRight w:val="0"/>
                      <w:marTop w:val="0"/>
                      <w:marBottom w:val="0"/>
                      <w:divBdr>
                        <w:top w:val="none" w:sz="0" w:space="0" w:color="auto"/>
                        <w:left w:val="none" w:sz="0" w:space="0" w:color="auto"/>
                        <w:bottom w:val="none" w:sz="0" w:space="0" w:color="auto"/>
                        <w:right w:val="none" w:sz="0" w:space="0" w:color="auto"/>
                      </w:divBdr>
                    </w:div>
                  </w:divsChild>
                </w:div>
                <w:div w:id="831022288">
                  <w:marLeft w:val="0"/>
                  <w:marRight w:val="0"/>
                  <w:marTop w:val="0"/>
                  <w:marBottom w:val="0"/>
                  <w:divBdr>
                    <w:top w:val="none" w:sz="0" w:space="0" w:color="auto"/>
                    <w:left w:val="none" w:sz="0" w:space="0" w:color="auto"/>
                    <w:bottom w:val="none" w:sz="0" w:space="0" w:color="auto"/>
                    <w:right w:val="none" w:sz="0" w:space="0" w:color="auto"/>
                  </w:divBdr>
                  <w:divsChild>
                    <w:div w:id="232469529">
                      <w:marLeft w:val="0"/>
                      <w:marRight w:val="0"/>
                      <w:marTop w:val="0"/>
                      <w:marBottom w:val="0"/>
                      <w:divBdr>
                        <w:top w:val="none" w:sz="0" w:space="0" w:color="auto"/>
                        <w:left w:val="none" w:sz="0" w:space="0" w:color="auto"/>
                        <w:bottom w:val="none" w:sz="0" w:space="0" w:color="auto"/>
                        <w:right w:val="none" w:sz="0" w:space="0" w:color="auto"/>
                      </w:divBdr>
                    </w:div>
                  </w:divsChild>
                </w:div>
                <w:div w:id="839462926">
                  <w:marLeft w:val="0"/>
                  <w:marRight w:val="0"/>
                  <w:marTop w:val="0"/>
                  <w:marBottom w:val="0"/>
                  <w:divBdr>
                    <w:top w:val="none" w:sz="0" w:space="0" w:color="auto"/>
                    <w:left w:val="none" w:sz="0" w:space="0" w:color="auto"/>
                    <w:bottom w:val="none" w:sz="0" w:space="0" w:color="auto"/>
                    <w:right w:val="none" w:sz="0" w:space="0" w:color="auto"/>
                  </w:divBdr>
                  <w:divsChild>
                    <w:div w:id="1313800537">
                      <w:marLeft w:val="0"/>
                      <w:marRight w:val="0"/>
                      <w:marTop w:val="0"/>
                      <w:marBottom w:val="0"/>
                      <w:divBdr>
                        <w:top w:val="none" w:sz="0" w:space="0" w:color="auto"/>
                        <w:left w:val="none" w:sz="0" w:space="0" w:color="auto"/>
                        <w:bottom w:val="none" w:sz="0" w:space="0" w:color="auto"/>
                        <w:right w:val="none" w:sz="0" w:space="0" w:color="auto"/>
                      </w:divBdr>
                    </w:div>
                  </w:divsChild>
                </w:div>
                <w:div w:id="856701699">
                  <w:marLeft w:val="0"/>
                  <w:marRight w:val="0"/>
                  <w:marTop w:val="0"/>
                  <w:marBottom w:val="0"/>
                  <w:divBdr>
                    <w:top w:val="none" w:sz="0" w:space="0" w:color="auto"/>
                    <w:left w:val="none" w:sz="0" w:space="0" w:color="auto"/>
                    <w:bottom w:val="none" w:sz="0" w:space="0" w:color="auto"/>
                    <w:right w:val="none" w:sz="0" w:space="0" w:color="auto"/>
                  </w:divBdr>
                  <w:divsChild>
                    <w:div w:id="428157356">
                      <w:marLeft w:val="0"/>
                      <w:marRight w:val="0"/>
                      <w:marTop w:val="0"/>
                      <w:marBottom w:val="0"/>
                      <w:divBdr>
                        <w:top w:val="none" w:sz="0" w:space="0" w:color="auto"/>
                        <w:left w:val="none" w:sz="0" w:space="0" w:color="auto"/>
                        <w:bottom w:val="none" w:sz="0" w:space="0" w:color="auto"/>
                        <w:right w:val="none" w:sz="0" w:space="0" w:color="auto"/>
                      </w:divBdr>
                    </w:div>
                  </w:divsChild>
                </w:div>
                <w:div w:id="970356865">
                  <w:marLeft w:val="0"/>
                  <w:marRight w:val="0"/>
                  <w:marTop w:val="0"/>
                  <w:marBottom w:val="0"/>
                  <w:divBdr>
                    <w:top w:val="none" w:sz="0" w:space="0" w:color="auto"/>
                    <w:left w:val="none" w:sz="0" w:space="0" w:color="auto"/>
                    <w:bottom w:val="none" w:sz="0" w:space="0" w:color="auto"/>
                    <w:right w:val="none" w:sz="0" w:space="0" w:color="auto"/>
                  </w:divBdr>
                  <w:divsChild>
                    <w:div w:id="195703743">
                      <w:marLeft w:val="0"/>
                      <w:marRight w:val="0"/>
                      <w:marTop w:val="0"/>
                      <w:marBottom w:val="0"/>
                      <w:divBdr>
                        <w:top w:val="none" w:sz="0" w:space="0" w:color="auto"/>
                        <w:left w:val="none" w:sz="0" w:space="0" w:color="auto"/>
                        <w:bottom w:val="none" w:sz="0" w:space="0" w:color="auto"/>
                        <w:right w:val="none" w:sz="0" w:space="0" w:color="auto"/>
                      </w:divBdr>
                    </w:div>
                  </w:divsChild>
                </w:div>
                <w:div w:id="1059791698">
                  <w:marLeft w:val="0"/>
                  <w:marRight w:val="0"/>
                  <w:marTop w:val="0"/>
                  <w:marBottom w:val="0"/>
                  <w:divBdr>
                    <w:top w:val="none" w:sz="0" w:space="0" w:color="auto"/>
                    <w:left w:val="none" w:sz="0" w:space="0" w:color="auto"/>
                    <w:bottom w:val="none" w:sz="0" w:space="0" w:color="auto"/>
                    <w:right w:val="none" w:sz="0" w:space="0" w:color="auto"/>
                  </w:divBdr>
                  <w:divsChild>
                    <w:div w:id="1966815805">
                      <w:marLeft w:val="0"/>
                      <w:marRight w:val="0"/>
                      <w:marTop w:val="0"/>
                      <w:marBottom w:val="0"/>
                      <w:divBdr>
                        <w:top w:val="none" w:sz="0" w:space="0" w:color="auto"/>
                        <w:left w:val="none" w:sz="0" w:space="0" w:color="auto"/>
                        <w:bottom w:val="none" w:sz="0" w:space="0" w:color="auto"/>
                        <w:right w:val="none" w:sz="0" w:space="0" w:color="auto"/>
                      </w:divBdr>
                    </w:div>
                  </w:divsChild>
                </w:div>
                <w:div w:id="1070275255">
                  <w:marLeft w:val="0"/>
                  <w:marRight w:val="0"/>
                  <w:marTop w:val="0"/>
                  <w:marBottom w:val="0"/>
                  <w:divBdr>
                    <w:top w:val="none" w:sz="0" w:space="0" w:color="auto"/>
                    <w:left w:val="none" w:sz="0" w:space="0" w:color="auto"/>
                    <w:bottom w:val="none" w:sz="0" w:space="0" w:color="auto"/>
                    <w:right w:val="none" w:sz="0" w:space="0" w:color="auto"/>
                  </w:divBdr>
                  <w:divsChild>
                    <w:div w:id="1838186386">
                      <w:marLeft w:val="0"/>
                      <w:marRight w:val="0"/>
                      <w:marTop w:val="0"/>
                      <w:marBottom w:val="0"/>
                      <w:divBdr>
                        <w:top w:val="none" w:sz="0" w:space="0" w:color="auto"/>
                        <w:left w:val="none" w:sz="0" w:space="0" w:color="auto"/>
                        <w:bottom w:val="none" w:sz="0" w:space="0" w:color="auto"/>
                        <w:right w:val="none" w:sz="0" w:space="0" w:color="auto"/>
                      </w:divBdr>
                    </w:div>
                  </w:divsChild>
                </w:div>
                <w:div w:id="1093207442">
                  <w:marLeft w:val="0"/>
                  <w:marRight w:val="0"/>
                  <w:marTop w:val="0"/>
                  <w:marBottom w:val="0"/>
                  <w:divBdr>
                    <w:top w:val="none" w:sz="0" w:space="0" w:color="auto"/>
                    <w:left w:val="none" w:sz="0" w:space="0" w:color="auto"/>
                    <w:bottom w:val="none" w:sz="0" w:space="0" w:color="auto"/>
                    <w:right w:val="none" w:sz="0" w:space="0" w:color="auto"/>
                  </w:divBdr>
                  <w:divsChild>
                    <w:div w:id="420806811">
                      <w:marLeft w:val="0"/>
                      <w:marRight w:val="0"/>
                      <w:marTop w:val="0"/>
                      <w:marBottom w:val="0"/>
                      <w:divBdr>
                        <w:top w:val="none" w:sz="0" w:space="0" w:color="auto"/>
                        <w:left w:val="none" w:sz="0" w:space="0" w:color="auto"/>
                        <w:bottom w:val="none" w:sz="0" w:space="0" w:color="auto"/>
                        <w:right w:val="none" w:sz="0" w:space="0" w:color="auto"/>
                      </w:divBdr>
                    </w:div>
                  </w:divsChild>
                </w:div>
                <w:div w:id="1120954695">
                  <w:marLeft w:val="0"/>
                  <w:marRight w:val="0"/>
                  <w:marTop w:val="0"/>
                  <w:marBottom w:val="0"/>
                  <w:divBdr>
                    <w:top w:val="none" w:sz="0" w:space="0" w:color="auto"/>
                    <w:left w:val="none" w:sz="0" w:space="0" w:color="auto"/>
                    <w:bottom w:val="none" w:sz="0" w:space="0" w:color="auto"/>
                    <w:right w:val="none" w:sz="0" w:space="0" w:color="auto"/>
                  </w:divBdr>
                  <w:divsChild>
                    <w:div w:id="1774664436">
                      <w:marLeft w:val="0"/>
                      <w:marRight w:val="0"/>
                      <w:marTop w:val="0"/>
                      <w:marBottom w:val="0"/>
                      <w:divBdr>
                        <w:top w:val="none" w:sz="0" w:space="0" w:color="auto"/>
                        <w:left w:val="none" w:sz="0" w:space="0" w:color="auto"/>
                        <w:bottom w:val="none" w:sz="0" w:space="0" w:color="auto"/>
                        <w:right w:val="none" w:sz="0" w:space="0" w:color="auto"/>
                      </w:divBdr>
                    </w:div>
                  </w:divsChild>
                </w:div>
                <w:div w:id="1157575196">
                  <w:marLeft w:val="0"/>
                  <w:marRight w:val="0"/>
                  <w:marTop w:val="0"/>
                  <w:marBottom w:val="0"/>
                  <w:divBdr>
                    <w:top w:val="none" w:sz="0" w:space="0" w:color="auto"/>
                    <w:left w:val="none" w:sz="0" w:space="0" w:color="auto"/>
                    <w:bottom w:val="none" w:sz="0" w:space="0" w:color="auto"/>
                    <w:right w:val="none" w:sz="0" w:space="0" w:color="auto"/>
                  </w:divBdr>
                  <w:divsChild>
                    <w:div w:id="1837109044">
                      <w:marLeft w:val="0"/>
                      <w:marRight w:val="0"/>
                      <w:marTop w:val="0"/>
                      <w:marBottom w:val="0"/>
                      <w:divBdr>
                        <w:top w:val="none" w:sz="0" w:space="0" w:color="auto"/>
                        <w:left w:val="none" w:sz="0" w:space="0" w:color="auto"/>
                        <w:bottom w:val="none" w:sz="0" w:space="0" w:color="auto"/>
                        <w:right w:val="none" w:sz="0" w:space="0" w:color="auto"/>
                      </w:divBdr>
                    </w:div>
                  </w:divsChild>
                </w:div>
                <w:div w:id="1338733500">
                  <w:marLeft w:val="0"/>
                  <w:marRight w:val="0"/>
                  <w:marTop w:val="0"/>
                  <w:marBottom w:val="0"/>
                  <w:divBdr>
                    <w:top w:val="none" w:sz="0" w:space="0" w:color="auto"/>
                    <w:left w:val="none" w:sz="0" w:space="0" w:color="auto"/>
                    <w:bottom w:val="none" w:sz="0" w:space="0" w:color="auto"/>
                    <w:right w:val="none" w:sz="0" w:space="0" w:color="auto"/>
                  </w:divBdr>
                  <w:divsChild>
                    <w:div w:id="1963808055">
                      <w:marLeft w:val="0"/>
                      <w:marRight w:val="0"/>
                      <w:marTop w:val="0"/>
                      <w:marBottom w:val="0"/>
                      <w:divBdr>
                        <w:top w:val="none" w:sz="0" w:space="0" w:color="auto"/>
                        <w:left w:val="none" w:sz="0" w:space="0" w:color="auto"/>
                        <w:bottom w:val="none" w:sz="0" w:space="0" w:color="auto"/>
                        <w:right w:val="none" w:sz="0" w:space="0" w:color="auto"/>
                      </w:divBdr>
                    </w:div>
                  </w:divsChild>
                </w:div>
                <w:div w:id="1407990928">
                  <w:marLeft w:val="0"/>
                  <w:marRight w:val="0"/>
                  <w:marTop w:val="0"/>
                  <w:marBottom w:val="0"/>
                  <w:divBdr>
                    <w:top w:val="none" w:sz="0" w:space="0" w:color="auto"/>
                    <w:left w:val="none" w:sz="0" w:space="0" w:color="auto"/>
                    <w:bottom w:val="none" w:sz="0" w:space="0" w:color="auto"/>
                    <w:right w:val="none" w:sz="0" w:space="0" w:color="auto"/>
                  </w:divBdr>
                  <w:divsChild>
                    <w:div w:id="580333924">
                      <w:marLeft w:val="0"/>
                      <w:marRight w:val="0"/>
                      <w:marTop w:val="0"/>
                      <w:marBottom w:val="0"/>
                      <w:divBdr>
                        <w:top w:val="none" w:sz="0" w:space="0" w:color="auto"/>
                        <w:left w:val="none" w:sz="0" w:space="0" w:color="auto"/>
                        <w:bottom w:val="none" w:sz="0" w:space="0" w:color="auto"/>
                        <w:right w:val="none" w:sz="0" w:space="0" w:color="auto"/>
                      </w:divBdr>
                    </w:div>
                  </w:divsChild>
                </w:div>
                <w:div w:id="1463764696">
                  <w:marLeft w:val="0"/>
                  <w:marRight w:val="0"/>
                  <w:marTop w:val="0"/>
                  <w:marBottom w:val="0"/>
                  <w:divBdr>
                    <w:top w:val="none" w:sz="0" w:space="0" w:color="auto"/>
                    <w:left w:val="none" w:sz="0" w:space="0" w:color="auto"/>
                    <w:bottom w:val="none" w:sz="0" w:space="0" w:color="auto"/>
                    <w:right w:val="none" w:sz="0" w:space="0" w:color="auto"/>
                  </w:divBdr>
                  <w:divsChild>
                    <w:div w:id="96147440">
                      <w:marLeft w:val="0"/>
                      <w:marRight w:val="0"/>
                      <w:marTop w:val="0"/>
                      <w:marBottom w:val="0"/>
                      <w:divBdr>
                        <w:top w:val="none" w:sz="0" w:space="0" w:color="auto"/>
                        <w:left w:val="none" w:sz="0" w:space="0" w:color="auto"/>
                        <w:bottom w:val="none" w:sz="0" w:space="0" w:color="auto"/>
                        <w:right w:val="none" w:sz="0" w:space="0" w:color="auto"/>
                      </w:divBdr>
                    </w:div>
                  </w:divsChild>
                </w:div>
                <w:div w:id="1527719120">
                  <w:marLeft w:val="0"/>
                  <w:marRight w:val="0"/>
                  <w:marTop w:val="0"/>
                  <w:marBottom w:val="0"/>
                  <w:divBdr>
                    <w:top w:val="none" w:sz="0" w:space="0" w:color="auto"/>
                    <w:left w:val="none" w:sz="0" w:space="0" w:color="auto"/>
                    <w:bottom w:val="none" w:sz="0" w:space="0" w:color="auto"/>
                    <w:right w:val="none" w:sz="0" w:space="0" w:color="auto"/>
                  </w:divBdr>
                  <w:divsChild>
                    <w:div w:id="1236167369">
                      <w:marLeft w:val="0"/>
                      <w:marRight w:val="0"/>
                      <w:marTop w:val="0"/>
                      <w:marBottom w:val="0"/>
                      <w:divBdr>
                        <w:top w:val="none" w:sz="0" w:space="0" w:color="auto"/>
                        <w:left w:val="none" w:sz="0" w:space="0" w:color="auto"/>
                        <w:bottom w:val="none" w:sz="0" w:space="0" w:color="auto"/>
                        <w:right w:val="none" w:sz="0" w:space="0" w:color="auto"/>
                      </w:divBdr>
                    </w:div>
                  </w:divsChild>
                </w:div>
                <w:div w:id="1628386812">
                  <w:marLeft w:val="0"/>
                  <w:marRight w:val="0"/>
                  <w:marTop w:val="0"/>
                  <w:marBottom w:val="0"/>
                  <w:divBdr>
                    <w:top w:val="none" w:sz="0" w:space="0" w:color="auto"/>
                    <w:left w:val="none" w:sz="0" w:space="0" w:color="auto"/>
                    <w:bottom w:val="none" w:sz="0" w:space="0" w:color="auto"/>
                    <w:right w:val="none" w:sz="0" w:space="0" w:color="auto"/>
                  </w:divBdr>
                  <w:divsChild>
                    <w:div w:id="697707489">
                      <w:marLeft w:val="0"/>
                      <w:marRight w:val="0"/>
                      <w:marTop w:val="0"/>
                      <w:marBottom w:val="0"/>
                      <w:divBdr>
                        <w:top w:val="none" w:sz="0" w:space="0" w:color="auto"/>
                        <w:left w:val="none" w:sz="0" w:space="0" w:color="auto"/>
                        <w:bottom w:val="none" w:sz="0" w:space="0" w:color="auto"/>
                        <w:right w:val="none" w:sz="0" w:space="0" w:color="auto"/>
                      </w:divBdr>
                    </w:div>
                  </w:divsChild>
                </w:div>
                <w:div w:id="1675693159">
                  <w:marLeft w:val="0"/>
                  <w:marRight w:val="0"/>
                  <w:marTop w:val="0"/>
                  <w:marBottom w:val="0"/>
                  <w:divBdr>
                    <w:top w:val="none" w:sz="0" w:space="0" w:color="auto"/>
                    <w:left w:val="none" w:sz="0" w:space="0" w:color="auto"/>
                    <w:bottom w:val="none" w:sz="0" w:space="0" w:color="auto"/>
                    <w:right w:val="none" w:sz="0" w:space="0" w:color="auto"/>
                  </w:divBdr>
                  <w:divsChild>
                    <w:div w:id="807166285">
                      <w:marLeft w:val="0"/>
                      <w:marRight w:val="0"/>
                      <w:marTop w:val="0"/>
                      <w:marBottom w:val="0"/>
                      <w:divBdr>
                        <w:top w:val="none" w:sz="0" w:space="0" w:color="auto"/>
                        <w:left w:val="none" w:sz="0" w:space="0" w:color="auto"/>
                        <w:bottom w:val="none" w:sz="0" w:space="0" w:color="auto"/>
                        <w:right w:val="none" w:sz="0" w:space="0" w:color="auto"/>
                      </w:divBdr>
                    </w:div>
                  </w:divsChild>
                </w:div>
                <w:div w:id="1678657407">
                  <w:marLeft w:val="0"/>
                  <w:marRight w:val="0"/>
                  <w:marTop w:val="0"/>
                  <w:marBottom w:val="0"/>
                  <w:divBdr>
                    <w:top w:val="none" w:sz="0" w:space="0" w:color="auto"/>
                    <w:left w:val="none" w:sz="0" w:space="0" w:color="auto"/>
                    <w:bottom w:val="none" w:sz="0" w:space="0" w:color="auto"/>
                    <w:right w:val="none" w:sz="0" w:space="0" w:color="auto"/>
                  </w:divBdr>
                  <w:divsChild>
                    <w:div w:id="1917130162">
                      <w:marLeft w:val="0"/>
                      <w:marRight w:val="0"/>
                      <w:marTop w:val="0"/>
                      <w:marBottom w:val="0"/>
                      <w:divBdr>
                        <w:top w:val="none" w:sz="0" w:space="0" w:color="auto"/>
                        <w:left w:val="none" w:sz="0" w:space="0" w:color="auto"/>
                        <w:bottom w:val="none" w:sz="0" w:space="0" w:color="auto"/>
                        <w:right w:val="none" w:sz="0" w:space="0" w:color="auto"/>
                      </w:divBdr>
                    </w:div>
                  </w:divsChild>
                </w:div>
                <w:div w:id="1709405650">
                  <w:marLeft w:val="0"/>
                  <w:marRight w:val="0"/>
                  <w:marTop w:val="0"/>
                  <w:marBottom w:val="0"/>
                  <w:divBdr>
                    <w:top w:val="none" w:sz="0" w:space="0" w:color="auto"/>
                    <w:left w:val="none" w:sz="0" w:space="0" w:color="auto"/>
                    <w:bottom w:val="none" w:sz="0" w:space="0" w:color="auto"/>
                    <w:right w:val="none" w:sz="0" w:space="0" w:color="auto"/>
                  </w:divBdr>
                  <w:divsChild>
                    <w:div w:id="565065921">
                      <w:marLeft w:val="0"/>
                      <w:marRight w:val="0"/>
                      <w:marTop w:val="0"/>
                      <w:marBottom w:val="0"/>
                      <w:divBdr>
                        <w:top w:val="none" w:sz="0" w:space="0" w:color="auto"/>
                        <w:left w:val="none" w:sz="0" w:space="0" w:color="auto"/>
                        <w:bottom w:val="none" w:sz="0" w:space="0" w:color="auto"/>
                        <w:right w:val="none" w:sz="0" w:space="0" w:color="auto"/>
                      </w:divBdr>
                    </w:div>
                  </w:divsChild>
                </w:div>
                <w:div w:id="1754274897">
                  <w:marLeft w:val="0"/>
                  <w:marRight w:val="0"/>
                  <w:marTop w:val="0"/>
                  <w:marBottom w:val="0"/>
                  <w:divBdr>
                    <w:top w:val="none" w:sz="0" w:space="0" w:color="auto"/>
                    <w:left w:val="none" w:sz="0" w:space="0" w:color="auto"/>
                    <w:bottom w:val="none" w:sz="0" w:space="0" w:color="auto"/>
                    <w:right w:val="none" w:sz="0" w:space="0" w:color="auto"/>
                  </w:divBdr>
                  <w:divsChild>
                    <w:div w:id="249241068">
                      <w:marLeft w:val="0"/>
                      <w:marRight w:val="0"/>
                      <w:marTop w:val="0"/>
                      <w:marBottom w:val="0"/>
                      <w:divBdr>
                        <w:top w:val="none" w:sz="0" w:space="0" w:color="auto"/>
                        <w:left w:val="none" w:sz="0" w:space="0" w:color="auto"/>
                        <w:bottom w:val="none" w:sz="0" w:space="0" w:color="auto"/>
                        <w:right w:val="none" w:sz="0" w:space="0" w:color="auto"/>
                      </w:divBdr>
                    </w:div>
                  </w:divsChild>
                </w:div>
                <w:div w:id="1831094970">
                  <w:marLeft w:val="0"/>
                  <w:marRight w:val="0"/>
                  <w:marTop w:val="0"/>
                  <w:marBottom w:val="0"/>
                  <w:divBdr>
                    <w:top w:val="none" w:sz="0" w:space="0" w:color="auto"/>
                    <w:left w:val="none" w:sz="0" w:space="0" w:color="auto"/>
                    <w:bottom w:val="none" w:sz="0" w:space="0" w:color="auto"/>
                    <w:right w:val="none" w:sz="0" w:space="0" w:color="auto"/>
                  </w:divBdr>
                  <w:divsChild>
                    <w:div w:id="1708288711">
                      <w:marLeft w:val="0"/>
                      <w:marRight w:val="0"/>
                      <w:marTop w:val="0"/>
                      <w:marBottom w:val="0"/>
                      <w:divBdr>
                        <w:top w:val="none" w:sz="0" w:space="0" w:color="auto"/>
                        <w:left w:val="none" w:sz="0" w:space="0" w:color="auto"/>
                        <w:bottom w:val="none" w:sz="0" w:space="0" w:color="auto"/>
                        <w:right w:val="none" w:sz="0" w:space="0" w:color="auto"/>
                      </w:divBdr>
                    </w:div>
                  </w:divsChild>
                </w:div>
                <w:div w:id="1836995874">
                  <w:marLeft w:val="0"/>
                  <w:marRight w:val="0"/>
                  <w:marTop w:val="0"/>
                  <w:marBottom w:val="0"/>
                  <w:divBdr>
                    <w:top w:val="none" w:sz="0" w:space="0" w:color="auto"/>
                    <w:left w:val="none" w:sz="0" w:space="0" w:color="auto"/>
                    <w:bottom w:val="none" w:sz="0" w:space="0" w:color="auto"/>
                    <w:right w:val="none" w:sz="0" w:space="0" w:color="auto"/>
                  </w:divBdr>
                  <w:divsChild>
                    <w:div w:id="2089690664">
                      <w:marLeft w:val="0"/>
                      <w:marRight w:val="0"/>
                      <w:marTop w:val="0"/>
                      <w:marBottom w:val="0"/>
                      <w:divBdr>
                        <w:top w:val="none" w:sz="0" w:space="0" w:color="auto"/>
                        <w:left w:val="none" w:sz="0" w:space="0" w:color="auto"/>
                        <w:bottom w:val="none" w:sz="0" w:space="0" w:color="auto"/>
                        <w:right w:val="none" w:sz="0" w:space="0" w:color="auto"/>
                      </w:divBdr>
                    </w:div>
                  </w:divsChild>
                </w:div>
                <w:div w:id="1843931203">
                  <w:marLeft w:val="0"/>
                  <w:marRight w:val="0"/>
                  <w:marTop w:val="0"/>
                  <w:marBottom w:val="0"/>
                  <w:divBdr>
                    <w:top w:val="none" w:sz="0" w:space="0" w:color="auto"/>
                    <w:left w:val="none" w:sz="0" w:space="0" w:color="auto"/>
                    <w:bottom w:val="none" w:sz="0" w:space="0" w:color="auto"/>
                    <w:right w:val="none" w:sz="0" w:space="0" w:color="auto"/>
                  </w:divBdr>
                  <w:divsChild>
                    <w:div w:id="1650287642">
                      <w:marLeft w:val="0"/>
                      <w:marRight w:val="0"/>
                      <w:marTop w:val="0"/>
                      <w:marBottom w:val="0"/>
                      <w:divBdr>
                        <w:top w:val="none" w:sz="0" w:space="0" w:color="auto"/>
                        <w:left w:val="none" w:sz="0" w:space="0" w:color="auto"/>
                        <w:bottom w:val="none" w:sz="0" w:space="0" w:color="auto"/>
                        <w:right w:val="none" w:sz="0" w:space="0" w:color="auto"/>
                      </w:divBdr>
                    </w:div>
                  </w:divsChild>
                </w:div>
                <w:div w:id="1889023415">
                  <w:marLeft w:val="0"/>
                  <w:marRight w:val="0"/>
                  <w:marTop w:val="0"/>
                  <w:marBottom w:val="0"/>
                  <w:divBdr>
                    <w:top w:val="none" w:sz="0" w:space="0" w:color="auto"/>
                    <w:left w:val="none" w:sz="0" w:space="0" w:color="auto"/>
                    <w:bottom w:val="none" w:sz="0" w:space="0" w:color="auto"/>
                    <w:right w:val="none" w:sz="0" w:space="0" w:color="auto"/>
                  </w:divBdr>
                  <w:divsChild>
                    <w:div w:id="1687904279">
                      <w:marLeft w:val="0"/>
                      <w:marRight w:val="0"/>
                      <w:marTop w:val="0"/>
                      <w:marBottom w:val="0"/>
                      <w:divBdr>
                        <w:top w:val="none" w:sz="0" w:space="0" w:color="auto"/>
                        <w:left w:val="none" w:sz="0" w:space="0" w:color="auto"/>
                        <w:bottom w:val="none" w:sz="0" w:space="0" w:color="auto"/>
                        <w:right w:val="none" w:sz="0" w:space="0" w:color="auto"/>
                      </w:divBdr>
                    </w:div>
                  </w:divsChild>
                </w:div>
                <w:div w:id="1908876141">
                  <w:marLeft w:val="0"/>
                  <w:marRight w:val="0"/>
                  <w:marTop w:val="0"/>
                  <w:marBottom w:val="0"/>
                  <w:divBdr>
                    <w:top w:val="none" w:sz="0" w:space="0" w:color="auto"/>
                    <w:left w:val="none" w:sz="0" w:space="0" w:color="auto"/>
                    <w:bottom w:val="none" w:sz="0" w:space="0" w:color="auto"/>
                    <w:right w:val="none" w:sz="0" w:space="0" w:color="auto"/>
                  </w:divBdr>
                  <w:divsChild>
                    <w:div w:id="208342537">
                      <w:marLeft w:val="0"/>
                      <w:marRight w:val="0"/>
                      <w:marTop w:val="0"/>
                      <w:marBottom w:val="0"/>
                      <w:divBdr>
                        <w:top w:val="none" w:sz="0" w:space="0" w:color="auto"/>
                        <w:left w:val="none" w:sz="0" w:space="0" w:color="auto"/>
                        <w:bottom w:val="none" w:sz="0" w:space="0" w:color="auto"/>
                        <w:right w:val="none" w:sz="0" w:space="0" w:color="auto"/>
                      </w:divBdr>
                    </w:div>
                  </w:divsChild>
                </w:div>
                <w:div w:id="1933540526">
                  <w:marLeft w:val="0"/>
                  <w:marRight w:val="0"/>
                  <w:marTop w:val="0"/>
                  <w:marBottom w:val="0"/>
                  <w:divBdr>
                    <w:top w:val="none" w:sz="0" w:space="0" w:color="auto"/>
                    <w:left w:val="none" w:sz="0" w:space="0" w:color="auto"/>
                    <w:bottom w:val="none" w:sz="0" w:space="0" w:color="auto"/>
                    <w:right w:val="none" w:sz="0" w:space="0" w:color="auto"/>
                  </w:divBdr>
                  <w:divsChild>
                    <w:div w:id="874468731">
                      <w:marLeft w:val="0"/>
                      <w:marRight w:val="0"/>
                      <w:marTop w:val="0"/>
                      <w:marBottom w:val="0"/>
                      <w:divBdr>
                        <w:top w:val="none" w:sz="0" w:space="0" w:color="auto"/>
                        <w:left w:val="none" w:sz="0" w:space="0" w:color="auto"/>
                        <w:bottom w:val="none" w:sz="0" w:space="0" w:color="auto"/>
                        <w:right w:val="none" w:sz="0" w:space="0" w:color="auto"/>
                      </w:divBdr>
                    </w:div>
                    <w:div w:id="1697388842">
                      <w:marLeft w:val="0"/>
                      <w:marRight w:val="0"/>
                      <w:marTop w:val="0"/>
                      <w:marBottom w:val="0"/>
                      <w:divBdr>
                        <w:top w:val="none" w:sz="0" w:space="0" w:color="auto"/>
                        <w:left w:val="none" w:sz="0" w:space="0" w:color="auto"/>
                        <w:bottom w:val="none" w:sz="0" w:space="0" w:color="auto"/>
                        <w:right w:val="none" w:sz="0" w:space="0" w:color="auto"/>
                      </w:divBdr>
                    </w:div>
                  </w:divsChild>
                </w:div>
                <w:div w:id="1983076300">
                  <w:marLeft w:val="0"/>
                  <w:marRight w:val="0"/>
                  <w:marTop w:val="0"/>
                  <w:marBottom w:val="0"/>
                  <w:divBdr>
                    <w:top w:val="none" w:sz="0" w:space="0" w:color="auto"/>
                    <w:left w:val="none" w:sz="0" w:space="0" w:color="auto"/>
                    <w:bottom w:val="none" w:sz="0" w:space="0" w:color="auto"/>
                    <w:right w:val="none" w:sz="0" w:space="0" w:color="auto"/>
                  </w:divBdr>
                  <w:divsChild>
                    <w:div w:id="467673303">
                      <w:marLeft w:val="0"/>
                      <w:marRight w:val="0"/>
                      <w:marTop w:val="0"/>
                      <w:marBottom w:val="0"/>
                      <w:divBdr>
                        <w:top w:val="none" w:sz="0" w:space="0" w:color="auto"/>
                        <w:left w:val="none" w:sz="0" w:space="0" w:color="auto"/>
                        <w:bottom w:val="none" w:sz="0" w:space="0" w:color="auto"/>
                        <w:right w:val="none" w:sz="0" w:space="0" w:color="auto"/>
                      </w:divBdr>
                    </w:div>
                  </w:divsChild>
                </w:div>
                <w:div w:id="2049723079">
                  <w:marLeft w:val="0"/>
                  <w:marRight w:val="0"/>
                  <w:marTop w:val="0"/>
                  <w:marBottom w:val="0"/>
                  <w:divBdr>
                    <w:top w:val="none" w:sz="0" w:space="0" w:color="auto"/>
                    <w:left w:val="none" w:sz="0" w:space="0" w:color="auto"/>
                    <w:bottom w:val="none" w:sz="0" w:space="0" w:color="auto"/>
                    <w:right w:val="none" w:sz="0" w:space="0" w:color="auto"/>
                  </w:divBdr>
                  <w:divsChild>
                    <w:div w:id="651104640">
                      <w:marLeft w:val="0"/>
                      <w:marRight w:val="0"/>
                      <w:marTop w:val="0"/>
                      <w:marBottom w:val="0"/>
                      <w:divBdr>
                        <w:top w:val="none" w:sz="0" w:space="0" w:color="auto"/>
                        <w:left w:val="none" w:sz="0" w:space="0" w:color="auto"/>
                        <w:bottom w:val="none" w:sz="0" w:space="0" w:color="auto"/>
                        <w:right w:val="none" w:sz="0" w:space="0" w:color="auto"/>
                      </w:divBdr>
                    </w:div>
                  </w:divsChild>
                </w:div>
                <w:div w:id="2104721093">
                  <w:marLeft w:val="0"/>
                  <w:marRight w:val="0"/>
                  <w:marTop w:val="0"/>
                  <w:marBottom w:val="0"/>
                  <w:divBdr>
                    <w:top w:val="none" w:sz="0" w:space="0" w:color="auto"/>
                    <w:left w:val="none" w:sz="0" w:space="0" w:color="auto"/>
                    <w:bottom w:val="none" w:sz="0" w:space="0" w:color="auto"/>
                    <w:right w:val="none" w:sz="0" w:space="0" w:color="auto"/>
                  </w:divBdr>
                  <w:divsChild>
                    <w:div w:id="266160496">
                      <w:marLeft w:val="0"/>
                      <w:marRight w:val="0"/>
                      <w:marTop w:val="0"/>
                      <w:marBottom w:val="0"/>
                      <w:divBdr>
                        <w:top w:val="none" w:sz="0" w:space="0" w:color="auto"/>
                        <w:left w:val="none" w:sz="0" w:space="0" w:color="auto"/>
                        <w:bottom w:val="none" w:sz="0" w:space="0" w:color="auto"/>
                        <w:right w:val="none" w:sz="0" w:space="0" w:color="auto"/>
                      </w:divBdr>
                    </w:div>
                  </w:divsChild>
                </w:div>
                <w:div w:id="2134976415">
                  <w:marLeft w:val="0"/>
                  <w:marRight w:val="0"/>
                  <w:marTop w:val="0"/>
                  <w:marBottom w:val="0"/>
                  <w:divBdr>
                    <w:top w:val="none" w:sz="0" w:space="0" w:color="auto"/>
                    <w:left w:val="none" w:sz="0" w:space="0" w:color="auto"/>
                    <w:bottom w:val="none" w:sz="0" w:space="0" w:color="auto"/>
                    <w:right w:val="none" w:sz="0" w:space="0" w:color="auto"/>
                  </w:divBdr>
                  <w:divsChild>
                    <w:div w:id="32008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6824400">
      <w:bodyDiv w:val="1"/>
      <w:marLeft w:val="0"/>
      <w:marRight w:val="0"/>
      <w:marTop w:val="0"/>
      <w:marBottom w:val="0"/>
      <w:divBdr>
        <w:top w:val="none" w:sz="0" w:space="0" w:color="auto"/>
        <w:left w:val="none" w:sz="0" w:space="0" w:color="auto"/>
        <w:bottom w:val="none" w:sz="0" w:space="0" w:color="auto"/>
        <w:right w:val="none" w:sz="0" w:space="0" w:color="auto"/>
      </w:divBdr>
      <w:divsChild>
        <w:div w:id="581641693">
          <w:marLeft w:val="0"/>
          <w:marRight w:val="0"/>
          <w:marTop w:val="0"/>
          <w:marBottom w:val="0"/>
          <w:divBdr>
            <w:top w:val="none" w:sz="0" w:space="0" w:color="auto"/>
            <w:left w:val="none" w:sz="0" w:space="0" w:color="auto"/>
            <w:bottom w:val="none" w:sz="0" w:space="0" w:color="auto"/>
            <w:right w:val="none" w:sz="0" w:space="0" w:color="auto"/>
          </w:divBdr>
        </w:div>
        <w:div w:id="667365948">
          <w:marLeft w:val="0"/>
          <w:marRight w:val="0"/>
          <w:marTop w:val="0"/>
          <w:marBottom w:val="0"/>
          <w:divBdr>
            <w:top w:val="none" w:sz="0" w:space="0" w:color="auto"/>
            <w:left w:val="none" w:sz="0" w:space="0" w:color="auto"/>
            <w:bottom w:val="none" w:sz="0" w:space="0" w:color="auto"/>
            <w:right w:val="none" w:sz="0" w:space="0" w:color="auto"/>
          </w:divBdr>
        </w:div>
        <w:div w:id="672340230">
          <w:marLeft w:val="0"/>
          <w:marRight w:val="0"/>
          <w:marTop w:val="0"/>
          <w:marBottom w:val="0"/>
          <w:divBdr>
            <w:top w:val="none" w:sz="0" w:space="0" w:color="auto"/>
            <w:left w:val="none" w:sz="0" w:space="0" w:color="auto"/>
            <w:bottom w:val="none" w:sz="0" w:space="0" w:color="auto"/>
            <w:right w:val="none" w:sz="0" w:space="0" w:color="auto"/>
          </w:divBdr>
          <w:divsChild>
            <w:div w:id="36439667">
              <w:marLeft w:val="0"/>
              <w:marRight w:val="0"/>
              <w:marTop w:val="0"/>
              <w:marBottom w:val="0"/>
              <w:divBdr>
                <w:top w:val="none" w:sz="0" w:space="0" w:color="auto"/>
                <w:left w:val="none" w:sz="0" w:space="0" w:color="auto"/>
                <w:bottom w:val="none" w:sz="0" w:space="0" w:color="auto"/>
                <w:right w:val="none" w:sz="0" w:space="0" w:color="auto"/>
              </w:divBdr>
            </w:div>
            <w:div w:id="197669180">
              <w:marLeft w:val="0"/>
              <w:marRight w:val="0"/>
              <w:marTop w:val="0"/>
              <w:marBottom w:val="0"/>
              <w:divBdr>
                <w:top w:val="none" w:sz="0" w:space="0" w:color="auto"/>
                <w:left w:val="none" w:sz="0" w:space="0" w:color="auto"/>
                <w:bottom w:val="none" w:sz="0" w:space="0" w:color="auto"/>
                <w:right w:val="none" w:sz="0" w:space="0" w:color="auto"/>
              </w:divBdr>
            </w:div>
            <w:div w:id="423112030">
              <w:marLeft w:val="0"/>
              <w:marRight w:val="0"/>
              <w:marTop w:val="0"/>
              <w:marBottom w:val="0"/>
              <w:divBdr>
                <w:top w:val="none" w:sz="0" w:space="0" w:color="auto"/>
                <w:left w:val="none" w:sz="0" w:space="0" w:color="auto"/>
                <w:bottom w:val="none" w:sz="0" w:space="0" w:color="auto"/>
                <w:right w:val="none" w:sz="0" w:space="0" w:color="auto"/>
              </w:divBdr>
            </w:div>
            <w:div w:id="460808200">
              <w:marLeft w:val="0"/>
              <w:marRight w:val="0"/>
              <w:marTop w:val="0"/>
              <w:marBottom w:val="0"/>
              <w:divBdr>
                <w:top w:val="none" w:sz="0" w:space="0" w:color="auto"/>
                <w:left w:val="none" w:sz="0" w:space="0" w:color="auto"/>
                <w:bottom w:val="none" w:sz="0" w:space="0" w:color="auto"/>
                <w:right w:val="none" w:sz="0" w:space="0" w:color="auto"/>
              </w:divBdr>
            </w:div>
            <w:div w:id="692223000">
              <w:marLeft w:val="0"/>
              <w:marRight w:val="0"/>
              <w:marTop w:val="0"/>
              <w:marBottom w:val="0"/>
              <w:divBdr>
                <w:top w:val="none" w:sz="0" w:space="0" w:color="auto"/>
                <w:left w:val="none" w:sz="0" w:space="0" w:color="auto"/>
                <w:bottom w:val="none" w:sz="0" w:space="0" w:color="auto"/>
                <w:right w:val="none" w:sz="0" w:space="0" w:color="auto"/>
              </w:divBdr>
            </w:div>
            <w:div w:id="709188886">
              <w:marLeft w:val="0"/>
              <w:marRight w:val="0"/>
              <w:marTop w:val="0"/>
              <w:marBottom w:val="0"/>
              <w:divBdr>
                <w:top w:val="none" w:sz="0" w:space="0" w:color="auto"/>
                <w:left w:val="none" w:sz="0" w:space="0" w:color="auto"/>
                <w:bottom w:val="none" w:sz="0" w:space="0" w:color="auto"/>
                <w:right w:val="none" w:sz="0" w:space="0" w:color="auto"/>
              </w:divBdr>
            </w:div>
            <w:div w:id="806361096">
              <w:marLeft w:val="0"/>
              <w:marRight w:val="0"/>
              <w:marTop w:val="0"/>
              <w:marBottom w:val="0"/>
              <w:divBdr>
                <w:top w:val="none" w:sz="0" w:space="0" w:color="auto"/>
                <w:left w:val="none" w:sz="0" w:space="0" w:color="auto"/>
                <w:bottom w:val="none" w:sz="0" w:space="0" w:color="auto"/>
                <w:right w:val="none" w:sz="0" w:space="0" w:color="auto"/>
              </w:divBdr>
            </w:div>
            <w:div w:id="865369618">
              <w:marLeft w:val="0"/>
              <w:marRight w:val="0"/>
              <w:marTop w:val="0"/>
              <w:marBottom w:val="0"/>
              <w:divBdr>
                <w:top w:val="none" w:sz="0" w:space="0" w:color="auto"/>
                <w:left w:val="none" w:sz="0" w:space="0" w:color="auto"/>
                <w:bottom w:val="none" w:sz="0" w:space="0" w:color="auto"/>
                <w:right w:val="none" w:sz="0" w:space="0" w:color="auto"/>
              </w:divBdr>
            </w:div>
            <w:div w:id="1326082534">
              <w:marLeft w:val="0"/>
              <w:marRight w:val="0"/>
              <w:marTop w:val="0"/>
              <w:marBottom w:val="0"/>
              <w:divBdr>
                <w:top w:val="none" w:sz="0" w:space="0" w:color="auto"/>
                <w:left w:val="none" w:sz="0" w:space="0" w:color="auto"/>
                <w:bottom w:val="none" w:sz="0" w:space="0" w:color="auto"/>
                <w:right w:val="none" w:sz="0" w:space="0" w:color="auto"/>
              </w:divBdr>
            </w:div>
            <w:div w:id="1428189613">
              <w:marLeft w:val="0"/>
              <w:marRight w:val="0"/>
              <w:marTop w:val="0"/>
              <w:marBottom w:val="0"/>
              <w:divBdr>
                <w:top w:val="none" w:sz="0" w:space="0" w:color="auto"/>
                <w:left w:val="none" w:sz="0" w:space="0" w:color="auto"/>
                <w:bottom w:val="none" w:sz="0" w:space="0" w:color="auto"/>
                <w:right w:val="none" w:sz="0" w:space="0" w:color="auto"/>
              </w:divBdr>
            </w:div>
            <w:div w:id="1430001703">
              <w:marLeft w:val="0"/>
              <w:marRight w:val="0"/>
              <w:marTop w:val="0"/>
              <w:marBottom w:val="0"/>
              <w:divBdr>
                <w:top w:val="none" w:sz="0" w:space="0" w:color="auto"/>
                <w:left w:val="none" w:sz="0" w:space="0" w:color="auto"/>
                <w:bottom w:val="none" w:sz="0" w:space="0" w:color="auto"/>
                <w:right w:val="none" w:sz="0" w:space="0" w:color="auto"/>
              </w:divBdr>
            </w:div>
            <w:div w:id="1450970897">
              <w:marLeft w:val="0"/>
              <w:marRight w:val="0"/>
              <w:marTop w:val="0"/>
              <w:marBottom w:val="0"/>
              <w:divBdr>
                <w:top w:val="none" w:sz="0" w:space="0" w:color="auto"/>
                <w:left w:val="none" w:sz="0" w:space="0" w:color="auto"/>
                <w:bottom w:val="none" w:sz="0" w:space="0" w:color="auto"/>
                <w:right w:val="none" w:sz="0" w:space="0" w:color="auto"/>
              </w:divBdr>
            </w:div>
            <w:div w:id="1640646149">
              <w:marLeft w:val="0"/>
              <w:marRight w:val="0"/>
              <w:marTop w:val="0"/>
              <w:marBottom w:val="0"/>
              <w:divBdr>
                <w:top w:val="none" w:sz="0" w:space="0" w:color="auto"/>
                <w:left w:val="none" w:sz="0" w:space="0" w:color="auto"/>
                <w:bottom w:val="none" w:sz="0" w:space="0" w:color="auto"/>
                <w:right w:val="none" w:sz="0" w:space="0" w:color="auto"/>
              </w:divBdr>
            </w:div>
            <w:div w:id="1723752848">
              <w:marLeft w:val="0"/>
              <w:marRight w:val="0"/>
              <w:marTop w:val="0"/>
              <w:marBottom w:val="0"/>
              <w:divBdr>
                <w:top w:val="none" w:sz="0" w:space="0" w:color="auto"/>
                <w:left w:val="none" w:sz="0" w:space="0" w:color="auto"/>
                <w:bottom w:val="none" w:sz="0" w:space="0" w:color="auto"/>
                <w:right w:val="none" w:sz="0" w:space="0" w:color="auto"/>
              </w:divBdr>
            </w:div>
            <w:div w:id="1771701476">
              <w:marLeft w:val="0"/>
              <w:marRight w:val="0"/>
              <w:marTop w:val="0"/>
              <w:marBottom w:val="0"/>
              <w:divBdr>
                <w:top w:val="none" w:sz="0" w:space="0" w:color="auto"/>
                <w:left w:val="none" w:sz="0" w:space="0" w:color="auto"/>
                <w:bottom w:val="none" w:sz="0" w:space="0" w:color="auto"/>
                <w:right w:val="none" w:sz="0" w:space="0" w:color="auto"/>
              </w:divBdr>
            </w:div>
            <w:div w:id="1797675398">
              <w:marLeft w:val="0"/>
              <w:marRight w:val="0"/>
              <w:marTop w:val="0"/>
              <w:marBottom w:val="0"/>
              <w:divBdr>
                <w:top w:val="none" w:sz="0" w:space="0" w:color="auto"/>
                <w:left w:val="none" w:sz="0" w:space="0" w:color="auto"/>
                <w:bottom w:val="none" w:sz="0" w:space="0" w:color="auto"/>
                <w:right w:val="none" w:sz="0" w:space="0" w:color="auto"/>
              </w:divBdr>
            </w:div>
            <w:div w:id="2036929001">
              <w:marLeft w:val="0"/>
              <w:marRight w:val="0"/>
              <w:marTop w:val="0"/>
              <w:marBottom w:val="0"/>
              <w:divBdr>
                <w:top w:val="none" w:sz="0" w:space="0" w:color="auto"/>
                <w:left w:val="none" w:sz="0" w:space="0" w:color="auto"/>
                <w:bottom w:val="none" w:sz="0" w:space="0" w:color="auto"/>
                <w:right w:val="none" w:sz="0" w:space="0" w:color="auto"/>
              </w:divBdr>
            </w:div>
            <w:div w:id="2108382344">
              <w:marLeft w:val="0"/>
              <w:marRight w:val="0"/>
              <w:marTop w:val="0"/>
              <w:marBottom w:val="0"/>
              <w:divBdr>
                <w:top w:val="none" w:sz="0" w:space="0" w:color="auto"/>
                <w:left w:val="none" w:sz="0" w:space="0" w:color="auto"/>
                <w:bottom w:val="none" w:sz="0" w:space="0" w:color="auto"/>
                <w:right w:val="none" w:sz="0" w:space="0" w:color="auto"/>
              </w:divBdr>
            </w:div>
            <w:div w:id="2112241210">
              <w:marLeft w:val="0"/>
              <w:marRight w:val="0"/>
              <w:marTop w:val="0"/>
              <w:marBottom w:val="0"/>
              <w:divBdr>
                <w:top w:val="none" w:sz="0" w:space="0" w:color="auto"/>
                <w:left w:val="none" w:sz="0" w:space="0" w:color="auto"/>
                <w:bottom w:val="none" w:sz="0" w:space="0" w:color="auto"/>
                <w:right w:val="none" w:sz="0" w:space="0" w:color="auto"/>
              </w:divBdr>
            </w:div>
          </w:divsChild>
        </w:div>
        <w:div w:id="1534658710">
          <w:marLeft w:val="0"/>
          <w:marRight w:val="0"/>
          <w:marTop w:val="0"/>
          <w:marBottom w:val="0"/>
          <w:divBdr>
            <w:top w:val="none" w:sz="0" w:space="0" w:color="auto"/>
            <w:left w:val="none" w:sz="0" w:space="0" w:color="auto"/>
            <w:bottom w:val="none" w:sz="0" w:space="0" w:color="auto"/>
            <w:right w:val="none" w:sz="0" w:space="0" w:color="auto"/>
          </w:divBdr>
          <w:divsChild>
            <w:div w:id="944966175">
              <w:marLeft w:val="-75"/>
              <w:marRight w:val="0"/>
              <w:marTop w:val="30"/>
              <w:marBottom w:val="30"/>
              <w:divBdr>
                <w:top w:val="none" w:sz="0" w:space="0" w:color="auto"/>
                <w:left w:val="none" w:sz="0" w:space="0" w:color="auto"/>
                <w:bottom w:val="none" w:sz="0" w:space="0" w:color="auto"/>
                <w:right w:val="none" w:sz="0" w:space="0" w:color="auto"/>
              </w:divBdr>
              <w:divsChild>
                <w:div w:id="46613749">
                  <w:marLeft w:val="0"/>
                  <w:marRight w:val="0"/>
                  <w:marTop w:val="0"/>
                  <w:marBottom w:val="0"/>
                  <w:divBdr>
                    <w:top w:val="none" w:sz="0" w:space="0" w:color="auto"/>
                    <w:left w:val="none" w:sz="0" w:space="0" w:color="auto"/>
                    <w:bottom w:val="none" w:sz="0" w:space="0" w:color="auto"/>
                    <w:right w:val="none" w:sz="0" w:space="0" w:color="auto"/>
                  </w:divBdr>
                  <w:divsChild>
                    <w:div w:id="957295385">
                      <w:marLeft w:val="0"/>
                      <w:marRight w:val="0"/>
                      <w:marTop w:val="0"/>
                      <w:marBottom w:val="0"/>
                      <w:divBdr>
                        <w:top w:val="none" w:sz="0" w:space="0" w:color="auto"/>
                        <w:left w:val="none" w:sz="0" w:space="0" w:color="auto"/>
                        <w:bottom w:val="none" w:sz="0" w:space="0" w:color="auto"/>
                        <w:right w:val="none" w:sz="0" w:space="0" w:color="auto"/>
                      </w:divBdr>
                    </w:div>
                  </w:divsChild>
                </w:div>
                <w:div w:id="52118064">
                  <w:marLeft w:val="0"/>
                  <w:marRight w:val="0"/>
                  <w:marTop w:val="0"/>
                  <w:marBottom w:val="0"/>
                  <w:divBdr>
                    <w:top w:val="none" w:sz="0" w:space="0" w:color="auto"/>
                    <w:left w:val="none" w:sz="0" w:space="0" w:color="auto"/>
                    <w:bottom w:val="none" w:sz="0" w:space="0" w:color="auto"/>
                    <w:right w:val="none" w:sz="0" w:space="0" w:color="auto"/>
                  </w:divBdr>
                  <w:divsChild>
                    <w:div w:id="1274482556">
                      <w:marLeft w:val="0"/>
                      <w:marRight w:val="0"/>
                      <w:marTop w:val="0"/>
                      <w:marBottom w:val="0"/>
                      <w:divBdr>
                        <w:top w:val="none" w:sz="0" w:space="0" w:color="auto"/>
                        <w:left w:val="none" w:sz="0" w:space="0" w:color="auto"/>
                        <w:bottom w:val="none" w:sz="0" w:space="0" w:color="auto"/>
                        <w:right w:val="none" w:sz="0" w:space="0" w:color="auto"/>
                      </w:divBdr>
                    </w:div>
                  </w:divsChild>
                </w:div>
                <w:div w:id="112410198">
                  <w:marLeft w:val="0"/>
                  <w:marRight w:val="0"/>
                  <w:marTop w:val="0"/>
                  <w:marBottom w:val="0"/>
                  <w:divBdr>
                    <w:top w:val="none" w:sz="0" w:space="0" w:color="auto"/>
                    <w:left w:val="none" w:sz="0" w:space="0" w:color="auto"/>
                    <w:bottom w:val="none" w:sz="0" w:space="0" w:color="auto"/>
                    <w:right w:val="none" w:sz="0" w:space="0" w:color="auto"/>
                  </w:divBdr>
                  <w:divsChild>
                    <w:div w:id="2019504278">
                      <w:marLeft w:val="0"/>
                      <w:marRight w:val="0"/>
                      <w:marTop w:val="0"/>
                      <w:marBottom w:val="0"/>
                      <w:divBdr>
                        <w:top w:val="none" w:sz="0" w:space="0" w:color="auto"/>
                        <w:left w:val="none" w:sz="0" w:space="0" w:color="auto"/>
                        <w:bottom w:val="none" w:sz="0" w:space="0" w:color="auto"/>
                        <w:right w:val="none" w:sz="0" w:space="0" w:color="auto"/>
                      </w:divBdr>
                    </w:div>
                  </w:divsChild>
                </w:div>
                <w:div w:id="315916203">
                  <w:marLeft w:val="0"/>
                  <w:marRight w:val="0"/>
                  <w:marTop w:val="0"/>
                  <w:marBottom w:val="0"/>
                  <w:divBdr>
                    <w:top w:val="none" w:sz="0" w:space="0" w:color="auto"/>
                    <w:left w:val="none" w:sz="0" w:space="0" w:color="auto"/>
                    <w:bottom w:val="none" w:sz="0" w:space="0" w:color="auto"/>
                    <w:right w:val="none" w:sz="0" w:space="0" w:color="auto"/>
                  </w:divBdr>
                  <w:divsChild>
                    <w:div w:id="283855374">
                      <w:marLeft w:val="0"/>
                      <w:marRight w:val="0"/>
                      <w:marTop w:val="0"/>
                      <w:marBottom w:val="0"/>
                      <w:divBdr>
                        <w:top w:val="none" w:sz="0" w:space="0" w:color="auto"/>
                        <w:left w:val="none" w:sz="0" w:space="0" w:color="auto"/>
                        <w:bottom w:val="none" w:sz="0" w:space="0" w:color="auto"/>
                        <w:right w:val="none" w:sz="0" w:space="0" w:color="auto"/>
                      </w:divBdr>
                    </w:div>
                  </w:divsChild>
                </w:div>
                <w:div w:id="330760472">
                  <w:marLeft w:val="0"/>
                  <w:marRight w:val="0"/>
                  <w:marTop w:val="0"/>
                  <w:marBottom w:val="0"/>
                  <w:divBdr>
                    <w:top w:val="none" w:sz="0" w:space="0" w:color="auto"/>
                    <w:left w:val="none" w:sz="0" w:space="0" w:color="auto"/>
                    <w:bottom w:val="none" w:sz="0" w:space="0" w:color="auto"/>
                    <w:right w:val="none" w:sz="0" w:space="0" w:color="auto"/>
                  </w:divBdr>
                  <w:divsChild>
                    <w:div w:id="1830754853">
                      <w:marLeft w:val="0"/>
                      <w:marRight w:val="0"/>
                      <w:marTop w:val="0"/>
                      <w:marBottom w:val="0"/>
                      <w:divBdr>
                        <w:top w:val="none" w:sz="0" w:space="0" w:color="auto"/>
                        <w:left w:val="none" w:sz="0" w:space="0" w:color="auto"/>
                        <w:bottom w:val="none" w:sz="0" w:space="0" w:color="auto"/>
                        <w:right w:val="none" w:sz="0" w:space="0" w:color="auto"/>
                      </w:divBdr>
                    </w:div>
                  </w:divsChild>
                </w:div>
                <w:div w:id="373970632">
                  <w:marLeft w:val="0"/>
                  <w:marRight w:val="0"/>
                  <w:marTop w:val="0"/>
                  <w:marBottom w:val="0"/>
                  <w:divBdr>
                    <w:top w:val="none" w:sz="0" w:space="0" w:color="auto"/>
                    <w:left w:val="none" w:sz="0" w:space="0" w:color="auto"/>
                    <w:bottom w:val="none" w:sz="0" w:space="0" w:color="auto"/>
                    <w:right w:val="none" w:sz="0" w:space="0" w:color="auto"/>
                  </w:divBdr>
                  <w:divsChild>
                    <w:div w:id="536702274">
                      <w:marLeft w:val="0"/>
                      <w:marRight w:val="0"/>
                      <w:marTop w:val="0"/>
                      <w:marBottom w:val="0"/>
                      <w:divBdr>
                        <w:top w:val="none" w:sz="0" w:space="0" w:color="auto"/>
                        <w:left w:val="none" w:sz="0" w:space="0" w:color="auto"/>
                        <w:bottom w:val="none" w:sz="0" w:space="0" w:color="auto"/>
                        <w:right w:val="none" w:sz="0" w:space="0" w:color="auto"/>
                      </w:divBdr>
                    </w:div>
                  </w:divsChild>
                </w:div>
                <w:div w:id="427967656">
                  <w:marLeft w:val="0"/>
                  <w:marRight w:val="0"/>
                  <w:marTop w:val="0"/>
                  <w:marBottom w:val="0"/>
                  <w:divBdr>
                    <w:top w:val="none" w:sz="0" w:space="0" w:color="auto"/>
                    <w:left w:val="none" w:sz="0" w:space="0" w:color="auto"/>
                    <w:bottom w:val="none" w:sz="0" w:space="0" w:color="auto"/>
                    <w:right w:val="none" w:sz="0" w:space="0" w:color="auto"/>
                  </w:divBdr>
                  <w:divsChild>
                    <w:div w:id="930815346">
                      <w:marLeft w:val="0"/>
                      <w:marRight w:val="0"/>
                      <w:marTop w:val="0"/>
                      <w:marBottom w:val="0"/>
                      <w:divBdr>
                        <w:top w:val="none" w:sz="0" w:space="0" w:color="auto"/>
                        <w:left w:val="none" w:sz="0" w:space="0" w:color="auto"/>
                        <w:bottom w:val="none" w:sz="0" w:space="0" w:color="auto"/>
                        <w:right w:val="none" w:sz="0" w:space="0" w:color="auto"/>
                      </w:divBdr>
                    </w:div>
                    <w:div w:id="1100444864">
                      <w:marLeft w:val="0"/>
                      <w:marRight w:val="0"/>
                      <w:marTop w:val="0"/>
                      <w:marBottom w:val="0"/>
                      <w:divBdr>
                        <w:top w:val="none" w:sz="0" w:space="0" w:color="auto"/>
                        <w:left w:val="none" w:sz="0" w:space="0" w:color="auto"/>
                        <w:bottom w:val="none" w:sz="0" w:space="0" w:color="auto"/>
                        <w:right w:val="none" w:sz="0" w:space="0" w:color="auto"/>
                      </w:divBdr>
                    </w:div>
                  </w:divsChild>
                </w:div>
                <w:div w:id="480317316">
                  <w:marLeft w:val="0"/>
                  <w:marRight w:val="0"/>
                  <w:marTop w:val="0"/>
                  <w:marBottom w:val="0"/>
                  <w:divBdr>
                    <w:top w:val="none" w:sz="0" w:space="0" w:color="auto"/>
                    <w:left w:val="none" w:sz="0" w:space="0" w:color="auto"/>
                    <w:bottom w:val="none" w:sz="0" w:space="0" w:color="auto"/>
                    <w:right w:val="none" w:sz="0" w:space="0" w:color="auto"/>
                  </w:divBdr>
                  <w:divsChild>
                    <w:div w:id="1488742041">
                      <w:marLeft w:val="0"/>
                      <w:marRight w:val="0"/>
                      <w:marTop w:val="0"/>
                      <w:marBottom w:val="0"/>
                      <w:divBdr>
                        <w:top w:val="none" w:sz="0" w:space="0" w:color="auto"/>
                        <w:left w:val="none" w:sz="0" w:space="0" w:color="auto"/>
                        <w:bottom w:val="none" w:sz="0" w:space="0" w:color="auto"/>
                        <w:right w:val="none" w:sz="0" w:space="0" w:color="auto"/>
                      </w:divBdr>
                    </w:div>
                  </w:divsChild>
                </w:div>
                <w:div w:id="537008728">
                  <w:marLeft w:val="0"/>
                  <w:marRight w:val="0"/>
                  <w:marTop w:val="0"/>
                  <w:marBottom w:val="0"/>
                  <w:divBdr>
                    <w:top w:val="none" w:sz="0" w:space="0" w:color="auto"/>
                    <w:left w:val="none" w:sz="0" w:space="0" w:color="auto"/>
                    <w:bottom w:val="none" w:sz="0" w:space="0" w:color="auto"/>
                    <w:right w:val="none" w:sz="0" w:space="0" w:color="auto"/>
                  </w:divBdr>
                  <w:divsChild>
                    <w:div w:id="1227455778">
                      <w:marLeft w:val="0"/>
                      <w:marRight w:val="0"/>
                      <w:marTop w:val="0"/>
                      <w:marBottom w:val="0"/>
                      <w:divBdr>
                        <w:top w:val="none" w:sz="0" w:space="0" w:color="auto"/>
                        <w:left w:val="none" w:sz="0" w:space="0" w:color="auto"/>
                        <w:bottom w:val="none" w:sz="0" w:space="0" w:color="auto"/>
                        <w:right w:val="none" w:sz="0" w:space="0" w:color="auto"/>
                      </w:divBdr>
                    </w:div>
                  </w:divsChild>
                </w:div>
                <w:div w:id="560673878">
                  <w:marLeft w:val="0"/>
                  <w:marRight w:val="0"/>
                  <w:marTop w:val="0"/>
                  <w:marBottom w:val="0"/>
                  <w:divBdr>
                    <w:top w:val="none" w:sz="0" w:space="0" w:color="auto"/>
                    <w:left w:val="none" w:sz="0" w:space="0" w:color="auto"/>
                    <w:bottom w:val="none" w:sz="0" w:space="0" w:color="auto"/>
                    <w:right w:val="none" w:sz="0" w:space="0" w:color="auto"/>
                  </w:divBdr>
                  <w:divsChild>
                    <w:div w:id="1592808912">
                      <w:marLeft w:val="0"/>
                      <w:marRight w:val="0"/>
                      <w:marTop w:val="0"/>
                      <w:marBottom w:val="0"/>
                      <w:divBdr>
                        <w:top w:val="none" w:sz="0" w:space="0" w:color="auto"/>
                        <w:left w:val="none" w:sz="0" w:space="0" w:color="auto"/>
                        <w:bottom w:val="none" w:sz="0" w:space="0" w:color="auto"/>
                        <w:right w:val="none" w:sz="0" w:space="0" w:color="auto"/>
                      </w:divBdr>
                    </w:div>
                  </w:divsChild>
                </w:div>
                <w:div w:id="602809049">
                  <w:marLeft w:val="0"/>
                  <w:marRight w:val="0"/>
                  <w:marTop w:val="0"/>
                  <w:marBottom w:val="0"/>
                  <w:divBdr>
                    <w:top w:val="none" w:sz="0" w:space="0" w:color="auto"/>
                    <w:left w:val="none" w:sz="0" w:space="0" w:color="auto"/>
                    <w:bottom w:val="none" w:sz="0" w:space="0" w:color="auto"/>
                    <w:right w:val="none" w:sz="0" w:space="0" w:color="auto"/>
                  </w:divBdr>
                  <w:divsChild>
                    <w:div w:id="1031805775">
                      <w:marLeft w:val="0"/>
                      <w:marRight w:val="0"/>
                      <w:marTop w:val="0"/>
                      <w:marBottom w:val="0"/>
                      <w:divBdr>
                        <w:top w:val="none" w:sz="0" w:space="0" w:color="auto"/>
                        <w:left w:val="none" w:sz="0" w:space="0" w:color="auto"/>
                        <w:bottom w:val="none" w:sz="0" w:space="0" w:color="auto"/>
                        <w:right w:val="none" w:sz="0" w:space="0" w:color="auto"/>
                      </w:divBdr>
                    </w:div>
                  </w:divsChild>
                </w:div>
                <w:div w:id="616446086">
                  <w:marLeft w:val="0"/>
                  <w:marRight w:val="0"/>
                  <w:marTop w:val="0"/>
                  <w:marBottom w:val="0"/>
                  <w:divBdr>
                    <w:top w:val="none" w:sz="0" w:space="0" w:color="auto"/>
                    <w:left w:val="none" w:sz="0" w:space="0" w:color="auto"/>
                    <w:bottom w:val="none" w:sz="0" w:space="0" w:color="auto"/>
                    <w:right w:val="none" w:sz="0" w:space="0" w:color="auto"/>
                  </w:divBdr>
                  <w:divsChild>
                    <w:div w:id="741022059">
                      <w:marLeft w:val="0"/>
                      <w:marRight w:val="0"/>
                      <w:marTop w:val="0"/>
                      <w:marBottom w:val="0"/>
                      <w:divBdr>
                        <w:top w:val="none" w:sz="0" w:space="0" w:color="auto"/>
                        <w:left w:val="none" w:sz="0" w:space="0" w:color="auto"/>
                        <w:bottom w:val="none" w:sz="0" w:space="0" w:color="auto"/>
                        <w:right w:val="none" w:sz="0" w:space="0" w:color="auto"/>
                      </w:divBdr>
                    </w:div>
                  </w:divsChild>
                </w:div>
                <w:div w:id="648247342">
                  <w:marLeft w:val="0"/>
                  <w:marRight w:val="0"/>
                  <w:marTop w:val="0"/>
                  <w:marBottom w:val="0"/>
                  <w:divBdr>
                    <w:top w:val="none" w:sz="0" w:space="0" w:color="auto"/>
                    <w:left w:val="none" w:sz="0" w:space="0" w:color="auto"/>
                    <w:bottom w:val="none" w:sz="0" w:space="0" w:color="auto"/>
                    <w:right w:val="none" w:sz="0" w:space="0" w:color="auto"/>
                  </w:divBdr>
                  <w:divsChild>
                    <w:div w:id="1567570011">
                      <w:marLeft w:val="0"/>
                      <w:marRight w:val="0"/>
                      <w:marTop w:val="0"/>
                      <w:marBottom w:val="0"/>
                      <w:divBdr>
                        <w:top w:val="none" w:sz="0" w:space="0" w:color="auto"/>
                        <w:left w:val="none" w:sz="0" w:space="0" w:color="auto"/>
                        <w:bottom w:val="none" w:sz="0" w:space="0" w:color="auto"/>
                        <w:right w:val="none" w:sz="0" w:space="0" w:color="auto"/>
                      </w:divBdr>
                    </w:div>
                  </w:divsChild>
                </w:div>
                <w:div w:id="704908839">
                  <w:marLeft w:val="0"/>
                  <w:marRight w:val="0"/>
                  <w:marTop w:val="0"/>
                  <w:marBottom w:val="0"/>
                  <w:divBdr>
                    <w:top w:val="none" w:sz="0" w:space="0" w:color="auto"/>
                    <w:left w:val="none" w:sz="0" w:space="0" w:color="auto"/>
                    <w:bottom w:val="none" w:sz="0" w:space="0" w:color="auto"/>
                    <w:right w:val="none" w:sz="0" w:space="0" w:color="auto"/>
                  </w:divBdr>
                  <w:divsChild>
                    <w:div w:id="1144617336">
                      <w:marLeft w:val="0"/>
                      <w:marRight w:val="0"/>
                      <w:marTop w:val="0"/>
                      <w:marBottom w:val="0"/>
                      <w:divBdr>
                        <w:top w:val="none" w:sz="0" w:space="0" w:color="auto"/>
                        <w:left w:val="none" w:sz="0" w:space="0" w:color="auto"/>
                        <w:bottom w:val="none" w:sz="0" w:space="0" w:color="auto"/>
                        <w:right w:val="none" w:sz="0" w:space="0" w:color="auto"/>
                      </w:divBdr>
                    </w:div>
                  </w:divsChild>
                </w:div>
                <w:div w:id="737099143">
                  <w:marLeft w:val="0"/>
                  <w:marRight w:val="0"/>
                  <w:marTop w:val="0"/>
                  <w:marBottom w:val="0"/>
                  <w:divBdr>
                    <w:top w:val="none" w:sz="0" w:space="0" w:color="auto"/>
                    <w:left w:val="none" w:sz="0" w:space="0" w:color="auto"/>
                    <w:bottom w:val="none" w:sz="0" w:space="0" w:color="auto"/>
                    <w:right w:val="none" w:sz="0" w:space="0" w:color="auto"/>
                  </w:divBdr>
                  <w:divsChild>
                    <w:div w:id="2062512777">
                      <w:marLeft w:val="0"/>
                      <w:marRight w:val="0"/>
                      <w:marTop w:val="0"/>
                      <w:marBottom w:val="0"/>
                      <w:divBdr>
                        <w:top w:val="none" w:sz="0" w:space="0" w:color="auto"/>
                        <w:left w:val="none" w:sz="0" w:space="0" w:color="auto"/>
                        <w:bottom w:val="none" w:sz="0" w:space="0" w:color="auto"/>
                        <w:right w:val="none" w:sz="0" w:space="0" w:color="auto"/>
                      </w:divBdr>
                    </w:div>
                  </w:divsChild>
                </w:div>
                <w:div w:id="760029174">
                  <w:marLeft w:val="0"/>
                  <w:marRight w:val="0"/>
                  <w:marTop w:val="0"/>
                  <w:marBottom w:val="0"/>
                  <w:divBdr>
                    <w:top w:val="none" w:sz="0" w:space="0" w:color="auto"/>
                    <w:left w:val="none" w:sz="0" w:space="0" w:color="auto"/>
                    <w:bottom w:val="none" w:sz="0" w:space="0" w:color="auto"/>
                    <w:right w:val="none" w:sz="0" w:space="0" w:color="auto"/>
                  </w:divBdr>
                  <w:divsChild>
                    <w:div w:id="1219828826">
                      <w:marLeft w:val="0"/>
                      <w:marRight w:val="0"/>
                      <w:marTop w:val="0"/>
                      <w:marBottom w:val="0"/>
                      <w:divBdr>
                        <w:top w:val="none" w:sz="0" w:space="0" w:color="auto"/>
                        <w:left w:val="none" w:sz="0" w:space="0" w:color="auto"/>
                        <w:bottom w:val="none" w:sz="0" w:space="0" w:color="auto"/>
                        <w:right w:val="none" w:sz="0" w:space="0" w:color="auto"/>
                      </w:divBdr>
                    </w:div>
                  </w:divsChild>
                </w:div>
                <w:div w:id="766315611">
                  <w:marLeft w:val="0"/>
                  <w:marRight w:val="0"/>
                  <w:marTop w:val="0"/>
                  <w:marBottom w:val="0"/>
                  <w:divBdr>
                    <w:top w:val="none" w:sz="0" w:space="0" w:color="auto"/>
                    <w:left w:val="none" w:sz="0" w:space="0" w:color="auto"/>
                    <w:bottom w:val="none" w:sz="0" w:space="0" w:color="auto"/>
                    <w:right w:val="none" w:sz="0" w:space="0" w:color="auto"/>
                  </w:divBdr>
                  <w:divsChild>
                    <w:div w:id="1629120067">
                      <w:marLeft w:val="0"/>
                      <w:marRight w:val="0"/>
                      <w:marTop w:val="0"/>
                      <w:marBottom w:val="0"/>
                      <w:divBdr>
                        <w:top w:val="none" w:sz="0" w:space="0" w:color="auto"/>
                        <w:left w:val="none" w:sz="0" w:space="0" w:color="auto"/>
                        <w:bottom w:val="none" w:sz="0" w:space="0" w:color="auto"/>
                        <w:right w:val="none" w:sz="0" w:space="0" w:color="auto"/>
                      </w:divBdr>
                    </w:div>
                  </w:divsChild>
                </w:div>
                <w:div w:id="773522937">
                  <w:marLeft w:val="0"/>
                  <w:marRight w:val="0"/>
                  <w:marTop w:val="0"/>
                  <w:marBottom w:val="0"/>
                  <w:divBdr>
                    <w:top w:val="none" w:sz="0" w:space="0" w:color="auto"/>
                    <w:left w:val="none" w:sz="0" w:space="0" w:color="auto"/>
                    <w:bottom w:val="none" w:sz="0" w:space="0" w:color="auto"/>
                    <w:right w:val="none" w:sz="0" w:space="0" w:color="auto"/>
                  </w:divBdr>
                  <w:divsChild>
                    <w:div w:id="25059072">
                      <w:marLeft w:val="0"/>
                      <w:marRight w:val="0"/>
                      <w:marTop w:val="0"/>
                      <w:marBottom w:val="0"/>
                      <w:divBdr>
                        <w:top w:val="none" w:sz="0" w:space="0" w:color="auto"/>
                        <w:left w:val="none" w:sz="0" w:space="0" w:color="auto"/>
                        <w:bottom w:val="none" w:sz="0" w:space="0" w:color="auto"/>
                        <w:right w:val="none" w:sz="0" w:space="0" w:color="auto"/>
                      </w:divBdr>
                    </w:div>
                  </w:divsChild>
                </w:div>
                <w:div w:id="803230874">
                  <w:marLeft w:val="0"/>
                  <w:marRight w:val="0"/>
                  <w:marTop w:val="0"/>
                  <w:marBottom w:val="0"/>
                  <w:divBdr>
                    <w:top w:val="none" w:sz="0" w:space="0" w:color="auto"/>
                    <w:left w:val="none" w:sz="0" w:space="0" w:color="auto"/>
                    <w:bottom w:val="none" w:sz="0" w:space="0" w:color="auto"/>
                    <w:right w:val="none" w:sz="0" w:space="0" w:color="auto"/>
                  </w:divBdr>
                  <w:divsChild>
                    <w:div w:id="1061564284">
                      <w:marLeft w:val="0"/>
                      <w:marRight w:val="0"/>
                      <w:marTop w:val="0"/>
                      <w:marBottom w:val="0"/>
                      <w:divBdr>
                        <w:top w:val="none" w:sz="0" w:space="0" w:color="auto"/>
                        <w:left w:val="none" w:sz="0" w:space="0" w:color="auto"/>
                        <w:bottom w:val="none" w:sz="0" w:space="0" w:color="auto"/>
                        <w:right w:val="none" w:sz="0" w:space="0" w:color="auto"/>
                      </w:divBdr>
                    </w:div>
                  </w:divsChild>
                </w:div>
                <w:div w:id="839471167">
                  <w:marLeft w:val="0"/>
                  <w:marRight w:val="0"/>
                  <w:marTop w:val="0"/>
                  <w:marBottom w:val="0"/>
                  <w:divBdr>
                    <w:top w:val="none" w:sz="0" w:space="0" w:color="auto"/>
                    <w:left w:val="none" w:sz="0" w:space="0" w:color="auto"/>
                    <w:bottom w:val="none" w:sz="0" w:space="0" w:color="auto"/>
                    <w:right w:val="none" w:sz="0" w:space="0" w:color="auto"/>
                  </w:divBdr>
                  <w:divsChild>
                    <w:div w:id="1785885175">
                      <w:marLeft w:val="0"/>
                      <w:marRight w:val="0"/>
                      <w:marTop w:val="0"/>
                      <w:marBottom w:val="0"/>
                      <w:divBdr>
                        <w:top w:val="none" w:sz="0" w:space="0" w:color="auto"/>
                        <w:left w:val="none" w:sz="0" w:space="0" w:color="auto"/>
                        <w:bottom w:val="none" w:sz="0" w:space="0" w:color="auto"/>
                        <w:right w:val="none" w:sz="0" w:space="0" w:color="auto"/>
                      </w:divBdr>
                    </w:div>
                  </w:divsChild>
                </w:div>
                <w:div w:id="865217026">
                  <w:marLeft w:val="0"/>
                  <w:marRight w:val="0"/>
                  <w:marTop w:val="0"/>
                  <w:marBottom w:val="0"/>
                  <w:divBdr>
                    <w:top w:val="none" w:sz="0" w:space="0" w:color="auto"/>
                    <w:left w:val="none" w:sz="0" w:space="0" w:color="auto"/>
                    <w:bottom w:val="none" w:sz="0" w:space="0" w:color="auto"/>
                    <w:right w:val="none" w:sz="0" w:space="0" w:color="auto"/>
                  </w:divBdr>
                  <w:divsChild>
                    <w:div w:id="817460507">
                      <w:marLeft w:val="0"/>
                      <w:marRight w:val="0"/>
                      <w:marTop w:val="0"/>
                      <w:marBottom w:val="0"/>
                      <w:divBdr>
                        <w:top w:val="none" w:sz="0" w:space="0" w:color="auto"/>
                        <w:left w:val="none" w:sz="0" w:space="0" w:color="auto"/>
                        <w:bottom w:val="none" w:sz="0" w:space="0" w:color="auto"/>
                        <w:right w:val="none" w:sz="0" w:space="0" w:color="auto"/>
                      </w:divBdr>
                    </w:div>
                  </w:divsChild>
                </w:div>
                <w:div w:id="944270813">
                  <w:marLeft w:val="0"/>
                  <w:marRight w:val="0"/>
                  <w:marTop w:val="0"/>
                  <w:marBottom w:val="0"/>
                  <w:divBdr>
                    <w:top w:val="none" w:sz="0" w:space="0" w:color="auto"/>
                    <w:left w:val="none" w:sz="0" w:space="0" w:color="auto"/>
                    <w:bottom w:val="none" w:sz="0" w:space="0" w:color="auto"/>
                    <w:right w:val="none" w:sz="0" w:space="0" w:color="auto"/>
                  </w:divBdr>
                  <w:divsChild>
                    <w:div w:id="198397021">
                      <w:marLeft w:val="0"/>
                      <w:marRight w:val="0"/>
                      <w:marTop w:val="0"/>
                      <w:marBottom w:val="0"/>
                      <w:divBdr>
                        <w:top w:val="none" w:sz="0" w:space="0" w:color="auto"/>
                        <w:left w:val="none" w:sz="0" w:space="0" w:color="auto"/>
                        <w:bottom w:val="none" w:sz="0" w:space="0" w:color="auto"/>
                        <w:right w:val="none" w:sz="0" w:space="0" w:color="auto"/>
                      </w:divBdr>
                    </w:div>
                  </w:divsChild>
                </w:div>
                <w:div w:id="1137140723">
                  <w:marLeft w:val="0"/>
                  <w:marRight w:val="0"/>
                  <w:marTop w:val="0"/>
                  <w:marBottom w:val="0"/>
                  <w:divBdr>
                    <w:top w:val="none" w:sz="0" w:space="0" w:color="auto"/>
                    <w:left w:val="none" w:sz="0" w:space="0" w:color="auto"/>
                    <w:bottom w:val="none" w:sz="0" w:space="0" w:color="auto"/>
                    <w:right w:val="none" w:sz="0" w:space="0" w:color="auto"/>
                  </w:divBdr>
                  <w:divsChild>
                    <w:div w:id="844441371">
                      <w:marLeft w:val="0"/>
                      <w:marRight w:val="0"/>
                      <w:marTop w:val="0"/>
                      <w:marBottom w:val="0"/>
                      <w:divBdr>
                        <w:top w:val="none" w:sz="0" w:space="0" w:color="auto"/>
                        <w:left w:val="none" w:sz="0" w:space="0" w:color="auto"/>
                        <w:bottom w:val="none" w:sz="0" w:space="0" w:color="auto"/>
                        <w:right w:val="none" w:sz="0" w:space="0" w:color="auto"/>
                      </w:divBdr>
                    </w:div>
                  </w:divsChild>
                </w:div>
                <w:div w:id="1268583060">
                  <w:marLeft w:val="0"/>
                  <w:marRight w:val="0"/>
                  <w:marTop w:val="0"/>
                  <w:marBottom w:val="0"/>
                  <w:divBdr>
                    <w:top w:val="none" w:sz="0" w:space="0" w:color="auto"/>
                    <w:left w:val="none" w:sz="0" w:space="0" w:color="auto"/>
                    <w:bottom w:val="none" w:sz="0" w:space="0" w:color="auto"/>
                    <w:right w:val="none" w:sz="0" w:space="0" w:color="auto"/>
                  </w:divBdr>
                  <w:divsChild>
                    <w:div w:id="1746340807">
                      <w:marLeft w:val="0"/>
                      <w:marRight w:val="0"/>
                      <w:marTop w:val="0"/>
                      <w:marBottom w:val="0"/>
                      <w:divBdr>
                        <w:top w:val="none" w:sz="0" w:space="0" w:color="auto"/>
                        <w:left w:val="none" w:sz="0" w:space="0" w:color="auto"/>
                        <w:bottom w:val="none" w:sz="0" w:space="0" w:color="auto"/>
                        <w:right w:val="none" w:sz="0" w:space="0" w:color="auto"/>
                      </w:divBdr>
                    </w:div>
                  </w:divsChild>
                </w:div>
                <w:div w:id="1353340159">
                  <w:marLeft w:val="0"/>
                  <w:marRight w:val="0"/>
                  <w:marTop w:val="0"/>
                  <w:marBottom w:val="0"/>
                  <w:divBdr>
                    <w:top w:val="none" w:sz="0" w:space="0" w:color="auto"/>
                    <w:left w:val="none" w:sz="0" w:space="0" w:color="auto"/>
                    <w:bottom w:val="none" w:sz="0" w:space="0" w:color="auto"/>
                    <w:right w:val="none" w:sz="0" w:space="0" w:color="auto"/>
                  </w:divBdr>
                  <w:divsChild>
                    <w:div w:id="614019685">
                      <w:marLeft w:val="0"/>
                      <w:marRight w:val="0"/>
                      <w:marTop w:val="0"/>
                      <w:marBottom w:val="0"/>
                      <w:divBdr>
                        <w:top w:val="none" w:sz="0" w:space="0" w:color="auto"/>
                        <w:left w:val="none" w:sz="0" w:space="0" w:color="auto"/>
                        <w:bottom w:val="none" w:sz="0" w:space="0" w:color="auto"/>
                        <w:right w:val="none" w:sz="0" w:space="0" w:color="auto"/>
                      </w:divBdr>
                    </w:div>
                  </w:divsChild>
                </w:div>
                <w:div w:id="1450472530">
                  <w:marLeft w:val="0"/>
                  <w:marRight w:val="0"/>
                  <w:marTop w:val="0"/>
                  <w:marBottom w:val="0"/>
                  <w:divBdr>
                    <w:top w:val="none" w:sz="0" w:space="0" w:color="auto"/>
                    <w:left w:val="none" w:sz="0" w:space="0" w:color="auto"/>
                    <w:bottom w:val="none" w:sz="0" w:space="0" w:color="auto"/>
                    <w:right w:val="none" w:sz="0" w:space="0" w:color="auto"/>
                  </w:divBdr>
                  <w:divsChild>
                    <w:div w:id="511379265">
                      <w:marLeft w:val="0"/>
                      <w:marRight w:val="0"/>
                      <w:marTop w:val="0"/>
                      <w:marBottom w:val="0"/>
                      <w:divBdr>
                        <w:top w:val="none" w:sz="0" w:space="0" w:color="auto"/>
                        <w:left w:val="none" w:sz="0" w:space="0" w:color="auto"/>
                        <w:bottom w:val="none" w:sz="0" w:space="0" w:color="auto"/>
                        <w:right w:val="none" w:sz="0" w:space="0" w:color="auto"/>
                      </w:divBdr>
                    </w:div>
                  </w:divsChild>
                </w:div>
                <w:div w:id="1459834001">
                  <w:marLeft w:val="0"/>
                  <w:marRight w:val="0"/>
                  <w:marTop w:val="0"/>
                  <w:marBottom w:val="0"/>
                  <w:divBdr>
                    <w:top w:val="none" w:sz="0" w:space="0" w:color="auto"/>
                    <w:left w:val="none" w:sz="0" w:space="0" w:color="auto"/>
                    <w:bottom w:val="none" w:sz="0" w:space="0" w:color="auto"/>
                    <w:right w:val="none" w:sz="0" w:space="0" w:color="auto"/>
                  </w:divBdr>
                  <w:divsChild>
                    <w:div w:id="1894655258">
                      <w:marLeft w:val="0"/>
                      <w:marRight w:val="0"/>
                      <w:marTop w:val="0"/>
                      <w:marBottom w:val="0"/>
                      <w:divBdr>
                        <w:top w:val="none" w:sz="0" w:space="0" w:color="auto"/>
                        <w:left w:val="none" w:sz="0" w:space="0" w:color="auto"/>
                        <w:bottom w:val="none" w:sz="0" w:space="0" w:color="auto"/>
                        <w:right w:val="none" w:sz="0" w:space="0" w:color="auto"/>
                      </w:divBdr>
                    </w:div>
                  </w:divsChild>
                </w:div>
                <w:div w:id="1533181580">
                  <w:marLeft w:val="0"/>
                  <w:marRight w:val="0"/>
                  <w:marTop w:val="0"/>
                  <w:marBottom w:val="0"/>
                  <w:divBdr>
                    <w:top w:val="none" w:sz="0" w:space="0" w:color="auto"/>
                    <w:left w:val="none" w:sz="0" w:space="0" w:color="auto"/>
                    <w:bottom w:val="none" w:sz="0" w:space="0" w:color="auto"/>
                    <w:right w:val="none" w:sz="0" w:space="0" w:color="auto"/>
                  </w:divBdr>
                  <w:divsChild>
                    <w:div w:id="1743332754">
                      <w:marLeft w:val="0"/>
                      <w:marRight w:val="0"/>
                      <w:marTop w:val="0"/>
                      <w:marBottom w:val="0"/>
                      <w:divBdr>
                        <w:top w:val="none" w:sz="0" w:space="0" w:color="auto"/>
                        <w:left w:val="none" w:sz="0" w:space="0" w:color="auto"/>
                        <w:bottom w:val="none" w:sz="0" w:space="0" w:color="auto"/>
                        <w:right w:val="none" w:sz="0" w:space="0" w:color="auto"/>
                      </w:divBdr>
                    </w:div>
                  </w:divsChild>
                </w:div>
                <w:div w:id="1553686309">
                  <w:marLeft w:val="0"/>
                  <w:marRight w:val="0"/>
                  <w:marTop w:val="0"/>
                  <w:marBottom w:val="0"/>
                  <w:divBdr>
                    <w:top w:val="none" w:sz="0" w:space="0" w:color="auto"/>
                    <w:left w:val="none" w:sz="0" w:space="0" w:color="auto"/>
                    <w:bottom w:val="none" w:sz="0" w:space="0" w:color="auto"/>
                    <w:right w:val="none" w:sz="0" w:space="0" w:color="auto"/>
                  </w:divBdr>
                  <w:divsChild>
                    <w:div w:id="1357267521">
                      <w:marLeft w:val="0"/>
                      <w:marRight w:val="0"/>
                      <w:marTop w:val="0"/>
                      <w:marBottom w:val="0"/>
                      <w:divBdr>
                        <w:top w:val="none" w:sz="0" w:space="0" w:color="auto"/>
                        <w:left w:val="none" w:sz="0" w:space="0" w:color="auto"/>
                        <w:bottom w:val="none" w:sz="0" w:space="0" w:color="auto"/>
                        <w:right w:val="none" w:sz="0" w:space="0" w:color="auto"/>
                      </w:divBdr>
                    </w:div>
                  </w:divsChild>
                </w:div>
                <w:div w:id="1568998940">
                  <w:marLeft w:val="0"/>
                  <w:marRight w:val="0"/>
                  <w:marTop w:val="0"/>
                  <w:marBottom w:val="0"/>
                  <w:divBdr>
                    <w:top w:val="none" w:sz="0" w:space="0" w:color="auto"/>
                    <w:left w:val="none" w:sz="0" w:space="0" w:color="auto"/>
                    <w:bottom w:val="none" w:sz="0" w:space="0" w:color="auto"/>
                    <w:right w:val="none" w:sz="0" w:space="0" w:color="auto"/>
                  </w:divBdr>
                  <w:divsChild>
                    <w:div w:id="1521773531">
                      <w:marLeft w:val="0"/>
                      <w:marRight w:val="0"/>
                      <w:marTop w:val="0"/>
                      <w:marBottom w:val="0"/>
                      <w:divBdr>
                        <w:top w:val="none" w:sz="0" w:space="0" w:color="auto"/>
                        <w:left w:val="none" w:sz="0" w:space="0" w:color="auto"/>
                        <w:bottom w:val="none" w:sz="0" w:space="0" w:color="auto"/>
                        <w:right w:val="none" w:sz="0" w:space="0" w:color="auto"/>
                      </w:divBdr>
                    </w:div>
                  </w:divsChild>
                </w:div>
                <w:div w:id="1691030805">
                  <w:marLeft w:val="0"/>
                  <w:marRight w:val="0"/>
                  <w:marTop w:val="0"/>
                  <w:marBottom w:val="0"/>
                  <w:divBdr>
                    <w:top w:val="none" w:sz="0" w:space="0" w:color="auto"/>
                    <w:left w:val="none" w:sz="0" w:space="0" w:color="auto"/>
                    <w:bottom w:val="none" w:sz="0" w:space="0" w:color="auto"/>
                    <w:right w:val="none" w:sz="0" w:space="0" w:color="auto"/>
                  </w:divBdr>
                  <w:divsChild>
                    <w:div w:id="1953592674">
                      <w:marLeft w:val="0"/>
                      <w:marRight w:val="0"/>
                      <w:marTop w:val="0"/>
                      <w:marBottom w:val="0"/>
                      <w:divBdr>
                        <w:top w:val="none" w:sz="0" w:space="0" w:color="auto"/>
                        <w:left w:val="none" w:sz="0" w:space="0" w:color="auto"/>
                        <w:bottom w:val="none" w:sz="0" w:space="0" w:color="auto"/>
                        <w:right w:val="none" w:sz="0" w:space="0" w:color="auto"/>
                      </w:divBdr>
                    </w:div>
                  </w:divsChild>
                </w:div>
                <w:div w:id="1782262836">
                  <w:marLeft w:val="0"/>
                  <w:marRight w:val="0"/>
                  <w:marTop w:val="0"/>
                  <w:marBottom w:val="0"/>
                  <w:divBdr>
                    <w:top w:val="none" w:sz="0" w:space="0" w:color="auto"/>
                    <w:left w:val="none" w:sz="0" w:space="0" w:color="auto"/>
                    <w:bottom w:val="none" w:sz="0" w:space="0" w:color="auto"/>
                    <w:right w:val="none" w:sz="0" w:space="0" w:color="auto"/>
                  </w:divBdr>
                  <w:divsChild>
                    <w:div w:id="1919122890">
                      <w:marLeft w:val="0"/>
                      <w:marRight w:val="0"/>
                      <w:marTop w:val="0"/>
                      <w:marBottom w:val="0"/>
                      <w:divBdr>
                        <w:top w:val="none" w:sz="0" w:space="0" w:color="auto"/>
                        <w:left w:val="none" w:sz="0" w:space="0" w:color="auto"/>
                        <w:bottom w:val="none" w:sz="0" w:space="0" w:color="auto"/>
                        <w:right w:val="none" w:sz="0" w:space="0" w:color="auto"/>
                      </w:divBdr>
                    </w:div>
                  </w:divsChild>
                </w:div>
                <w:div w:id="1817530128">
                  <w:marLeft w:val="0"/>
                  <w:marRight w:val="0"/>
                  <w:marTop w:val="0"/>
                  <w:marBottom w:val="0"/>
                  <w:divBdr>
                    <w:top w:val="none" w:sz="0" w:space="0" w:color="auto"/>
                    <w:left w:val="none" w:sz="0" w:space="0" w:color="auto"/>
                    <w:bottom w:val="none" w:sz="0" w:space="0" w:color="auto"/>
                    <w:right w:val="none" w:sz="0" w:space="0" w:color="auto"/>
                  </w:divBdr>
                  <w:divsChild>
                    <w:div w:id="1417705607">
                      <w:marLeft w:val="0"/>
                      <w:marRight w:val="0"/>
                      <w:marTop w:val="0"/>
                      <w:marBottom w:val="0"/>
                      <w:divBdr>
                        <w:top w:val="none" w:sz="0" w:space="0" w:color="auto"/>
                        <w:left w:val="none" w:sz="0" w:space="0" w:color="auto"/>
                        <w:bottom w:val="none" w:sz="0" w:space="0" w:color="auto"/>
                        <w:right w:val="none" w:sz="0" w:space="0" w:color="auto"/>
                      </w:divBdr>
                    </w:div>
                  </w:divsChild>
                </w:div>
                <w:div w:id="1828788703">
                  <w:marLeft w:val="0"/>
                  <w:marRight w:val="0"/>
                  <w:marTop w:val="0"/>
                  <w:marBottom w:val="0"/>
                  <w:divBdr>
                    <w:top w:val="none" w:sz="0" w:space="0" w:color="auto"/>
                    <w:left w:val="none" w:sz="0" w:space="0" w:color="auto"/>
                    <w:bottom w:val="none" w:sz="0" w:space="0" w:color="auto"/>
                    <w:right w:val="none" w:sz="0" w:space="0" w:color="auto"/>
                  </w:divBdr>
                  <w:divsChild>
                    <w:div w:id="2047371067">
                      <w:marLeft w:val="0"/>
                      <w:marRight w:val="0"/>
                      <w:marTop w:val="0"/>
                      <w:marBottom w:val="0"/>
                      <w:divBdr>
                        <w:top w:val="none" w:sz="0" w:space="0" w:color="auto"/>
                        <w:left w:val="none" w:sz="0" w:space="0" w:color="auto"/>
                        <w:bottom w:val="none" w:sz="0" w:space="0" w:color="auto"/>
                        <w:right w:val="none" w:sz="0" w:space="0" w:color="auto"/>
                      </w:divBdr>
                    </w:div>
                  </w:divsChild>
                </w:div>
                <w:div w:id="1894736498">
                  <w:marLeft w:val="0"/>
                  <w:marRight w:val="0"/>
                  <w:marTop w:val="0"/>
                  <w:marBottom w:val="0"/>
                  <w:divBdr>
                    <w:top w:val="none" w:sz="0" w:space="0" w:color="auto"/>
                    <w:left w:val="none" w:sz="0" w:space="0" w:color="auto"/>
                    <w:bottom w:val="none" w:sz="0" w:space="0" w:color="auto"/>
                    <w:right w:val="none" w:sz="0" w:space="0" w:color="auto"/>
                  </w:divBdr>
                  <w:divsChild>
                    <w:div w:id="33508183">
                      <w:marLeft w:val="0"/>
                      <w:marRight w:val="0"/>
                      <w:marTop w:val="0"/>
                      <w:marBottom w:val="0"/>
                      <w:divBdr>
                        <w:top w:val="none" w:sz="0" w:space="0" w:color="auto"/>
                        <w:left w:val="none" w:sz="0" w:space="0" w:color="auto"/>
                        <w:bottom w:val="none" w:sz="0" w:space="0" w:color="auto"/>
                        <w:right w:val="none" w:sz="0" w:space="0" w:color="auto"/>
                      </w:divBdr>
                    </w:div>
                  </w:divsChild>
                </w:div>
                <w:div w:id="1933394834">
                  <w:marLeft w:val="0"/>
                  <w:marRight w:val="0"/>
                  <w:marTop w:val="0"/>
                  <w:marBottom w:val="0"/>
                  <w:divBdr>
                    <w:top w:val="none" w:sz="0" w:space="0" w:color="auto"/>
                    <w:left w:val="none" w:sz="0" w:space="0" w:color="auto"/>
                    <w:bottom w:val="none" w:sz="0" w:space="0" w:color="auto"/>
                    <w:right w:val="none" w:sz="0" w:space="0" w:color="auto"/>
                  </w:divBdr>
                  <w:divsChild>
                    <w:div w:id="1968656282">
                      <w:marLeft w:val="0"/>
                      <w:marRight w:val="0"/>
                      <w:marTop w:val="0"/>
                      <w:marBottom w:val="0"/>
                      <w:divBdr>
                        <w:top w:val="none" w:sz="0" w:space="0" w:color="auto"/>
                        <w:left w:val="none" w:sz="0" w:space="0" w:color="auto"/>
                        <w:bottom w:val="none" w:sz="0" w:space="0" w:color="auto"/>
                        <w:right w:val="none" w:sz="0" w:space="0" w:color="auto"/>
                      </w:divBdr>
                    </w:div>
                  </w:divsChild>
                </w:div>
                <w:div w:id="1981764021">
                  <w:marLeft w:val="0"/>
                  <w:marRight w:val="0"/>
                  <w:marTop w:val="0"/>
                  <w:marBottom w:val="0"/>
                  <w:divBdr>
                    <w:top w:val="none" w:sz="0" w:space="0" w:color="auto"/>
                    <w:left w:val="none" w:sz="0" w:space="0" w:color="auto"/>
                    <w:bottom w:val="none" w:sz="0" w:space="0" w:color="auto"/>
                    <w:right w:val="none" w:sz="0" w:space="0" w:color="auto"/>
                  </w:divBdr>
                  <w:divsChild>
                    <w:div w:id="459610634">
                      <w:marLeft w:val="0"/>
                      <w:marRight w:val="0"/>
                      <w:marTop w:val="0"/>
                      <w:marBottom w:val="0"/>
                      <w:divBdr>
                        <w:top w:val="none" w:sz="0" w:space="0" w:color="auto"/>
                        <w:left w:val="none" w:sz="0" w:space="0" w:color="auto"/>
                        <w:bottom w:val="none" w:sz="0" w:space="0" w:color="auto"/>
                        <w:right w:val="none" w:sz="0" w:space="0" w:color="auto"/>
                      </w:divBdr>
                    </w:div>
                  </w:divsChild>
                </w:div>
                <w:div w:id="2005014048">
                  <w:marLeft w:val="0"/>
                  <w:marRight w:val="0"/>
                  <w:marTop w:val="0"/>
                  <w:marBottom w:val="0"/>
                  <w:divBdr>
                    <w:top w:val="none" w:sz="0" w:space="0" w:color="auto"/>
                    <w:left w:val="none" w:sz="0" w:space="0" w:color="auto"/>
                    <w:bottom w:val="none" w:sz="0" w:space="0" w:color="auto"/>
                    <w:right w:val="none" w:sz="0" w:space="0" w:color="auto"/>
                  </w:divBdr>
                  <w:divsChild>
                    <w:div w:id="212936036">
                      <w:marLeft w:val="0"/>
                      <w:marRight w:val="0"/>
                      <w:marTop w:val="0"/>
                      <w:marBottom w:val="0"/>
                      <w:divBdr>
                        <w:top w:val="none" w:sz="0" w:space="0" w:color="auto"/>
                        <w:left w:val="none" w:sz="0" w:space="0" w:color="auto"/>
                        <w:bottom w:val="none" w:sz="0" w:space="0" w:color="auto"/>
                        <w:right w:val="none" w:sz="0" w:space="0" w:color="auto"/>
                      </w:divBdr>
                    </w:div>
                  </w:divsChild>
                </w:div>
                <w:div w:id="2100176187">
                  <w:marLeft w:val="0"/>
                  <w:marRight w:val="0"/>
                  <w:marTop w:val="0"/>
                  <w:marBottom w:val="0"/>
                  <w:divBdr>
                    <w:top w:val="none" w:sz="0" w:space="0" w:color="auto"/>
                    <w:left w:val="none" w:sz="0" w:space="0" w:color="auto"/>
                    <w:bottom w:val="none" w:sz="0" w:space="0" w:color="auto"/>
                    <w:right w:val="none" w:sz="0" w:space="0" w:color="auto"/>
                  </w:divBdr>
                  <w:divsChild>
                    <w:div w:id="1266231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4982361">
          <w:marLeft w:val="0"/>
          <w:marRight w:val="0"/>
          <w:marTop w:val="0"/>
          <w:marBottom w:val="0"/>
          <w:divBdr>
            <w:top w:val="none" w:sz="0" w:space="0" w:color="auto"/>
            <w:left w:val="none" w:sz="0" w:space="0" w:color="auto"/>
            <w:bottom w:val="none" w:sz="0" w:space="0" w:color="auto"/>
            <w:right w:val="none" w:sz="0" w:space="0" w:color="auto"/>
          </w:divBdr>
        </w:div>
        <w:div w:id="1863588284">
          <w:marLeft w:val="0"/>
          <w:marRight w:val="0"/>
          <w:marTop w:val="0"/>
          <w:marBottom w:val="0"/>
          <w:divBdr>
            <w:top w:val="none" w:sz="0" w:space="0" w:color="auto"/>
            <w:left w:val="none" w:sz="0" w:space="0" w:color="auto"/>
            <w:bottom w:val="none" w:sz="0" w:space="0" w:color="auto"/>
            <w:right w:val="none" w:sz="0" w:space="0" w:color="auto"/>
          </w:divBdr>
        </w:div>
        <w:div w:id="2140411996">
          <w:marLeft w:val="0"/>
          <w:marRight w:val="0"/>
          <w:marTop w:val="0"/>
          <w:marBottom w:val="0"/>
          <w:divBdr>
            <w:top w:val="none" w:sz="0" w:space="0" w:color="auto"/>
            <w:left w:val="none" w:sz="0" w:space="0" w:color="auto"/>
            <w:bottom w:val="none" w:sz="0" w:space="0" w:color="auto"/>
            <w:right w:val="none" w:sz="0" w:space="0" w:color="auto"/>
          </w:divBdr>
          <w:divsChild>
            <w:div w:id="1807429975">
              <w:marLeft w:val="-75"/>
              <w:marRight w:val="0"/>
              <w:marTop w:val="30"/>
              <w:marBottom w:val="30"/>
              <w:divBdr>
                <w:top w:val="none" w:sz="0" w:space="0" w:color="auto"/>
                <w:left w:val="none" w:sz="0" w:space="0" w:color="auto"/>
                <w:bottom w:val="none" w:sz="0" w:space="0" w:color="auto"/>
                <w:right w:val="none" w:sz="0" w:space="0" w:color="auto"/>
              </w:divBdr>
              <w:divsChild>
                <w:div w:id="162013936">
                  <w:marLeft w:val="0"/>
                  <w:marRight w:val="0"/>
                  <w:marTop w:val="0"/>
                  <w:marBottom w:val="0"/>
                  <w:divBdr>
                    <w:top w:val="none" w:sz="0" w:space="0" w:color="auto"/>
                    <w:left w:val="none" w:sz="0" w:space="0" w:color="auto"/>
                    <w:bottom w:val="none" w:sz="0" w:space="0" w:color="auto"/>
                    <w:right w:val="none" w:sz="0" w:space="0" w:color="auto"/>
                  </w:divBdr>
                  <w:divsChild>
                    <w:div w:id="765078111">
                      <w:marLeft w:val="0"/>
                      <w:marRight w:val="0"/>
                      <w:marTop w:val="0"/>
                      <w:marBottom w:val="0"/>
                      <w:divBdr>
                        <w:top w:val="none" w:sz="0" w:space="0" w:color="auto"/>
                        <w:left w:val="none" w:sz="0" w:space="0" w:color="auto"/>
                        <w:bottom w:val="none" w:sz="0" w:space="0" w:color="auto"/>
                        <w:right w:val="none" w:sz="0" w:space="0" w:color="auto"/>
                      </w:divBdr>
                    </w:div>
                  </w:divsChild>
                </w:div>
                <w:div w:id="201990272">
                  <w:marLeft w:val="0"/>
                  <w:marRight w:val="0"/>
                  <w:marTop w:val="0"/>
                  <w:marBottom w:val="0"/>
                  <w:divBdr>
                    <w:top w:val="none" w:sz="0" w:space="0" w:color="auto"/>
                    <w:left w:val="none" w:sz="0" w:space="0" w:color="auto"/>
                    <w:bottom w:val="none" w:sz="0" w:space="0" w:color="auto"/>
                    <w:right w:val="none" w:sz="0" w:space="0" w:color="auto"/>
                  </w:divBdr>
                  <w:divsChild>
                    <w:div w:id="716467341">
                      <w:marLeft w:val="0"/>
                      <w:marRight w:val="0"/>
                      <w:marTop w:val="0"/>
                      <w:marBottom w:val="0"/>
                      <w:divBdr>
                        <w:top w:val="none" w:sz="0" w:space="0" w:color="auto"/>
                        <w:left w:val="none" w:sz="0" w:space="0" w:color="auto"/>
                        <w:bottom w:val="none" w:sz="0" w:space="0" w:color="auto"/>
                        <w:right w:val="none" w:sz="0" w:space="0" w:color="auto"/>
                      </w:divBdr>
                    </w:div>
                  </w:divsChild>
                </w:div>
                <w:div w:id="202601467">
                  <w:marLeft w:val="0"/>
                  <w:marRight w:val="0"/>
                  <w:marTop w:val="0"/>
                  <w:marBottom w:val="0"/>
                  <w:divBdr>
                    <w:top w:val="none" w:sz="0" w:space="0" w:color="auto"/>
                    <w:left w:val="none" w:sz="0" w:space="0" w:color="auto"/>
                    <w:bottom w:val="none" w:sz="0" w:space="0" w:color="auto"/>
                    <w:right w:val="none" w:sz="0" w:space="0" w:color="auto"/>
                  </w:divBdr>
                  <w:divsChild>
                    <w:div w:id="1133520579">
                      <w:marLeft w:val="0"/>
                      <w:marRight w:val="0"/>
                      <w:marTop w:val="0"/>
                      <w:marBottom w:val="0"/>
                      <w:divBdr>
                        <w:top w:val="none" w:sz="0" w:space="0" w:color="auto"/>
                        <w:left w:val="none" w:sz="0" w:space="0" w:color="auto"/>
                        <w:bottom w:val="none" w:sz="0" w:space="0" w:color="auto"/>
                        <w:right w:val="none" w:sz="0" w:space="0" w:color="auto"/>
                      </w:divBdr>
                    </w:div>
                  </w:divsChild>
                </w:div>
                <w:div w:id="208762098">
                  <w:marLeft w:val="0"/>
                  <w:marRight w:val="0"/>
                  <w:marTop w:val="0"/>
                  <w:marBottom w:val="0"/>
                  <w:divBdr>
                    <w:top w:val="none" w:sz="0" w:space="0" w:color="auto"/>
                    <w:left w:val="none" w:sz="0" w:space="0" w:color="auto"/>
                    <w:bottom w:val="none" w:sz="0" w:space="0" w:color="auto"/>
                    <w:right w:val="none" w:sz="0" w:space="0" w:color="auto"/>
                  </w:divBdr>
                  <w:divsChild>
                    <w:div w:id="2003049104">
                      <w:marLeft w:val="0"/>
                      <w:marRight w:val="0"/>
                      <w:marTop w:val="0"/>
                      <w:marBottom w:val="0"/>
                      <w:divBdr>
                        <w:top w:val="none" w:sz="0" w:space="0" w:color="auto"/>
                        <w:left w:val="none" w:sz="0" w:space="0" w:color="auto"/>
                        <w:bottom w:val="none" w:sz="0" w:space="0" w:color="auto"/>
                        <w:right w:val="none" w:sz="0" w:space="0" w:color="auto"/>
                      </w:divBdr>
                    </w:div>
                  </w:divsChild>
                </w:div>
                <w:div w:id="248975286">
                  <w:marLeft w:val="0"/>
                  <w:marRight w:val="0"/>
                  <w:marTop w:val="0"/>
                  <w:marBottom w:val="0"/>
                  <w:divBdr>
                    <w:top w:val="none" w:sz="0" w:space="0" w:color="auto"/>
                    <w:left w:val="none" w:sz="0" w:space="0" w:color="auto"/>
                    <w:bottom w:val="none" w:sz="0" w:space="0" w:color="auto"/>
                    <w:right w:val="none" w:sz="0" w:space="0" w:color="auto"/>
                  </w:divBdr>
                  <w:divsChild>
                    <w:div w:id="1498960051">
                      <w:marLeft w:val="0"/>
                      <w:marRight w:val="0"/>
                      <w:marTop w:val="0"/>
                      <w:marBottom w:val="0"/>
                      <w:divBdr>
                        <w:top w:val="none" w:sz="0" w:space="0" w:color="auto"/>
                        <w:left w:val="none" w:sz="0" w:space="0" w:color="auto"/>
                        <w:bottom w:val="none" w:sz="0" w:space="0" w:color="auto"/>
                        <w:right w:val="none" w:sz="0" w:space="0" w:color="auto"/>
                      </w:divBdr>
                    </w:div>
                  </w:divsChild>
                </w:div>
                <w:div w:id="297298286">
                  <w:marLeft w:val="0"/>
                  <w:marRight w:val="0"/>
                  <w:marTop w:val="0"/>
                  <w:marBottom w:val="0"/>
                  <w:divBdr>
                    <w:top w:val="none" w:sz="0" w:space="0" w:color="auto"/>
                    <w:left w:val="none" w:sz="0" w:space="0" w:color="auto"/>
                    <w:bottom w:val="none" w:sz="0" w:space="0" w:color="auto"/>
                    <w:right w:val="none" w:sz="0" w:space="0" w:color="auto"/>
                  </w:divBdr>
                  <w:divsChild>
                    <w:div w:id="23018741">
                      <w:marLeft w:val="0"/>
                      <w:marRight w:val="0"/>
                      <w:marTop w:val="0"/>
                      <w:marBottom w:val="0"/>
                      <w:divBdr>
                        <w:top w:val="none" w:sz="0" w:space="0" w:color="auto"/>
                        <w:left w:val="none" w:sz="0" w:space="0" w:color="auto"/>
                        <w:bottom w:val="none" w:sz="0" w:space="0" w:color="auto"/>
                        <w:right w:val="none" w:sz="0" w:space="0" w:color="auto"/>
                      </w:divBdr>
                    </w:div>
                  </w:divsChild>
                </w:div>
                <w:div w:id="316225454">
                  <w:marLeft w:val="0"/>
                  <w:marRight w:val="0"/>
                  <w:marTop w:val="0"/>
                  <w:marBottom w:val="0"/>
                  <w:divBdr>
                    <w:top w:val="none" w:sz="0" w:space="0" w:color="auto"/>
                    <w:left w:val="none" w:sz="0" w:space="0" w:color="auto"/>
                    <w:bottom w:val="none" w:sz="0" w:space="0" w:color="auto"/>
                    <w:right w:val="none" w:sz="0" w:space="0" w:color="auto"/>
                  </w:divBdr>
                  <w:divsChild>
                    <w:div w:id="372466028">
                      <w:marLeft w:val="0"/>
                      <w:marRight w:val="0"/>
                      <w:marTop w:val="0"/>
                      <w:marBottom w:val="0"/>
                      <w:divBdr>
                        <w:top w:val="none" w:sz="0" w:space="0" w:color="auto"/>
                        <w:left w:val="none" w:sz="0" w:space="0" w:color="auto"/>
                        <w:bottom w:val="none" w:sz="0" w:space="0" w:color="auto"/>
                        <w:right w:val="none" w:sz="0" w:space="0" w:color="auto"/>
                      </w:divBdr>
                    </w:div>
                  </w:divsChild>
                </w:div>
                <w:div w:id="396250604">
                  <w:marLeft w:val="0"/>
                  <w:marRight w:val="0"/>
                  <w:marTop w:val="0"/>
                  <w:marBottom w:val="0"/>
                  <w:divBdr>
                    <w:top w:val="none" w:sz="0" w:space="0" w:color="auto"/>
                    <w:left w:val="none" w:sz="0" w:space="0" w:color="auto"/>
                    <w:bottom w:val="none" w:sz="0" w:space="0" w:color="auto"/>
                    <w:right w:val="none" w:sz="0" w:space="0" w:color="auto"/>
                  </w:divBdr>
                  <w:divsChild>
                    <w:div w:id="164632168">
                      <w:marLeft w:val="0"/>
                      <w:marRight w:val="0"/>
                      <w:marTop w:val="0"/>
                      <w:marBottom w:val="0"/>
                      <w:divBdr>
                        <w:top w:val="none" w:sz="0" w:space="0" w:color="auto"/>
                        <w:left w:val="none" w:sz="0" w:space="0" w:color="auto"/>
                        <w:bottom w:val="none" w:sz="0" w:space="0" w:color="auto"/>
                        <w:right w:val="none" w:sz="0" w:space="0" w:color="auto"/>
                      </w:divBdr>
                    </w:div>
                  </w:divsChild>
                </w:div>
                <w:div w:id="514925733">
                  <w:marLeft w:val="0"/>
                  <w:marRight w:val="0"/>
                  <w:marTop w:val="0"/>
                  <w:marBottom w:val="0"/>
                  <w:divBdr>
                    <w:top w:val="none" w:sz="0" w:space="0" w:color="auto"/>
                    <w:left w:val="none" w:sz="0" w:space="0" w:color="auto"/>
                    <w:bottom w:val="none" w:sz="0" w:space="0" w:color="auto"/>
                    <w:right w:val="none" w:sz="0" w:space="0" w:color="auto"/>
                  </w:divBdr>
                  <w:divsChild>
                    <w:div w:id="188640544">
                      <w:marLeft w:val="0"/>
                      <w:marRight w:val="0"/>
                      <w:marTop w:val="0"/>
                      <w:marBottom w:val="0"/>
                      <w:divBdr>
                        <w:top w:val="none" w:sz="0" w:space="0" w:color="auto"/>
                        <w:left w:val="none" w:sz="0" w:space="0" w:color="auto"/>
                        <w:bottom w:val="none" w:sz="0" w:space="0" w:color="auto"/>
                        <w:right w:val="none" w:sz="0" w:space="0" w:color="auto"/>
                      </w:divBdr>
                    </w:div>
                  </w:divsChild>
                </w:div>
                <w:div w:id="547885238">
                  <w:marLeft w:val="0"/>
                  <w:marRight w:val="0"/>
                  <w:marTop w:val="0"/>
                  <w:marBottom w:val="0"/>
                  <w:divBdr>
                    <w:top w:val="none" w:sz="0" w:space="0" w:color="auto"/>
                    <w:left w:val="none" w:sz="0" w:space="0" w:color="auto"/>
                    <w:bottom w:val="none" w:sz="0" w:space="0" w:color="auto"/>
                    <w:right w:val="none" w:sz="0" w:space="0" w:color="auto"/>
                  </w:divBdr>
                  <w:divsChild>
                    <w:div w:id="377899965">
                      <w:marLeft w:val="0"/>
                      <w:marRight w:val="0"/>
                      <w:marTop w:val="0"/>
                      <w:marBottom w:val="0"/>
                      <w:divBdr>
                        <w:top w:val="none" w:sz="0" w:space="0" w:color="auto"/>
                        <w:left w:val="none" w:sz="0" w:space="0" w:color="auto"/>
                        <w:bottom w:val="none" w:sz="0" w:space="0" w:color="auto"/>
                        <w:right w:val="none" w:sz="0" w:space="0" w:color="auto"/>
                      </w:divBdr>
                    </w:div>
                  </w:divsChild>
                </w:div>
                <w:div w:id="614561149">
                  <w:marLeft w:val="0"/>
                  <w:marRight w:val="0"/>
                  <w:marTop w:val="0"/>
                  <w:marBottom w:val="0"/>
                  <w:divBdr>
                    <w:top w:val="none" w:sz="0" w:space="0" w:color="auto"/>
                    <w:left w:val="none" w:sz="0" w:space="0" w:color="auto"/>
                    <w:bottom w:val="none" w:sz="0" w:space="0" w:color="auto"/>
                    <w:right w:val="none" w:sz="0" w:space="0" w:color="auto"/>
                  </w:divBdr>
                  <w:divsChild>
                    <w:div w:id="1188984394">
                      <w:marLeft w:val="0"/>
                      <w:marRight w:val="0"/>
                      <w:marTop w:val="0"/>
                      <w:marBottom w:val="0"/>
                      <w:divBdr>
                        <w:top w:val="none" w:sz="0" w:space="0" w:color="auto"/>
                        <w:left w:val="none" w:sz="0" w:space="0" w:color="auto"/>
                        <w:bottom w:val="none" w:sz="0" w:space="0" w:color="auto"/>
                        <w:right w:val="none" w:sz="0" w:space="0" w:color="auto"/>
                      </w:divBdr>
                    </w:div>
                  </w:divsChild>
                </w:div>
                <w:div w:id="640381971">
                  <w:marLeft w:val="0"/>
                  <w:marRight w:val="0"/>
                  <w:marTop w:val="0"/>
                  <w:marBottom w:val="0"/>
                  <w:divBdr>
                    <w:top w:val="none" w:sz="0" w:space="0" w:color="auto"/>
                    <w:left w:val="none" w:sz="0" w:space="0" w:color="auto"/>
                    <w:bottom w:val="none" w:sz="0" w:space="0" w:color="auto"/>
                    <w:right w:val="none" w:sz="0" w:space="0" w:color="auto"/>
                  </w:divBdr>
                  <w:divsChild>
                    <w:div w:id="2011445346">
                      <w:marLeft w:val="0"/>
                      <w:marRight w:val="0"/>
                      <w:marTop w:val="0"/>
                      <w:marBottom w:val="0"/>
                      <w:divBdr>
                        <w:top w:val="none" w:sz="0" w:space="0" w:color="auto"/>
                        <w:left w:val="none" w:sz="0" w:space="0" w:color="auto"/>
                        <w:bottom w:val="none" w:sz="0" w:space="0" w:color="auto"/>
                        <w:right w:val="none" w:sz="0" w:space="0" w:color="auto"/>
                      </w:divBdr>
                    </w:div>
                  </w:divsChild>
                </w:div>
                <w:div w:id="671877372">
                  <w:marLeft w:val="0"/>
                  <w:marRight w:val="0"/>
                  <w:marTop w:val="0"/>
                  <w:marBottom w:val="0"/>
                  <w:divBdr>
                    <w:top w:val="none" w:sz="0" w:space="0" w:color="auto"/>
                    <w:left w:val="none" w:sz="0" w:space="0" w:color="auto"/>
                    <w:bottom w:val="none" w:sz="0" w:space="0" w:color="auto"/>
                    <w:right w:val="none" w:sz="0" w:space="0" w:color="auto"/>
                  </w:divBdr>
                  <w:divsChild>
                    <w:div w:id="1730306439">
                      <w:marLeft w:val="0"/>
                      <w:marRight w:val="0"/>
                      <w:marTop w:val="0"/>
                      <w:marBottom w:val="0"/>
                      <w:divBdr>
                        <w:top w:val="none" w:sz="0" w:space="0" w:color="auto"/>
                        <w:left w:val="none" w:sz="0" w:space="0" w:color="auto"/>
                        <w:bottom w:val="none" w:sz="0" w:space="0" w:color="auto"/>
                        <w:right w:val="none" w:sz="0" w:space="0" w:color="auto"/>
                      </w:divBdr>
                    </w:div>
                  </w:divsChild>
                </w:div>
                <w:div w:id="673414066">
                  <w:marLeft w:val="0"/>
                  <w:marRight w:val="0"/>
                  <w:marTop w:val="0"/>
                  <w:marBottom w:val="0"/>
                  <w:divBdr>
                    <w:top w:val="none" w:sz="0" w:space="0" w:color="auto"/>
                    <w:left w:val="none" w:sz="0" w:space="0" w:color="auto"/>
                    <w:bottom w:val="none" w:sz="0" w:space="0" w:color="auto"/>
                    <w:right w:val="none" w:sz="0" w:space="0" w:color="auto"/>
                  </w:divBdr>
                  <w:divsChild>
                    <w:div w:id="1933317646">
                      <w:marLeft w:val="0"/>
                      <w:marRight w:val="0"/>
                      <w:marTop w:val="0"/>
                      <w:marBottom w:val="0"/>
                      <w:divBdr>
                        <w:top w:val="none" w:sz="0" w:space="0" w:color="auto"/>
                        <w:left w:val="none" w:sz="0" w:space="0" w:color="auto"/>
                        <w:bottom w:val="none" w:sz="0" w:space="0" w:color="auto"/>
                        <w:right w:val="none" w:sz="0" w:space="0" w:color="auto"/>
                      </w:divBdr>
                    </w:div>
                  </w:divsChild>
                </w:div>
                <w:div w:id="708070027">
                  <w:marLeft w:val="0"/>
                  <w:marRight w:val="0"/>
                  <w:marTop w:val="0"/>
                  <w:marBottom w:val="0"/>
                  <w:divBdr>
                    <w:top w:val="none" w:sz="0" w:space="0" w:color="auto"/>
                    <w:left w:val="none" w:sz="0" w:space="0" w:color="auto"/>
                    <w:bottom w:val="none" w:sz="0" w:space="0" w:color="auto"/>
                    <w:right w:val="none" w:sz="0" w:space="0" w:color="auto"/>
                  </w:divBdr>
                  <w:divsChild>
                    <w:div w:id="187762616">
                      <w:marLeft w:val="0"/>
                      <w:marRight w:val="0"/>
                      <w:marTop w:val="0"/>
                      <w:marBottom w:val="0"/>
                      <w:divBdr>
                        <w:top w:val="none" w:sz="0" w:space="0" w:color="auto"/>
                        <w:left w:val="none" w:sz="0" w:space="0" w:color="auto"/>
                        <w:bottom w:val="none" w:sz="0" w:space="0" w:color="auto"/>
                        <w:right w:val="none" w:sz="0" w:space="0" w:color="auto"/>
                      </w:divBdr>
                    </w:div>
                  </w:divsChild>
                </w:div>
                <w:div w:id="728113758">
                  <w:marLeft w:val="0"/>
                  <w:marRight w:val="0"/>
                  <w:marTop w:val="0"/>
                  <w:marBottom w:val="0"/>
                  <w:divBdr>
                    <w:top w:val="none" w:sz="0" w:space="0" w:color="auto"/>
                    <w:left w:val="none" w:sz="0" w:space="0" w:color="auto"/>
                    <w:bottom w:val="none" w:sz="0" w:space="0" w:color="auto"/>
                    <w:right w:val="none" w:sz="0" w:space="0" w:color="auto"/>
                  </w:divBdr>
                  <w:divsChild>
                    <w:div w:id="1549799379">
                      <w:marLeft w:val="0"/>
                      <w:marRight w:val="0"/>
                      <w:marTop w:val="0"/>
                      <w:marBottom w:val="0"/>
                      <w:divBdr>
                        <w:top w:val="none" w:sz="0" w:space="0" w:color="auto"/>
                        <w:left w:val="none" w:sz="0" w:space="0" w:color="auto"/>
                        <w:bottom w:val="none" w:sz="0" w:space="0" w:color="auto"/>
                        <w:right w:val="none" w:sz="0" w:space="0" w:color="auto"/>
                      </w:divBdr>
                    </w:div>
                  </w:divsChild>
                </w:div>
                <w:div w:id="729691146">
                  <w:marLeft w:val="0"/>
                  <w:marRight w:val="0"/>
                  <w:marTop w:val="0"/>
                  <w:marBottom w:val="0"/>
                  <w:divBdr>
                    <w:top w:val="none" w:sz="0" w:space="0" w:color="auto"/>
                    <w:left w:val="none" w:sz="0" w:space="0" w:color="auto"/>
                    <w:bottom w:val="none" w:sz="0" w:space="0" w:color="auto"/>
                    <w:right w:val="none" w:sz="0" w:space="0" w:color="auto"/>
                  </w:divBdr>
                  <w:divsChild>
                    <w:div w:id="481821347">
                      <w:marLeft w:val="0"/>
                      <w:marRight w:val="0"/>
                      <w:marTop w:val="0"/>
                      <w:marBottom w:val="0"/>
                      <w:divBdr>
                        <w:top w:val="none" w:sz="0" w:space="0" w:color="auto"/>
                        <w:left w:val="none" w:sz="0" w:space="0" w:color="auto"/>
                        <w:bottom w:val="none" w:sz="0" w:space="0" w:color="auto"/>
                        <w:right w:val="none" w:sz="0" w:space="0" w:color="auto"/>
                      </w:divBdr>
                    </w:div>
                  </w:divsChild>
                </w:div>
                <w:div w:id="784693544">
                  <w:marLeft w:val="0"/>
                  <w:marRight w:val="0"/>
                  <w:marTop w:val="0"/>
                  <w:marBottom w:val="0"/>
                  <w:divBdr>
                    <w:top w:val="none" w:sz="0" w:space="0" w:color="auto"/>
                    <w:left w:val="none" w:sz="0" w:space="0" w:color="auto"/>
                    <w:bottom w:val="none" w:sz="0" w:space="0" w:color="auto"/>
                    <w:right w:val="none" w:sz="0" w:space="0" w:color="auto"/>
                  </w:divBdr>
                  <w:divsChild>
                    <w:div w:id="449594387">
                      <w:marLeft w:val="0"/>
                      <w:marRight w:val="0"/>
                      <w:marTop w:val="0"/>
                      <w:marBottom w:val="0"/>
                      <w:divBdr>
                        <w:top w:val="none" w:sz="0" w:space="0" w:color="auto"/>
                        <w:left w:val="none" w:sz="0" w:space="0" w:color="auto"/>
                        <w:bottom w:val="none" w:sz="0" w:space="0" w:color="auto"/>
                        <w:right w:val="none" w:sz="0" w:space="0" w:color="auto"/>
                      </w:divBdr>
                    </w:div>
                  </w:divsChild>
                </w:div>
                <w:div w:id="938215343">
                  <w:marLeft w:val="0"/>
                  <w:marRight w:val="0"/>
                  <w:marTop w:val="0"/>
                  <w:marBottom w:val="0"/>
                  <w:divBdr>
                    <w:top w:val="none" w:sz="0" w:space="0" w:color="auto"/>
                    <w:left w:val="none" w:sz="0" w:space="0" w:color="auto"/>
                    <w:bottom w:val="none" w:sz="0" w:space="0" w:color="auto"/>
                    <w:right w:val="none" w:sz="0" w:space="0" w:color="auto"/>
                  </w:divBdr>
                  <w:divsChild>
                    <w:div w:id="1419256375">
                      <w:marLeft w:val="0"/>
                      <w:marRight w:val="0"/>
                      <w:marTop w:val="0"/>
                      <w:marBottom w:val="0"/>
                      <w:divBdr>
                        <w:top w:val="none" w:sz="0" w:space="0" w:color="auto"/>
                        <w:left w:val="none" w:sz="0" w:space="0" w:color="auto"/>
                        <w:bottom w:val="none" w:sz="0" w:space="0" w:color="auto"/>
                        <w:right w:val="none" w:sz="0" w:space="0" w:color="auto"/>
                      </w:divBdr>
                    </w:div>
                  </w:divsChild>
                </w:div>
                <w:div w:id="974289762">
                  <w:marLeft w:val="0"/>
                  <w:marRight w:val="0"/>
                  <w:marTop w:val="0"/>
                  <w:marBottom w:val="0"/>
                  <w:divBdr>
                    <w:top w:val="none" w:sz="0" w:space="0" w:color="auto"/>
                    <w:left w:val="none" w:sz="0" w:space="0" w:color="auto"/>
                    <w:bottom w:val="none" w:sz="0" w:space="0" w:color="auto"/>
                    <w:right w:val="none" w:sz="0" w:space="0" w:color="auto"/>
                  </w:divBdr>
                  <w:divsChild>
                    <w:div w:id="19859882">
                      <w:marLeft w:val="0"/>
                      <w:marRight w:val="0"/>
                      <w:marTop w:val="0"/>
                      <w:marBottom w:val="0"/>
                      <w:divBdr>
                        <w:top w:val="none" w:sz="0" w:space="0" w:color="auto"/>
                        <w:left w:val="none" w:sz="0" w:space="0" w:color="auto"/>
                        <w:bottom w:val="none" w:sz="0" w:space="0" w:color="auto"/>
                        <w:right w:val="none" w:sz="0" w:space="0" w:color="auto"/>
                      </w:divBdr>
                    </w:div>
                  </w:divsChild>
                </w:div>
                <w:div w:id="981420056">
                  <w:marLeft w:val="0"/>
                  <w:marRight w:val="0"/>
                  <w:marTop w:val="0"/>
                  <w:marBottom w:val="0"/>
                  <w:divBdr>
                    <w:top w:val="none" w:sz="0" w:space="0" w:color="auto"/>
                    <w:left w:val="none" w:sz="0" w:space="0" w:color="auto"/>
                    <w:bottom w:val="none" w:sz="0" w:space="0" w:color="auto"/>
                    <w:right w:val="none" w:sz="0" w:space="0" w:color="auto"/>
                  </w:divBdr>
                  <w:divsChild>
                    <w:div w:id="291055490">
                      <w:marLeft w:val="0"/>
                      <w:marRight w:val="0"/>
                      <w:marTop w:val="0"/>
                      <w:marBottom w:val="0"/>
                      <w:divBdr>
                        <w:top w:val="none" w:sz="0" w:space="0" w:color="auto"/>
                        <w:left w:val="none" w:sz="0" w:space="0" w:color="auto"/>
                        <w:bottom w:val="none" w:sz="0" w:space="0" w:color="auto"/>
                        <w:right w:val="none" w:sz="0" w:space="0" w:color="auto"/>
                      </w:divBdr>
                    </w:div>
                  </w:divsChild>
                </w:div>
                <w:div w:id="1026253413">
                  <w:marLeft w:val="0"/>
                  <w:marRight w:val="0"/>
                  <w:marTop w:val="0"/>
                  <w:marBottom w:val="0"/>
                  <w:divBdr>
                    <w:top w:val="none" w:sz="0" w:space="0" w:color="auto"/>
                    <w:left w:val="none" w:sz="0" w:space="0" w:color="auto"/>
                    <w:bottom w:val="none" w:sz="0" w:space="0" w:color="auto"/>
                    <w:right w:val="none" w:sz="0" w:space="0" w:color="auto"/>
                  </w:divBdr>
                  <w:divsChild>
                    <w:div w:id="1718506910">
                      <w:marLeft w:val="0"/>
                      <w:marRight w:val="0"/>
                      <w:marTop w:val="0"/>
                      <w:marBottom w:val="0"/>
                      <w:divBdr>
                        <w:top w:val="none" w:sz="0" w:space="0" w:color="auto"/>
                        <w:left w:val="none" w:sz="0" w:space="0" w:color="auto"/>
                        <w:bottom w:val="none" w:sz="0" w:space="0" w:color="auto"/>
                        <w:right w:val="none" w:sz="0" w:space="0" w:color="auto"/>
                      </w:divBdr>
                    </w:div>
                    <w:div w:id="1875804088">
                      <w:marLeft w:val="0"/>
                      <w:marRight w:val="0"/>
                      <w:marTop w:val="0"/>
                      <w:marBottom w:val="0"/>
                      <w:divBdr>
                        <w:top w:val="none" w:sz="0" w:space="0" w:color="auto"/>
                        <w:left w:val="none" w:sz="0" w:space="0" w:color="auto"/>
                        <w:bottom w:val="none" w:sz="0" w:space="0" w:color="auto"/>
                        <w:right w:val="none" w:sz="0" w:space="0" w:color="auto"/>
                      </w:divBdr>
                    </w:div>
                  </w:divsChild>
                </w:div>
                <w:div w:id="1064596551">
                  <w:marLeft w:val="0"/>
                  <w:marRight w:val="0"/>
                  <w:marTop w:val="0"/>
                  <w:marBottom w:val="0"/>
                  <w:divBdr>
                    <w:top w:val="none" w:sz="0" w:space="0" w:color="auto"/>
                    <w:left w:val="none" w:sz="0" w:space="0" w:color="auto"/>
                    <w:bottom w:val="none" w:sz="0" w:space="0" w:color="auto"/>
                    <w:right w:val="none" w:sz="0" w:space="0" w:color="auto"/>
                  </w:divBdr>
                  <w:divsChild>
                    <w:div w:id="651568819">
                      <w:marLeft w:val="0"/>
                      <w:marRight w:val="0"/>
                      <w:marTop w:val="0"/>
                      <w:marBottom w:val="0"/>
                      <w:divBdr>
                        <w:top w:val="none" w:sz="0" w:space="0" w:color="auto"/>
                        <w:left w:val="none" w:sz="0" w:space="0" w:color="auto"/>
                        <w:bottom w:val="none" w:sz="0" w:space="0" w:color="auto"/>
                        <w:right w:val="none" w:sz="0" w:space="0" w:color="auto"/>
                      </w:divBdr>
                    </w:div>
                  </w:divsChild>
                </w:div>
                <w:div w:id="1112094084">
                  <w:marLeft w:val="0"/>
                  <w:marRight w:val="0"/>
                  <w:marTop w:val="0"/>
                  <w:marBottom w:val="0"/>
                  <w:divBdr>
                    <w:top w:val="none" w:sz="0" w:space="0" w:color="auto"/>
                    <w:left w:val="none" w:sz="0" w:space="0" w:color="auto"/>
                    <w:bottom w:val="none" w:sz="0" w:space="0" w:color="auto"/>
                    <w:right w:val="none" w:sz="0" w:space="0" w:color="auto"/>
                  </w:divBdr>
                  <w:divsChild>
                    <w:div w:id="1333755070">
                      <w:marLeft w:val="0"/>
                      <w:marRight w:val="0"/>
                      <w:marTop w:val="0"/>
                      <w:marBottom w:val="0"/>
                      <w:divBdr>
                        <w:top w:val="none" w:sz="0" w:space="0" w:color="auto"/>
                        <w:left w:val="none" w:sz="0" w:space="0" w:color="auto"/>
                        <w:bottom w:val="none" w:sz="0" w:space="0" w:color="auto"/>
                        <w:right w:val="none" w:sz="0" w:space="0" w:color="auto"/>
                      </w:divBdr>
                    </w:div>
                  </w:divsChild>
                </w:div>
                <w:div w:id="1118791853">
                  <w:marLeft w:val="0"/>
                  <w:marRight w:val="0"/>
                  <w:marTop w:val="0"/>
                  <w:marBottom w:val="0"/>
                  <w:divBdr>
                    <w:top w:val="none" w:sz="0" w:space="0" w:color="auto"/>
                    <w:left w:val="none" w:sz="0" w:space="0" w:color="auto"/>
                    <w:bottom w:val="none" w:sz="0" w:space="0" w:color="auto"/>
                    <w:right w:val="none" w:sz="0" w:space="0" w:color="auto"/>
                  </w:divBdr>
                  <w:divsChild>
                    <w:div w:id="1255936033">
                      <w:marLeft w:val="0"/>
                      <w:marRight w:val="0"/>
                      <w:marTop w:val="0"/>
                      <w:marBottom w:val="0"/>
                      <w:divBdr>
                        <w:top w:val="none" w:sz="0" w:space="0" w:color="auto"/>
                        <w:left w:val="none" w:sz="0" w:space="0" w:color="auto"/>
                        <w:bottom w:val="none" w:sz="0" w:space="0" w:color="auto"/>
                        <w:right w:val="none" w:sz="0" w:space="0" w:color="auto"/>
                      </w:divBdr>
                    </w:div>
                  </w:divsChild>
                </w:div>
                <w:div w:id="1126004851">
                  <w:marLeft w:val="0"/>
                  <w:marRight w:val="0"/>
                  <w:marTop w:val="0"/>
                  <w:marBottom w:val="0"/>
                  <w:divBdr>
                    <w:top w:val="none" w:sz="0" w:space="0" w:color="auto"/>
                    <w:left w:val="none" w:sz="0" w:space="0" w:color="auto"/>
                    <w:bottom w:val="none" w:sz="0" w:space="0" w:color="auto"/>
                    <w:right w:val="none" w:sz="0" w:space="0" w:color="auto"/>
                  </w:divBdr>
                  <w:divsChild>
                    <w:div w:id="1569684387">
                      <w:marLeft w:val="0"/>
                      <w:marRight w:val="0"/>
                      <w:marTop w:val="0"/>
                      <w:marBottom w:val="0"/>
                      <w:divBdr>
                        <w:top w:val="none" w:sz="0" w:space="0" w:color="auto"/>
                        <w:left w:val="none" w:sz="0" w:space="0" w:color="auto"/>
                        <w:bottom w:val="none" w:sz="0" w:space="0" w:color="auto"/>
                        <w:right w:val="none" w:sz="0" w:space="0" w:color="auto"/>
                      </w:divBdr>
                    </w:div>
                  </w:divsChild>
                </w:div>
                <w:div w:id="1183669766">
                  <w:marLeft w:val="0"/>
                  <w:marRight w:val="0"/>
                  <w:marTop w:val="0"/>
                  <w:marBottom w:val="0"/>
                  <w:divBdr>
                    <w:top w:val="none" w:sz="0" w:space="0" w:color="auto"/>
                    <w:left w:val="none" w:sz="0" w:space="0" w:color="auto"/>
                    <w:bottom w:val="none" w:sz="0" w:space="0" w:color="auto"/>
                    <w:right w:val="none" w:sz="0" w:space="0" w:color="auto"/>
                  </w:divBdr>
                  <w:divsChild>
                    <w:div w:id="121387331">
                      <w:marLeft w:val="0"/>
                      <w:marRight w:val="0"/>
                      <w:marTop w:val="0"/>
                      <w:marBottom w:val="0"/>
                      <w:divBdr>
                        <w:top w:val="none" w:sz="0" w:space="0" w:color="auto"/>
                        <w:left w:val="none" w:sz="0" w:space="0" w:color="auto"/>
                        <w:bottom w:val="none" w:sz="0" w:space="0" w:color="auto"/>
                        <w:right w:val="none" w:sz="0" w:space="0" w:color="auto"/>
                      </w:divBdr>
                    </w:div>
                  </w:divsChild>
                </w:div>
                <w:div w:id="1204487483">
                  <w:marLeft w:val="0"/>
                  <w:marRight w:val="0"/>
                  <w:marTop w:val="0"/>
                  <w:marBottom w:val="0"/>
                  <w:divBdr>
                    <w:top w:val="none" w:sz="0" w:space="0" w:color="auto"/>
                    <w:left w:val="none" w:sz="0" w:space="0" w:color="auto"/>
                    <w:bottom w:val="none" w:sz="0" w:space="0" w:color="auto"/>
                    <w:right w:val="none" w:sz="0" w:space="0" w:color="auto"/>
                  </w:divBdr>
                  <w:divsChild>
                    <w:div w:id="707342311">
                      <w:marLeft w:val="0"/>
                      <w:marRight w:val="0"/>
                      <w:marTop w:val="0"/>
                      <w:marBottom w:val="0"/>
                      <w:divBdr>
                        <w:top w:val="none" w:sz="0" w:space="0" w:color="auto"/>
                        <w:left w:val="none" w:sz="0" w:space="0" w:color="auto"/>
                        <w:bottom w:val="none" w:sz="0" w:space="0" w:color="auto"/>
                        <w:right w:val="none" w:sz="0" w:space="0" w:color="auto"/>
                      </w:divBdr>
                    </w:div>
                  </w:divsChild>
                </w:div>
                <w:div w:id="1207377552">
                  <w:marLeft w:val="0"/>
                  <w:marRight w:val="0"/>
                  <w:marTop w:val="0"/>
                  <w:marBottom w:val="0"/>
                  <w:divBdr>
                    <w:top w:val="none" w:sz="0" w:space="0" w:color="auto"/>
                    <w:left w:val="none" w:sz="0" w:space="0" w:color="auto"/>
                    <w:bottom w:val="none" w:sz="0" w:space="0" w:color="auto"/>
                    <w:right w:val="none" w:sz="0" w:space="0" w:color="auto"/>
                  </w:divBdr>
                  <w:divsChild>
                    <w:div w:id="182476622">
                      <w:marLeft w:val="0"/>
                      <w:marRight w:val="0"/>
                      <w:marTop w:val="0"/>
                      <w:marBottom w:val="0"/>
                      <w:divBdr>
                        <w:top w:val="none" w:sz="0" w:space="0" w:color="auto"/>
                        <w:left w:val="none" w:sz="0" w:space="0" w:color="auto"/>
                        <w:bottom w:val="none" w:sz="0" w:space="0" w:color="auto"/>
                        <w:right w:val="none" w:sz="0" w:space="0" w:color="auto"/>
                      </w:divBdr>
                    </w:div>
                  </w:divsChild>
                </w:div>
                <w:div w:id="1297180703">
                  <w:marLeft w:val="0"/>
                  <w:marRight w:val="0"/>
                  <w:marTop w:val="0"/>
                  <w:marBottom w:val="0"/>
                  <w:divBdr>
                    <w:top w:val="none" w:sz="0" w:space="0" w:color="auto"/>
                    <w:left w:val="none" w:sz="0" w:space="0" w:color="auto"/>
                    <w:bottom w:val="none" w:sz="0" w:space="0" w:color="auto"/>
                    <w:right w:val="none" w:sz="0" w:space="0" w:color="auto"/>
                  </w:divBdr>
                  <w:divsChild>
                    <w:div w:id="577906242">
                      <w:marLeft w:val="0"/>
                      <w:marRight w:val="0"/>
                      <w:marTop w:val="0"/>
                      <w:marBottom w:val="0"/>
                      <w:divBdr>
                        <w:top w:val="none" w:sz="0" w:space="0" w:color="auto"/>
                        <w:left w:val="none" w:sz="0" w:space="0" w:color="auto"/>
                        <w:bottom w:val="none" w:sz="0" w:space="0" w:color="auto"/>
                        <w:right w:val="none" w:sz="0" w:space="0" w:color="auto"/>
                      </w:divBdr>
                    </w:div>
                  </w:divsChild>
                </w:div>
                <w:div w:id="1350328442">
                  <w:marLeft w:val="0"/>
                  <w:marRight w:val="0"/>
                  <w:marTop w:val="0"/>
                  <w:marBottom w:val="0"/>
                  <w:divBdr>
                    <w:top w:val="none" w:sz="0" w:space="0" w:color="auto"/>
                    <w:left w:val="none" w:sz="0" w:space="0" w:color="auto"/>
                    <w:bottom w:val="none" w:sz="0" w:space="0" w:color="auto"/>
                    <w:right w:val="none" w:sz="0" w:space="0" w:color="auto"/>
                  </w:divBdr>
                  <w:divsChild>
                    <w:div w:id="1775204613">
                      <w:marLeft w:val="0"/>
                      <w:marRight w:val="0"/>
                      <w:marTop w:val="0"/>
                      <w:marBottom w:val="0"/>
                      <w:divBdr>
                        <w:top w:val="none" w:sz="0" w:space="0" w:color="auto"/>
                        <w:left w:val="none" w:sz="0" w:space="0" w:color="auto"/>
                        <w:bottom w:val="none" w:sz="0" w:space="0" w:color="auto"/>
                        <w:right w:val="none" w:sz="0" w:space="0" w:color="auto"/>
                      </w:divBdr>
                    </w:div>
                  </w:divsChild>
                </w:div>
                <w:div w:id="1375274313">
                  <w:marLeft w:val="0"/>
                  <w:marRight w:val="0"/>
                  <w:marTop w:val="0"/>
                  <w:marBottom w:val="0"/>
                  <w:divBdr>
                    <w:top w:val="none" w:sz="0" w:space="0" w:color="auto"/>
                    <w:left w:val="none" w:sz="0" w:space="0" w:color="auto"/>
                    <w:bottom w:val="none" w:sz="0" w:space="0" w:color="auto"/>
                    <w:right w:val="none" w:sz="0" w:space="0" w:color="auto"/>
                  </w:divBdr>
                  <w:divsChild>
                    <w:div w:id="323166556">
                      <w:marLeft w:val="0"/>
                      <w:marRight w:val="0"/>
                      <w:marTop w:val="0"/>
                      <w:marBottom w:val="0"/>
                      <w:divBdr>
                        <w:top w:val="none" w:sz="0" w:space="0" w:color="auto"/>
                        <w:left w:val="none" w:sz="0" w:space="0" w:color="auto"/>
                        <w:bottom w:val="none" w:sz="0" w:space="0" w:color="auto"/>
                        <w:right w:val="none" w:sz="0" w:space="0" w:color="auto"/>
                      </w:divBdr>
                    </w:div>
                  </w:divsChild>
                </w:div>
                <w:div w:id="1427461252">
                  <w:marLeft w:val="0"/>
                  <w:marRight w:val="0"/>
                  <w:marTop w:val="0"/>
                  <w:marBottom w:val="0"/>
                  <w:divBdr>
                    <w:top w:val="none" w:sz="0" w:space="0" w:color="auto"/>
                    <w:left w:val="none" w:sz="0" w:space="0" w:color="auto"/>
                    <w:bottom w:val="none" w:sz="0" w:space="0" w:color="auto"/>
                    <w:right w:val="none" w:sz="0" w:space="0" w:color="auto"/>
                  </w:divBdr>
                  <w:divsChild>
                    <w:div w:id="1303390837">
                      <w:marLeft w:val="0"/>
                      <w:marRight w:val="0"/>
                      <w:marTop w:val="0"/>
                      <w:marBottom w:val="0"/>
                      <w:divBdr>
                        <w:top w:val="none" w:sz="0" w:space="0" w:color="auto"/>
                        <w:left w:val="none" w:sz="0" w:space="0" w:color="auto"/>
                        <w:bottom w:val="none" w:sz="0" w:space="0" w:color="auto"/>
                        <w:right w:val="none" w:sz="0" w:space="0" w:color="auto"/>
                      </w:divBdr>
                    </w:div>
                  </w:divsChild>
                </w:div>
                <w:div w:id="1476021530">
                  <w:marLeft w:val="0"/>
                  <w:marRight w:val="0"/>
                  <w:marTop w:val="0"/>
                  <w:marBottom w:val="0"/>
                  <w:divBdr>
                    <w:top w:val="none" w:sz="0" w:space="0" w:color="auto"/>
                    <w:left w:val="none" w:sz="0" w:space="0" w:color="auto"/>
                    <w:bottom w:val="none" w:sz="0" w:space="0" w:color="auto"/>
                    <w:right w:val="none" w:sz="0" w:space="0" w:color="auto"/>
                  </w:divBdr>
                  <w:divsChild>
                    <w:div w:id="485360115">
                      <w:marLeft w:val="0"/>
                      <w:marRight w:val="0"/>
                      <w:marTop w:val="0"/>
                      <w:marBottom w:val="0"/>
                      <w:divBdr>
                        <w:top w:val="none" w:sz="0" w:space="0" w:color="auto"/>
                        <w:left w:val="none" w:sz="0" w:space="0" w:color="auto"/>
                        <w:bottom w:val="none" w:sz="0" w:space="0" w:color="auto"/>
                        <w:right w:val="none" w:sz="0" w:space="0" w:color="auto"/>
                      </w:divBdr>
                    </w:div>
                  </w:divsChild>
                </w:div>
                <w:div w:id="1476683473">
                  <w:marLeft w:val="0"/>
                  <w:marRight w:val="0"/>
                  <w:marTop w:val="0"/>
                  <w:marBottom w:val="0"/>
                  <w:divBdr>
                    <w:top w:val="none" w:sz="0" w:space="0" w:color="auto"/>
                    <w:left w:val="none" w:sz="0" w:space="0" w:color="auto"/>
                    <w:bottom w:val="none" w:sz="0" w:space="0" w:color="auto"/>
                    <w:right w:val="none" w:sz="0" w:space="0" w:color="auto"/>
                  </w:divBdr>
                  <w:divsChild>
                    <w:div w:id="228929298">
                      <w:marLeft w:val="0"/>
                      <w:marRight w:val="0"/>
                      <w:marTop w:val="0"/>
                      <w:marBottom w:val="0"/>
                      <w:divBdr>
                        <w:top w:val="none" w:sz="0" w:space="0" w:color="auto"/>
                        <w:left w:val="none" w:sz="0" w:space="0" w:color="auto"/>
                        <w:bottom w:val="none" w:sz="0" w:space="0" w:color="auto"/>
                        <w:right w:val="none" w:sz="0" w:space="0" w:color="auto"/>
                      </w:divBdr>
                    </w:div>
                  </w:divsChild>
                </w:div>
                <w:div w:id="1514416025">
                  <w:marLeft w:val="0"/>
                  <w:marRight w:val="0"/>
                  <w:marTop w:val="0"/>
                  <w:marBottom w:val="0"/>
                  <w:divBdr>
                    <w:top w:val="none" w:sz="0" w:space="0" w:color="auto"/>
                    <w:left w:val="none" w:sz="0" w:space="0" w:color="auto"/>
                    <w:bottom w:val="none" w:sz="0" w:space="0" w:color="auto"/>
                    <w:right w:val="none" w:sz="0" w:space="0" w:color="auto"/>
                  </w:divBdr>
                  <w:divsChild>
                    <w:div w:id="323321714">
                      <w:marLeft w:val="0"/>
                      <w:marRight w:val="0"/>
                      <w:marTop w:val="0"/>
                      <w:marBottom w:val="0"/>
                      <w:divBdr>
                        <w:top w:val="none" w:sz="0" w:space="0" w:color="auto"/>
                        <w:left w:val="none" w:sz="0" w:space="0" w:color="auto"/>
                        <w:bottom w:val="none" w:sz="0" w:space="0" w:color="auto"/>
                        <w:right w:val="none" w:sz="0" w:space="0" w:color="auto"/>
                      </w:divBdr>
                    </w:div>
                  </w:divsChild>
                </w:div>
                <w:div w:id="1540586966">
                  <w:marLeft w:val="0"/>
                  <w:marRight w:val="0"/>
                  <w:marTop w:val="0"/>
                  <w:marBottom w:val="0"/>
                  <w:divBdr>
                    <w:top w:val="none" w:sz="0" w:space="0" w:color="auto"/>
                    <w:left w:val="none" w:sz="0" w:space="0" w:color="auto"/>
                    <w:bottom w:val="none" w:sz="0" w:space="0" w:color="auto"/>
                    <w:right w:val="none" w:sz="0" w:space="0" w:color="auto"/>
                  </w:divBdr>
                  <w:divsChild>
                    <w:div w:id="738214345">
                      <w:marLeft w:val="0"/>
                      <w:marRight w:val="0"/>
                      <w:marTop w:val="0"/>
                      <w:marBottom w:val="0"/>
                      <w:divBdr>
                        <w:top w:val="none" w:sz="0" w:space="0" w:color="auto"/>
                        <w:left w:val="none" w:sz="0" w:space="0" w:color="auto"/>
                        <w:bottom w:val="none" w:sz="0" w:space="0" w:color="auto"/>
                        <w:right w:val="none" w:sz="0" w:space="0" w:color="auto"/>
                      </w:divBdr>
                    </w:div>
                  </w:divsChild>
                </w:div>
                <w:div w:id="1585072988">
                  <w:marLeft w:val="0"/>
                  <w:marRight w:val="0"/>
                  <w:marTop w:val="0"/>
                  <w:marBottom w:val="0"/>
                  <w:divBdr>
                    <w:top w:val="none" w:sz="0" w:space="0" w:color="auto"/>
                    <w:left w:val="none" w:sz="0" w:space="0" w:color="auto"/>
                    <w:bottom w:val="none" w:sz="0" w:space="0" w:color="auto"/>
                    <w:right w:val="none" w:sz="0" w:space="0" w:color="auto"/>
                  </w:divBdr>
                  <w:divsChild>
                    <w:div w:id="1443451672">
                      <w:marLeft w:val="0"/>
                      <w:marRight w:val="0"/>
                      <w:marTop w:val="0"/>
                      <w:marBottom w:val="0"/>
                      <w:divBdr>
                        <w:top w:val="none" w:sz="0" w:space="0" w:color="auto"/>
                        <w:left w:val="none" w:sz="0" w:space="0" w:color="auto"/>
                        <w:bottom w:val="none" w:sz="0" w:space="0" w:color="auto"/>
                        <w:right w:val="none" w:sz="0" w:space="0" w:color="auto"/>
                      </w:divBdr>
                    </w:div>
                  </w:divsChild>
                </w:div>
                <w:div w:id="1605577578">
                  <w:marLeft w:val="0"/>
                  <w:marRight w:val="0"/>
                  <w:marTop w:val="0"/>
                  <w:marBottom w:val="0"/>
                  <w:divBdr>
                    <w:top w:val="none" w:sz="0" w:space="0" w:color="auto"/>
                    <w:left w:val="none" w:sz="0" w:space="0" w:color="auto"/>
                    <w:bottom w:val="none" w:sz="0" w:space="0" w:color="auto"/>
                    <w:right w:val="none" w:sz="0" w:space="0" w:color="auto"/>
                  </w:divBdr>
                  <w:divsChild>
                    <w:div w:id="291640988">
                      <w:marLeft w:val="0"/>
                      <w:marRight w:val="0"/>
                      <w:marTop w:val="0"/>
                      <w:marBottom w:val="0"/>
                      <w:divBdr>
                        <w:top w:val="none" w:sz="0" w:space="0" w:color="auto"/>
                        <w:left w:val="none" w:sz="0" w:space="0" w:color="auto"/>
                        <w:bottom w:val="none" w:sz="0" w:space="0" w:color="auto"/>
                        <w:right w:val="none" w:sz="0" w:space="0" w:color="auto"/>
                      </w:divBdr>
                    </w:div>
                  </w:divsChild>
                </w:div>
                <w:div w:id="1685594130">
                  <w:marLeft w:val="0"/>
                  <w:marRight w:val="0"/>
                  <w:marTop w:val="0"/>
                  <w:marBottom w:val="0"/>
                  <w:divBdr>
                    <w:top w:val="none" w:sz="0" w:space="0" w:color="auto"/>
                    <w:left w:val="none" w:sz="0" w:space="0" w:color="auto"/>
                    <w:bottom w:val="none" w:sz="0" w:space="0" w:color="auto"/>
                    <w:right w:val="none" w:sz="0" w:space="0" w:color="auto"/>
                  </w:divBdr>
                  <w:divsChild>
                    <w:div w:id="1535462201">
                      <w:marLeft w:val="0"/>
                      <w:marRight w:val="0"/>
                      <w:marTop w:val="0"/>
                      <w:marBottom w:val="0"/>
                      <w:divBdr>
                        <w:top w:val="none" w:sz="0" w:space="0" w:color="auto"/>
                        <w:left w:val="none" w:sz="0" w:space="0" w:color="auto"/>
                        <w:bottom w:val="none" w:sz="0" w:space="0" w:color="auto"/>
                        <w:right w:val="none" w:sz="0" w:space="0" w:color="auto"/>
                      </w:divBdr>
                    </w:div>
                  </w:divsChild>
                </w:div>
                <w:div w:id="1789008851">
                  <w:marLeft w:val="0"/>
                  <w:marRight w:val="0"/>
                  <w:marTop w:val="0"/>
                  <w:marBottom w:val="0"/>
                  <w:divBdr>
                    <w:top w:val="none" w:sz="0" w:space="0" w:color="auto"/>
                    <w:left w:val="none" w:sz="0" w:space="0" w:color="auto"/>
                    <w:bottom w:val="none" w:sz="0" w:space="0" w:color="auto"/>
                    <w:right w:val="none" w:sz="0" w:space="0" w:color="auto"/>
                  </w:divBdr>
                  <w:divsChild>
                    <w:div w:id="1866938278">
                      <w:marLeft w:val="0"/>
                      <w:marRight w:val="0"/>
                      <w:marTop w:val="0"/>
                      <w:marBottom w:val="0"/>
                      <w:divBdr>
                        <w:top w:val="none" w:sz="0" w:space="0" w:color="auto"/>
                        <w:left w:val="none" w:sz="0" w:space="0" w:color="auto"/>
                        <w:bottom w:val="none" w:sz="0" w:space="0" w:color="auto"/>
                        <w:right w:val="none" w:sz="0" w:space="0" w:color="auto"/>
                      </w:divBdr>
                    </w:div>
                  </w:divsChild>
                </w:div>
                <w:div w:id="1798064847">
                  <w:marLeft w:val="0"/>
                  <w:marRight w:val="0"/>
                  <w:marTop w:val="0"/>
                  <w:marBottom w:val="0"/>
                  <w:divBdr>
                    <w:top w:val="none" w:sz="0" w:space="0" w:color="auto"/>
                    <w:left w:val="none" w:sz="0" w:space="0" w:color="auto"/>
                    <w:bottom w:val="none" w:sz="0" w:space="0" w:color="auto"/>
                    <w:right w:val="none" w:sz="0" w:space="0" w:color="auto"/>
                  </w:divBdr>
                  <w:divsChild>
                    <w:div w:id="1376809301">
                      <w:marLeft w:val="0"/>
                      <w:marRight w:val="0"/>
                      <w:marTop w:val="0"/>
                      <w:marBottom w:val="0"/>
                      <w:divBdr>
                        <w:top w:val="none" w:sz="0" w:space="0" w:color="auto"/>
                        <w:left w:val="none" w:sz="0" w:space="0" w:color="auto"/>
                        <w:bottom w:val="none" w:sz="0" w:space="0" w:color="auto"/>
                        <w:right w:val="none" w:sz="0" w:space="0" w:color="auto"/>
                      </w:divBdr>
                    </w:div>
                  </w:divsChild>
                </w:div>
                <w:div w:id="1817985337">
                  <w:marLeft w:val="0"/>
                  <w:marRight w:val="0"/>
                  <w:marTop w:val="0"/>
                  <w:marBottom w:val="0"/>
                  <w:divBdr>
                    <w:top w:val="none" w:sz="0" w:space="0" w:color="auto"/>
                    <w:left w:val="none" w:sz="0" w:space="0" w:color="auto"/>
                    <w:bottom w:val="none" w:sz="0" w:space="0" w:color="auto"/>
                    <w:right w:val="none" w:sz="0" w:space="0" w:color="auto"/>
                  </w:divBdr>
                  <w:divsChild>
                    <w:div w:id="226309503">
                      <w:marLeft w:val="0"/>
                      <w:marRight w:val="0"/>
                      <w:marTop w:val="0"/>
                      <w:marBottom w:val="0"/>
                      <w:divBdr>
                        <w:top w:val="none" w:sz="0" w:space="0" w:color="auto"/>
                        <w:left w:val="none" w:sz="0" w:space="0" w:color="auto"/>
                        <w:bottom w:val="none" w:sz="0" w:space="0" w:color="auto"/>
                        <w:right w:val="none" w:sz="0" w:space="0" w:color="auto"/>
                      </w:divBdr>
                    </w:div>
                  </w:divsChild>
                </w:div>
                <w:div w:id="1877504719">
                  <w:marLeft w:val="0"/>
                  <w:marRight w:val="0"/>
                  <w:marTop w:val="0"/>
                  <w:marBottom w:val="0"/>
                  <w:divBdr>
                    <w:top w:val="none" w:sz="0" w:space="0" w:color="auto"/>
                    <w:left w:val="none" w:sz="0" w:space="0" w:color="auto"/>
                    <w:bottom w:val="none" w:sz="0" w:space="0" w:color="auto"/>
                    <w:right w:val="none" w:sz="0" w:space="0" w:color="auto"/>
                  </w:divBdr>
                  <w:divsChild>
                    <w:div w:id="480540176">
                      <w:marLeft w:val="0"/>
                      <w:marRight w:val="0"/>
                      <w:marTop w:val="0"/>
                      <w:marBottom w:val="0"/>
                      <w:divBdr>
                        <w:top w:val="none" w:sz="0" w:space="0" w:color="auto"/>
                        <w:left w:val="none" w:sz="0" w:space="0" w:color="auto"/>
                        <w:bottom w:val="none" w:sz="0" w:space="0" w:color="auto"/>
                        <w:right w:val="none" w:sz="0" w:space="0" w:color="auto"/>
                      </w:divBdr>
                    </w:div>
                  </w:divsChild>
                </w:div>
                <w:div w:id="1882203176">
                  <w:marLeft w:val="0"/>
                  <w:marRight w:val="0"/>
                  <w:marTop w:val="0"/>
                  <w:marBottom w:val="0"/>
                  <w:divBdr>
                    <w:top w:val="none" w:sz="0" w:space="0" w:color="auto"/>
                    <w:left w:val="none" w:sz="0" w:space="0" w:color="auto"/>
                    <w:bottom w:val="none" w:sz="0" w:space="0" w:color="auto"/>
                    <w:right w:val="none" w:sz="0" w:space="0" w:color="auto"/>
                  </w:divBdr>
                  <w:divsChild>
                    <w:div w:id="1678002364">
                      <w:marLeft w:val="0"/>
                      <w:marRight w:val="0"/>
                      <w:marTop w:val="0"/>
                      <w:marBottom w:val="0"/>
                      <w:divBdr>
                        <w:top w:val="none" w:sz="0" w:space="0" w:color="auto"/>
                        <w:left w:val="none" w:sz="0" w:space="0" w:color="auto"/>
                        <w:bottom w:val="none" w:sz="0" w:space="0" w:color="auto"/>
                        <w:right w:val="none" w:sz="0" w:space="0" w:color="auto"/>
                      </w:divBdr>
                    </w:div>
                  </w:divsChild>
                </w:div>
                <w:div w:id="1901017446">
                  <w:marLeft w:val="0"/>
                  <w:marRight w:val="0"/>
                  <w:marTop w:val="0"/>
                  <w:marBottom w:val="0"/>
                  <w:divBdr>
                    <w:top w:val="none" w:sz="0" w:space="0" w:color="auto"/>
                    <w:left w:val="none" w:sz="0" w:space="0" w:color="auto"/>
                    <w:bottom w:val="none" w:sz="0" w:space="0" w:color="auto"/>
                    <w:right w:val="none" w:sz="0" w:space="0" w:color="auto"/>
                  </w:divBdr>
                  <w:divsChild>
                    <w:div w:id="355547486">
                      <w:marLeft w:val="0"/>
                      <w:marRight w:val="0"/>
                      <w:marTop w:val="0"/>
                      <w:marBottom w:val="0"/>
                      <w:divBdr>
                        <w:top w:val="none" w:sz="0" w:space="0" w:color="auto"/>
                        <w:left w:val="none" w:sz="0" w:space="0" w:color="auto"/>
                        <w:bottom w:val="none" w:sz="0" w:space="0" w:color="auto"/>
                        <w:right w:val="none" w:sz="0" w:space="0" w:color="auto"/>
                      </w:divBdr>
                    </w:div>
                  </w:divsChild>
                </w:div>
                <w:div w:id="1940215928">
                  <w:marLeft w:val="0"/>
                  <w:marRight w:val="0"/>
                  <w:marTop w:val="0"/>
                  <w:marBottom w:val="0"/>
                  <w:divBdr>
                    <w:top w:val="none" w:sz="0" w:space="0" w:color="auto"/>
                    <w:left w:val="none" w:sz="0" w:space="0" w:color="auto"/>
                    <w:bottom w:val="none" w:sz="0" w:space="0" w:color="auto"/>
                    <w:right w:val="none" w:sz="0" w:space="0" w:color="auto"/>
                  </w:divBdr>
                  <w:divsChild>
                    <w:div w:id="639379715">
                      <w:marLeft w:val="0"/>
                      <w:marRight w:val="0"/>
                      <w:marTop w:val="0"/>
                      <w:marBottom w:val="0"/>
                      <w:divBdr>
                        <w:top w:val="none" w:sz="0" w:space="0" w:color="auto"/>
                        <w:left w:val="none" w:sz="0" w:space="0" w:color="auto"/>
                        <w:bottom w:val="none" w:sz="0" w:space="0" w:color="auto"/>
                        <w:right w:val="none" w:sz="0" w:space="0" w:color="auto"/>
                      </w:divBdr>
                    </w:div>
                  </w:divsChild>
                </w:div>
                <w:div w:id="2129396943">
                  <w:marLeft w:val="0"/>
                  <w:marRight w:val="0"/>
                  <w:marTop w:val="0"/>
                  <w:marBottom w:val="0"/>
                  <w:divBdr>
                    <w:top w:val="none" w:sz="0" w:space="0" w:color="auto"/>
                    <w:left w:val="none" w:sz="0" w:space="0" w:color="auto"/>
                    <w:bottom w:val="none" w:sz="0" w:space="0" w:color="auto"/>
                    <w:right w:val="none" w:sz="0" w:space="0" w:color="auto"/>
                  </w:divBdr>
                  <w:divsChild>
                    <w:div w:id="293753381">
                      <w:marLeft w:val="0"/>
                      <w:marRight w:val="0"/>
                      <w:marTop w:val="0"/>
                      <w:marBottom w:val="0"/>
                      <w:divBdr>
                        <w:top w:val="none" w:sz="0" w:space="0" w:color="auto"/>
                        <w:left w:val="none" w:sz="0" w:space="0" w:color="auto"/>
                        <w:bottom w:val="none" w:sz="0" w:space="0" w:color="auto"/>
                        <w:right w:val="none" w:sz="0" w:space="0" w:color="auto"/>
                      </w:divBdr>
                    </w:div>
                  </w:divsChild>
                </w:div>
                <w:div w:id="2143881437">
                  <w:marLeft w:val="0"/>
                  <w:marRight w:val="0"/>
                  <w:marTop w:val="0"/>
                  <w:marBottom w:val="0"/>
                  <w:divBdr>
                    <w:top w:val="none" w:sz="0" w:space="0" w:color="auto"/>
                    <w:left w:val="none" w:sz="0" w:space="0" w:color="auto"/>
                    <w:bottom w:val="none" w:sz="0" w:space="0" w:color="auto"/>
                    <w:right w:val="none" w:sz="0" w:space="0" w:color="auto"/>
                  </w:divBdr>
                  <w:divsChild>
                    <w:div w:id="64050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globalgoals.goldstandard.org/407-3-tpddtec-survey-questionnaire/" TargetMode="External"/><Relationship Id="rId21" Type="http://schemas.openxmlformats.org/officeDocument/2006/relationships/hyperlink" Target="https://www.seforall.org/mini-grids-emissions-tool" TargetMode="External"/><Relationship Id="rId42" Type="http://schemas.openxmlformats.org/officeDocument/2006/relationships/hyperlink" Target="https://ir.library.oregonstate.edu/concern/technical_reports/2f75rj10q" TargetMode="External"/><Relationship Id="rId47" Type="http://schemas.openxmlformats.org/officeDocument/2006/relationships/hyperlink" Target="https://unfccc.int/sites/default/files/resource/A6.4-SBM017-A05.pdf" TargetMode="External"/><Relationship Id="rId63" Type="http://schemas.openxmlformats.org/officeDocument/2006/relationships/footer" Target="footer1.xml"/><Relationship Id="rId68" Type="http://schemas.openxmlformats.org/officeDocument/2006/relationships/hyperlink" Target="https://www.seforall.org/system/files/2021-08/SEforALL_Carbon-emissions-methodology-note.pdf" TargetMode="External"/><Relationship Id="rId84" Type="http://schemas.openxmlformats.org/officeDocument/2006/relationships/hyperlink" Target="https://cleancooking.org/reports-and-tools/reducing-fuel-stacking-a-survey-tool-for-the-clean-cooking-industry/" TargetMode="External"/><Relationship Id="rId89" Type="http://schemas.openxmlformats.org/officeDocument/2006/relationships/hyperlink" Target="https://samplesizecalculatorforsknormalandproportion.streamlit.app/" TargetMode="External"/><Relationship Id="rId16" Type="http://schemas.openxmlformats.org/officeDocument/2006/relationships/hyperlink" Target="https://cdm.unfccc.int/methodologies/PAmethodologies/tools/am-tool-33-v3.pdf" TargetMode="External"/><Relationship Id="rId11" Type="http://schemas.openxmlformats.org/officeDocument/2006/relationships/image" Target="media/image1.jpeg"/><Relationship Id="rId32" Type="http://schemas.openxmlformats.org/officeDocument/2006/relationships/hyperlink" Target="https://doi.org/10.5194/acp-10-565-2010h" TargetMode="External"/><Relationship Id="rId37" Type="http://schemas.openxmlformats.org/officeDocument/2006/relationships/hyperlink" Target="https://cdm.unfccc.int/Sunset_CMS_ControlledSlots/public_inputs/sunsetcms/storage/contents/stored-file-20240624161613578/Report_on_Updated_fNRB_Values_20%20June%202024.pdf" TargetMode="External"/><Relationship Id="rId53" Type="http://schemas.openxmlformats.org/officeDocument/2006/relationships/hyperlink" Target="https://mofuss.unam.mx/mofuss-ds/" TargetMode="External"/><Relationship Id="rId58" Type="http://schemas.openxmlformats.org/officeDocument/2006/relationships/hyperlink" Target="https://cleancooking.org/protocols/" TargetMode="External"/><Relationship Id="rId74" Type="http://schemas.openxmlformats.org/officeDocument/2006/relationships/hyperlink" Target="https://doi.org/10.5194/acp-11-4039-2011" TargetMode="External"/><Relationship Id="rId79" Type="http://schemas.openxmlformats.org/officeDocument/2006/relationships/hyperlink" Target="http://documents.worldbank.org/curated/en/381751639456530686" TargetMode="External"/><Relationship Id="rId5" Type="http://schemas.openxmlformats.org/officeDocument/2006/relationships/numbering" Target="numbering.xml"/><Relationship Id="rId90" Type="http://schemas.openxmlformats.org/officeDocument/2006/relationships/hyperlink" Target="https://samplesizecalculatorforsknormalandproportion.streamlit.app/" TargetMode="External"/><Relationship Id="rId95" Type="http://schemas.openxmlformats.org/officeDocument/2006/relationships/theme" Target="theme/theme1.xml"/><Relationship Id="rId22" Type="http://schemas.openxmlformats.org/officeDocument/2006/relationships/hyperlink" Target="https://cleancooking.org/news/cca-launches-principles-for-responsible-carbon-finance-in-clean-cooking/" TargetMode="External"/><Relationship Id="rId27" Type="http://schemas.openxmlformats.org/officeDocument/2006/relationships/hyperlink" Target="https://gspp.berkeley.edu/research-and-impact/centers/cepp/projects/berkeley-carbon-trading-project/cookstoves/recommendations" TargetMode="External"/><Relationship Id="rId43" Type="http://schemas.openxmlformats.org/officeDocument/2006/relationships/hyperlink" Target="https://unfccc.int/sites/default/files/resource/A6.4-STAN-METH-004.pdf" TargetMode="External"/><Relationship Id="rId48" Type="http://schemas.openxmlformats.org/officeDocument/2006/relationships/hyperlink" Target="https://unfccc.int/sites/default/files/resource/A6.4-STAN-METH-004.pdf" TargetMode="External"/><Relationship Id="rId64" Type="http://schemas.openxmlformats.org/officeDocument/2006/relationships/hyperlink" Target="https://unfccc.int/sites/default/files/resource/AHG-002_IFI_Approach_to_grid_electricity_consumption_v01_clean.pdf" TargetMode="External"/><Relationship Id="rId69" Type="http://schemas.openxmlformats.org/officeDocument/2006/relationships/hyperlink" Target="https://iopscience.iop.org/article/10.1088/1748-9326/acb501" TargetMode="External"/><Relationship Id="rId8" Type="http://schemas.openxmlformats.org/officeDocument/2006/relationships/webSettings" Target="webSettings.xml"/><Relationship Id="rId51" Type="http://schemas.openxmlformats.org/officeDocument/2006/relationships/hyperlink" Target="https://unfccc.int/sites/default/files/resource/A6.4-STAN-METH-004.pdf" TargetMode="External"/><Relationship Id="rId72" Type="http://schemas.openxmlformats.org/officeDocument/2006/relationships/hyperlink" Target="https://doi.org/10.5194/acp-11-4039-2011" TargetMode="External"/><Relationship Id="rId80" Type="http://schemas.openxmlformats.org/officeDocument/2006/relationships/hyperlink" Target="https://gspp.berkeley.edu/research-and-impact/centers/cepp/projects/berkeley-carbon-trading-project/cookstoves/recommendations" TargetMode="External"/><Relationship Id="rId85" Type="http://schemas.openxmlformats.org/officeDocument/2006/relationships/hyperlink" Target="https://cleancooking.org/protocols" TargetMode="External"/><Relationship Id="rId93"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s://unfccc.int/sites/default/files/resource/A6.4-STAN-METH-003.pdf" TargetMode="External"/><Relationship Id="rId17" Type="http://schemas.openxmlformats.org/officeDocument/2006/relationships/hyperlink" Target="https://www.ipcc.ch/report/2019-refinement-to-the-2006-ipcc-guidelines-for-national-greenhouse-gas-inventories/" TargetMode="External"/><Relationship Id="rId25" Type="http://schemas.openxmlformats.org/officeDocument/2006/relationships/hyperlink" Target="https://globalgoals.goldstandard.org/431-1-mecd-survey-questionnaire/" TargetMode="External"/><Relationship Id="rId33" Type="http://schemas.openxmlformats.org/officeDocument/2006/relationships/hyperlink" Target="https://doi.org/10.1088/1748-9326/acb501" TargetMode="External"/><Relationship Id="rId38" Type="http://schemas.openxmlformats.org/officeDocument/2006/relationships/hyperlink" Target="https://www.iea.org/reports/a-vision-for-clean-cooking-access-for-all/executive-summary" TargetMode="External"/><Relationship Id="rId46" Type="http://schemas.openxmlformats.org/officeDocument/2006/relationships/hyperlink" Target="https://unfccc.int/sites/default/files/resource/A6.4-STAN-METH-004.pdf" TargetMode="External"/><Relationship Id="rId59" Type="http://schemas.openxmlformats.org/officeDocument/2006/relationships/hyperlink" Target="https://cleancooking.org/protocols/" TargetMode="External"/><Relationship Id="rId67" Type="http://schemas.openxmlformats.org/officeDocument/2006/relationships/hyperlink" Target="https://www.seforall.org/system/files/2021-08/SEforALL_Carbon-emissions-methodology-note.pdf" TargetMode="External"/><Relationship Id="rId20" Type="http://schemas.openxmlformats.org/officeDocument/2006/relationships/hyperlink" Target="https://www.mofuss.unam.mx/" TargetMode="External"/><Relationship Id="rId41" Type="http://schemas.openxmlformats.org/officeDocument/2006/relationships/hyperlink" Target="https://doi.org/10.1038/s41467-021-26036-x" TargetMode="External"/><Relationship Id="rId54" Type="http://schemas.openxmlformats.org/officeDocument/2006/relationships/hyperlink" Target="https://zenodo.org/records/14389323" TargetMode="External"/><Relationship Id="rId62" Type="http://schemas.openxmlformats.org/officeDocument/2006/relationships/header" Target="header1.xml"/><Relationship Id="rId70" Type="http://schemas.openxmlformats.org/officeDocument/2006/relationships/hyperlink" Target="https://icvcm.org/core-carbon-principles/" TargetMode="External"/><Relationship Id="rId75" Type="http://schemas.openxmlformats.org/officeDocument/2006/relationships/hyperlink" Target="https://doi.org/10.1017/9781009157896.009" TargetMode="External"/><Relationship Id="rId83" Type="http://schemas.openxmlformats.org/officeDocument/2006/relationships/hyperlink" Target="https://globalgoals.goldstandard.org/407-3-tpddtec-survey-questionnaire/" TargetMode="External"/><Relationship Id="rId88" Type="http://schemas.openxmlformats.org/officeDocument/2006/relationships/image" Target="media/image4.png"/><Relationship Id="rId9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cleancooking.org/protocols/" TargetMode="External"/><Relationship Id="rId23" Type="http://schemas.openxmlformats.org/officeDocument/2006/relationships/hyperlink" Target="https://cleancooking.org/reports-and-tools/reducing-fuel-stacking-a-survey-tool-for-the-clean-cooking-industry/" TargetMode="External"/><Relationship Id="rId28" Type="http://schemas.openxmlformats.org/officeDocument/2006/relationships/hyperlink" Target="https://doi.org/10.1038/s41893-023-01259-6" TargetMode="External"/><Relationship Id="rId36" Type="http://schemas.openxmlformats.org/officeDocument/2006/relationships/hyperlink" Target="https://cleancooking.org/wp-content/uploads/2025/03/Berkeley-Air-Research-Frief_Hawthorne-Effect-Investigation.pdf" TargetMode="External"/><Relationship Id="rId49" Type="http://schemas.openxmlformats.org/officeDocument/2006/relationships/hyperlink" Target="https://unfccc.int/sites/default/files/resource/A6.4-STAN-METH-004.pdf" TargetMode="External"/><Relationship Id="rId57" Type="http://schemas.openxmlformats.org/officeDocument/2006/relationships/hyperlink" Target="https://cleancooking.org/protocols/" TargetMode="External"/><Relationship Id="rId10" Type="http://schemas.openxmlformats.org/officeDocument/2006/relationships/endnotes" Target="endnotes.xml"/><Relationship Id="rId31" Type="http://schemas.openxmlformats.org/officeDocument/2006/relationships/hyperlink" Target="https://doi.org/10.5194/acp-11-4039-2011" TargetMode="External"/><Relationship Id="rId44" Type="http://schemas.openxmlformats.org/officeDocument/2006/relationships/hyperlink" Target="https://unfccc.int/sites/default/files/resource/A6.4-STAN-METH-003.pdf" TargetMode="External"/><Relationship Id="rId52" Type="http://schemas.openxmlformats.org/officeDocument/2006/relationships/hyperlink" Target="https://mofuss.unam.mx/mofuss-ds/" TargetMode="External"/><Relationship Id="rId60" Type="http://schemas.openxmlformats.org/officeDocument/2006/relationships/hyperlink" Target="https://cleancooking.org/%20protocols/" TargetMode="External"/><Relationship Id="rId65" Type="http://schemas.openxmlformats.org/officeDocument/2006/relationships/hyperlink" Target="https://unfccc.int/sites/default/files/resource/Harmonized_IFI_Default_Grid_Factors_2021_v3.2_0.xlsx" TargetMode="External"/><Relationship Id="rId73" Type="http://schemas.openxmlformats.org/officeDocument/2006/relationships/hyperlink" Target="https://doi.org/10.5194/acp-10-565-2010h" TargetMode="External"/><Relationship Id="rId78" Type="http://schemas.openxmlformats.org/officeDocument/2006/relationships/hyperlink" Target="https://apps.who.int/healthinfo/systems/surveydata/index.php/catalog/118/download/1323" TargetMode="External"/><Relationship Id="rId81" Type="http://schemas.openxmlformats.org/officeDocument/2006/relationships/hyperlink" Target="https://doi.org/10.1038/s41893-023-01259-6" TargetMode="External"/><Relationship Id="rId86" Type="http://schemas.openxmlformats.org/officeDocument/2006/relationships/hyperlink" Target="https://cleancooking.org/protocols" TargetMode="External"/><Relationship Id="rId9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unfccc.int/sites/default/files/resource/A6.4-STAN-METH-004.pdf" TargetMode="External"/><Relationship Id="rId18" Type="http://schemas.openxmlformats.org/officeDocument/2006/relationships/hyperlink" Target="https://www.iso.org/standard/66519.html" TargetMode="External"/><Relationship Id="rId39" Type="http://schemas.openxmlformats.org/officeDocument/2006/relationships/hyperlink" Target="https://www.ifc.org/content/dam/ifc/doc/2025/unlocking-social-and-environmental-impact-outcome-based-finance.pdf" TargetMode="External"/><Relationship Id="rId34" Type="http://schemas.openxmlformats.org/officeDocument/2006/relationships/hyperlink" Target="https://doi.org/10.1007/BF00708189" TargetMode="External"/><Relationship Id="rId50" Type="http://schemas.openxmlformats.org/officeDocument/2006/relationships/hyperlink" Target="https://unfccc.int/sites/default/files/resource/A6.4-STAN-METH-001.pdf" TargetMode="External"/><Relationship Id="rId55" Type="http://schemas.openxmlformats.org/officeDocument/2006/relationships/hyperlink" Target="https://cleancooking.org/protocols/" TargetMode="External"/><Relationship Id="rId76" Type="http://schemas.openxmlformats.org/officeDocument/2006/relationships/hyperlink" Target="https://unstats.un.org/unsd/hhsurveys/pdf/household_surveys.pdf" TargetMode="External"/><Relationship Id="rId7" Type="http://schemas.openxmlformats.org/officeDocument/2006/relationships/settings" Target="settings.xml"/><Relationship Id="rId71" Type="http://schemas.openxmlformats.org/officeDocument/2006/relationships/hyperlink" Target="https://doi.org/10.1007/BF00708189" TargetMode="External"/><Relationship Id="rId92" Type="http://schemas.openxmlformats.org/officeDocument/2006/relationships/footer" Target="footer2.xml"/><Relationship Id="rId2" Type="http://schemas.openxmlformats.org/officeDocument/2006/relationships/customXml" Target="../customXml/item2.xml"/><Relationship Id="rId29" Type="http://schemas.openxmlformats.org/officeDocument/2006/relationships/hyperlink" Target="https://unstats.un.org/unsd/hhsurveys/pdf/household_surveys.pdf" TargetMode="External"/><Relationship Id="rId24" Type="http://schemas.openxmlformats.org/officeDocument/2006/relationships/hyperlink" Target="https://unstats.un.org/unsd/demographic/sources/surveys/handbook23june05.pdf" TargetMode="External"/><Relationship Id="rId40" Type="http://schemas.openxmlformats.org/officeDocument/2006/relationships/hyperlink" Target="https://qsel.columbia.edu/assets/uploads/blog/2016/publications/energy-services-for-the-millennium-development-goals.pdf" TargetMode="External"/><Relationship Id="rId45" Type="http://schemas.openxmlformats.org/officeDocument/2006/relationships/hyperlink" Target="https://unfccc.int/sites/default/files/resource/A6.4-MEP007_A01.pdf" TargetMode="External"/><Relationship Id="rId66" Type="http://schemas.openxmlformats.org/officeDocument/2006/relationships/image" Target="media/image2.png"/><Relationship Id="rId87" Type="http://schemas.openxmlformats.org/officeDocument/2006/relationships/image" Target="media/image3.png"/><Relationship Id="rId61" Type="http://schemas.openxmlformats.org/officeDocument/2006/relationships/hyperlink" Target="https://cleancooking.org/%20protocols/" TargetMode="External"/><Relationship Id="rId82" Type="http://schemas.openxmlformats.org/officeDocument/2006/relationships/hyperlink" Target="https://globalgoals.goldstandard.org/431-1-mecd-survey-questionnaire/" TargetMode="External"/><Relationship Id="rId19" Type="http://schemas.openxmlformats.org/officeDocument/2006/relationships/hyperlink" Target="https://cleancooking.org/protocols/" TargetMode="External"/><Relationship Id="rId14" Type="http://schemas.openxmlformats.org/officeDocument/2006/relationships/hyperlink" Target="https://unfccc.int/process-and-meetings/bodies/constituted-bodies/article-64-supervisory-body/rules-and-regulations" TargetMode="External"/><Relationship Id="rId30" Type="http://schemas.openxmlformats.org/officeDocument/2006/relationships/hyperlink" Target="http://documents.worldbank.org/curated/en/381751639456530686" TargetMode="External"/><Relationship Id="rId35" Type="http://schemas.openxmlformats.org/officeDocument/2006/relationships/hyperlink" Target="https://doi.org/10.1017/9781009157896.009" TargetMode="External"/><Relationship Id="rId56" Type="http://schemas.openxmlformats.org/officeDocument/2006/relationships/hyperlink" Target="https://cleancooking.org/protocols/" TargetMode="External"/><Relationship Id="rId77" Type="http://schemas.openxmlformats.org/officeDocument/2006/relationships/hyperlink" Target="https://unstats.un.org/unsd/demographic/sources/surveys/handbook23june05.pdf"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unfccc.int/sites/default/files/resource/A6.4-SBM017-A05.pdf"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000DF83309C4A5BBE13D0A622FC83B8"/>
        <w:category>
          <w:name w:val="General"/>
          <w:gallery w:val="placeholder"/>
        </w:category>
        <w:types>
          <w:type w:val="bbPlcHdr"/>
        </w:types>
        <w:behaviors>
          <w:behavior w:val="content"/>
        </w:behaviors>
        <w:guid w:val="{27F1DC37-FD4B-47FE-973B-33B8356BA48B}"/>
      </w:docPartPr>
      <w:docPartBody>
        <w:p w:rsidR="004D71F2" w:rsidRDefault="00EB2115" w:rsidP="00EB2115">
          <w:pPr>
            <w:pStyle w:val="6000DF83309C4A5BBE13D0A622FC83B8"/>
          </w:pPr>
          <w:r w:rsidRPr="00197FA6">
            <w:rPr>
              <w:rStyle w:val="PlaceholderText"/>
            </w:rPr>
            <w:t>Choose an item.</w:t>
          </w:r>
        </w:p>
      </w:docPartBody>
    </w:docPart>
    <w:docPart>
      <w:docPartPr>
        <w:name w:val="C701EF337F1D47EEB0DEF90BC4D24E41"/>
        <w:category>
          <w:name w:val="General"/>
          <w:gallery w:val="placeholder"/>
        </w:category>
        <w:types>
          <w:type w:val="bbPlcHdr"/>
        </w:types>
        <w:behaviors>
          <w:behavior w:val="content"/>
        </w:behaviors>
        <w:guid w:val="{42AA356F-405E-498F-9C94-0FE2FA804F9D}"/>
      </w:docPartPr>
      <w:docPartBody>
        <w:p w:rsidR="004D71F2" w:rsidRDefault="00EB2115" w:rsidP="00EB2115">
          <w:pPr>
            <w:pStyle w:val="C701EF337F1D47EEB0DEF90BC4D24E41"/>
          </w:pPr>
          <w:r w:rsidRPr="00EC7711">
            <w:rPr>
              <w:rStyle w:val="PlaceholderText"/>
            </w:rPr>
            <w:t>Click or tap to enter a date.</w:t>
          </w:r>
        </w:p>
      </w:docPartBody>
    </w:docPart>
    <w:docPart>
      <w:docPartPr>
        <w:name w:val="4C324B6E18C04E128258A25613BD1A42"/>
        <w:category>
          <w:name w:val="General"/>
          <w:gallery w:val="placeholder"/>
        </w:category>
        <w:types>
          <w:type w:val="bbPlcHdr"/>
        </w:types>
        <w:behaviors>
          <w:behavior w:val="content"/>
        </w:behaviors>
        <w:guid w:val="{4A85AF67-E37A-49BA-BD19-063297465361}"/>
      </w:docPartPr>
      <w:docPartBody>
        <w:p w:rsidR="004D71F2" w:rsidRDefault="00EB2115" w:rsidP="00EB2115">
          <w:pPr>
            <w:pStyle w:val="4C324B6E18C04E128258A25613BD1A42"/>
          </w:pPr>
          <w:r w:rsidRPr="00EC7711">
            <w:rPr>
              <w:rStyle w:val="PlaceholderText"/>
            </w:rPr>
            <w:t>Click or tap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default"/>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Montserrat">
    <w:charset w:val="00"/>
    <w:family w:val="auto"/>
    <w:pitch w:val="variable"/>
    <w:sig w:usb0="2000020F" w:usb1="00000003" w:usb2="00000000" w:usb3="00000000" w:csb0="00000197" w:csb1="00000000"/>
  </w:font>
  <w:font w:name="Arial Nova">
    <w:charset w:val="00"/>
    <w:family w:val="swiss"/>
    <w:pitch w:val="variable"/>
    <w:sig w:usb0="0000028F" w:usb1="00000002" w:usb2="00000000" w:usb3="00000000" w:csb0="0000019F" w:csb1="00000000"/>
  </w:font>
  <w:font w:name="Open Sans">
    <w:charset w:val="00"/>
    <w:family w:val="swiss"/>
    <w:pitch w:val="variable"/>
    <w:sig w:usb0="E00002EF" w:usb1="4000205B" w:usb2="00000028" w:usb3="00000000" w:csb0="0000019F" w:csb1="00000000"/>
  </w:font>
  <w:font w:name="Cambria Math">
    <w:panose1 w:val="02040503050406030204"/>
    <w:charset w:val="00"/>
    <w:family w:val="roman"/>
    <w:pitch w:val="variable"/>
    <w:sig w:usb0="E00006FF" w:usb1="420024FF" w:usb2="02000000" w:usb3="00000000" w:csb0="0000019F" w:csb1="00000000"/>
  </w:font>
  <w:font w:name="Roboto">
    <w:charset w:val="00"/>
    <w:family w:val="auto"/>
    <w:pitch w:val="variable"/>
    <w:sig w:usb0="E00002FF" w:usb1="5000205B" w:usb2="00000020" w:usb3="00000000" w:csb0="0000019F" w:csb1="00000000"/>
  </w:font>
  <w:font w:name="Yu Mincho">
    <w:altName w:val="游明朝"/>
    <w:charset w:val="80"/>
    <w:family w:val="roman"/>
    <w:pitch w:val="variable"/>
    <w:sig w:usb0="800002E7" w:usb1="2AC7FCFF" w:usb2="00000012" w:usb3="00000000" w:csb0="0002009F" w:csb1="00000000"/>
  </w:font>
  <w:font w:name="Wingdings 2">
    <w:panose1 w:val="050201020105070707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 w:name="Aptos Narrow">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09C4"/>
    <w:rsid w:val="00041BCD"/>
    <w:rsid w:val="00071199"/>
    <w:rsid w:val="00130FB8"/>
    <w:rsid w:val="00214D6B"/>
    <w:rsid w:val="002536B9"/>
    <w:rsid w:val="002C7DC0"/>
    <w:rsid w:val="00324933"/>
    <w:rsid w:val="00384FB0"/>
    <w:rsid w:val="00396278"/>
    <w:rsid w:val="003B2011"/>
    <w:rsid w:val="003D5854"/>
    <w:rsid w:val="00403909"/>
    <w:rsid w:val="004345D5"/>
    <w:rsid w:val="00483777"/>
    <w:rsid w:val="004D71F2"/>
    <w:rsid w:val="0051723A"/>
    <w:rsid w:val="0055326E"/>
    <w:rsid w:val="005D16A1"/>
    <w:rsid w:val="00694087"/>
    <w:rsid w:val="007211FB"/>
    <w:rsid w:val="007423BB"/>
    <w:rsid w:val="00777A42"/>
    <w:rsid w:val="007C1FE6"/>
    <w:rsid w:val="007D55CE"/>
    <w:rsid w:val="007E002B"/>
    <w:rsid w:val="008214C3"/>
    <w:rsid w:val="0084118A"/>
    <w:rsid w:val="00847930"/>
    <w:rsid w:val="00887246"/>
    <w:rsid w:val="00A063EA"/>
    <w:rsid w:val="00A07D72"/>
    <w:rsid w:val="00A26469"/>
    <w:rsid w:val="00A66DED"/>
    <w:rsid w:val="00A959A4"/>
    <w:rsid w:val="00AC49E7"/>
    <w:rsid w:val="00AC77B2"/>
    <w:rsid w:val="00AF0508"/>
    <w:rsid w:val="00B23634"/>
    <w:rsid w:val="00B46846"/>
    <w:rsid w:val="00B823D9"/>
    <w:rsid w:val="00C11209"/>
    <w:rsid w:val="00C154EC"/>
    <w:rsid w:val="00C7109A"/>
    <w:rsid w:val="00DE5B9F"/>
    <w:rsid w:val="00DF4B37"/>
    <w:rsid w:val="00E06493"/>
    <w:rsid w:val="00E26702"/>
    <w:rsid w:val="00E67EF8"/>
    <w:rsid w:val="00EB2115"/>
    <w:rsid w:val="00ED3A6A"/>
    <w:rsid w:val="00EE45C2"/>
    <w:rsid w:val="00EE6DCC"/>
    <w:rsid w:val="00EF64B0"/>
    <w:rsid w:val="00F065E5"/>
    <w:rsid w:val="00F33260"/>
    <w:rsid w:val="00F609C4"/>
    <w:rsid w:val="00F92741"/>
    <w:rsid w:val="00FC08D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rsid w:val="004D71F2"/>
    <w:rPr>
      <w:color w:val="808080"/>
    </w:rPr>
  </w:style>
  <w:style w:type="paragraph" w:customStyle="1" w:styleId="6000DF83309C4A5BBE13D0A622FC83B8">
    <w:name w:val="6000DF83309C4A5BBE13D0A622FC83B8"/>
    <w:rsid w:val="00EB2115"/>
  </w:style>
  <w:style w:type="paragraph" w:customStyle="1" w:styleId="C701EF337F1D47EEB0DEF90BC4D24E41">
    <w:name w:val="C701EF337F1D47EEB0DEF90BC4D24E41"/>
    <w:rsid w:val="00EB2115"/>
  </w:style>
  <w:style w:type="paragraph" w:customStyle="1" w:styleId="4C324B6E18C04E128258A25613BD1A42">
    <w:name w:val="4C324B6E18C04E128258A25613BD1A42"/>
    <w:rsid w:val="00EB211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e15595e-aef0-4233-b25e-f6458efbc9ba">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4EBBAFDD59EBB43958D4E5C6BE95E5C" ma:contentTypeVersion="15" ma:contentTypeDescription="Create a new document." ma:contentTypeScope="" ma:versionID="76d575633e454ae72becbb5b89360318">
  <xsd:schema xmlns:xsd="http://www.w3.org/2001/XMLSchema" xmlns:xs="http://www.w3.org/2001/XMLSchema" xmlns:p="http://schemas.microsoft.com/office/2006/metadata/properties" xmlns:ns2="6e15595e-aef0-4233-b25e-f6458efbc9ba" xmlns:ns3="6e456998-5bfd-4d11-ab8a-1d29c3184cba" targetNamespace="http://schemas.microsoft.com/office/2006/metadata/properties" ma:root="true" ma:fieldsID="d6655ffe442827a70b3be50be2b14895" ns2:_="" ns3:_="">
    <xsd:import namespace="6e15595e-aef0-4233-b25e-f6458efbc9ba"/>
    <xsd:import namespace="6e456998-5bfd-4d11-ab8a-1d29c3184cb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LengthInSeconds"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15595e-aef0-4233-b25e-f6458efbc9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0e960af4-01f6-4f5c-9dc6-429073b4700e"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e456998-5bfd-4d11-ab8a-1d29c3184cba"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9CA9E2B-40F0-44C4-AF62-A0407BE03665}">
  <ds:schemaRefs>
    <ds:schemaRef ds:uri="http://schemas.microsoft.com/office/2006/metadata/properties"/>
    <ds:schemaRef ds:uri="http://schemas.microsoft.com/office/infopath/2007/PartnerControls"/>
    <ds:schemaRef ds:uri="6e15595e-aef0-4233-b25e-f6458efbc9ba"/>
  </ds:schemaRefs>
</ds:datastoreItem>
</file>

<file path=customXml/itemProps2.xml><?xml version="1.0" encoding="utf-8"?>
<ds:datastoreItem xmlns:ds="http://schemas.openxmlformats.org/officeDocument/2006/customXml" ds:itemID="{8D92B5A2-FBD2-4CF4-820E-31B2EA3849EE}">
  <ds:schemaRefs>
    <ds:schemaRef ds:uri="http://schemas.openxmlformats.org/officeDocument/2006/bibliography"/>
  </ds:schemaRefs>
</ds:datastoreItem>
</file>

<file path=customXml/itemProps3.xml><?xml version="1.0" encoding="utf-8"?>
<ds:datastoreItem xmlns:ds="http://schemas.openxmlformats.org/officeDocument/2006/customXml" ds:itemID="{2083100E-D8CB-42F1-82F9-473423759E89}">
  <ds:schemaRefs>
    <ds:schemaRef ds:uri="http://schemas.microsoft.com/sharepoint/v3/contenttype/forms"/>
  </ds:schemaRefs>
</ds:datastoreItem>
</file>

<file path=customXml/itemProps4.xml><?xml version="1.0" encoding="utf-8"?>
<ds:datastoreItem xmlns:ds="http://schemas.openxmlformats.org/officeDocument/2006/customXml" ds:itemID="{D21C0E91-8F3D-44E5-936F-F4AFB8AC5A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e15595e-aef0-4233-b25e-f6458efbc9ba"/>
    <ds:schemaRef ds:uri="6e456998-5bfd-4d11-ab8a-1d29c3184c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119</Pages>
  <Words>40187</Words>
  <Characters>229070</Characters>
  <Application>Microsoft Office Word</Application>
  <DocSecurity>0</DocSecurity>
  <Lines>1908</Lines>
  <Paragraphs>537</Paragraphs>
  <ScaleCrop>false</ScaleCrop>
  <Company/>
  <LinksUpToDate>false</LinksUpToDate>
  <CharactersWithSpaces>268720</CharactersWithSpaces>
  <SharedDoc>false</SharedDoc>
  <HLinks>
    <vt:vector size="1656" baseType="variant">
      <vt:variant>
        <vt:i4>8060990</vt:i4>
      </vt:variant>
      <vt:variant>
        <vt:i4>1182</vt:i4>
      </vt:variant>
      <vt:variant>
        <vt:i4>0</vt:i4>
      </vt:variant>
      <vt:variant>
        <vt:i4>5</vt:i4>
      </vt:variant>
      <vt:variant>
        <vt:lpwstr>https://samplesizecalculatorforsknormalandproportion.streamlit.app/</vt:lpwstr>
      </vt:variant>
      <vt:variant>
        <vt:lpwstr/>
      </vt:variant>
      <vt:variant>
        <vt:i4>8060990</vt:i4>
      </vt:variant>
      <vt:variant>
        <vt:i4>1179</vt:i4>
      </vt:variant>
      <vt:variant>
        <vt:i4>0</vt:i4>
      </vt:variant>
      <vt:variant>
        <vt:i4>5</vt:i4>
      </vt:variant>
      <vt:variant>
        <vt:lpwstr>https://samplesizecalculatorforsknormalandproportion.streamlit.app/</vt:lpwstr>
      </vt:variant>
      <vt:variant>
        <vt:lpwstr/>
      </vt:variant>
      <vt:variant>
        <vt:i4>3211361</vt:i4>
      </vt:variant>
      <vt:variant>
        <vt:i4>1176</vt:i4>
      </vt:variant>
      <vt:variant>
        <vt:i4>0</vt:i4>
      </vt:variant>
      <vt:variant>
        <vt:i4>5</vt:i4>
      </vt:variant>
      <vt:variant>
        <vt:lpwstr/>
      </vt:variant>
      <vt:variant>
        <vt:lpwstr>A1</vt:lpwstr>
      </vt:variant>
      <vt:variant>
        <vt:i4>3211361</vt:i4>
      </vt:variant>
      <vt:variant>
        <vt:i4>1173</vt:i4>
      </vt:variant>
      <vt:variant>
        <vt:i4>0</vt:i4>
      </vt:variant>
      <vt:variant>
        <vt:i4>5</vt:i4>
      </vt:variant>
      <vt:variant>
        <vt:lpwstr/>
      </vt:variant>
      <vt:variant>
        <vt:lpwstr>A10</vt:lpwstr>
      </vt:variant>
      <vt:variant>
        <vt:i4>3211361</vt:i4>
      </vt:variant>
      <vt:variant>
        <vt:i4>1170</vt:i4>
      </vt:variant>
      <vt:variant>
        <vt:i4>0</vt:i4>
      </vt:variant>
      <vt:variant>
        <vt:i4>5</vt:i4>
      </vt:variant>
      <vt:variant>
        <vt:lpwstr/>
      </vt:variant>
      <vt:variant>
        <vt:lpwstr>A10</vt:lpwstr>
      </vt:variant>
      <vt:variant>
        <vt:i4>3211361</vt:i4>
      </vt:variant>
      <vt:variant>
        <vt:i4>1167</vt:i4>
      </vt:variant>
      <vt:variant>
        <vt:i4>0</vt:i4>
      </vt:variant>
      <vt:variant>
        <vt:i4>5</vt:i4>
      </vt:variant>
      <vt:variant>
        <vt:lpwstr/>
      </vt:variant>
      <vt:variant>
        <vt:lpwstr>A10</vt:lpwstr>
      </vt:variant>
      <vt:variant>
        <vt:i4>7995448</vt:i4>
      </vt:variant>
      <vt:variant>
        <vt:i4>1161</vt:i4>
      </vt:variant>
      <vt:variant>
        <vt:i4>0</vt:i4>
      </vt:variant>
      <vt:variant>
        <vt:i4>5</vt:i4>
      </vt:variant>
      <vt:variant>
        <vt:lpwstr>https://cleancooking.org/protocols</vt:lpwstr>
      </vt:variant>
      <vt:variant>
        <vt:lpwstr/>
      </vt:variant>
      <vt:variant>
        <vt:i4>196675</vt:i4>
      </vt:variant>
      <vt:variant>
        <vt:i4>1158</vt:i4>
      </vt:variant>
      <vt:variant>
        <vt:i4>0</vt:i4>
      </vt:variant>
      <vt:variant>
        <vt:i4>5</vt:i4>
      </vt:variant>
      <vt:variant>
        <vt:lpwstr/>
      </vt:variant>
      <vt:variant>
        <vt:lpwstr>S1021</vt:lpwstr>
      </vt:variant>
      <vt:variant>
        <vt:i4>7995448</vt:i4>
      </vt:variant>
      <vt:variant>
        <vt:i4>1155</vt:i4>
      </vt:variant>
      <vt:variant>
        <vt:i4>0</vt:i4>
      </vt:variant>
      <vt:variant>
        <vt:i4>5</vt:i4>
      </vt:variant>
      <vt:variant>
        <vt:lpwstr>https://cleancooking.org/protocols</vt:lpwstr>
      </vt:variant>
      <vt:variant>
        <vt:lpwstr/>
      </vt:variant>
      <vt:variant>
        <vt:i4>196675</vt:i4>
      </vt:variant>
      <vt:variant>
        <vt:i4>1152</vt:i4>
      </vt:variant>
      <vt:variant>
        <vt:i4>0</vt:i4>
      </vt:variant>
      <vt:variant>
        <vt:i4>5</vt:i4>
      </vt:variant>
      <vt:variant>
        <vt:lpwstr/>
      </vt:variant>
      <vt:variant>
        <vt:lpwstr>S1021</vt:lpwstr>
      </vt:variant>
      <vt:variant>
        <vt:i4>3211361</vt:i4>
      </vt:variant>
      <vt:variant>
        <vt:i4>1149</vt:i4>
      </vt:variant>
      <vt:variant>
        <vt:i4>0</vt:i4>
      </vt:variant>
      <vt:variant>
        <vt:i4>5</vt:i4>
      </vt:variant>
      <vt:variant>
        <vt:lpwstr/>
      </vt:variant>
      <vt:variant>
        <vt:lpwstr>A1</vt:lpwstr>
      </vt:variant>
      <vt:variant>
        <vt:i4>7995500</vt:i4>
      </vt:variant>
      <vt:variant>
        <vt:i4>1146</vt:i4>
      </vt:variant>
      <vt:variant>
        <vt:i4>0</vt:i4>
      </vt:variant>
      <vt:variant>
        <vt:i4>5</vt:i4>
      </vt:variant>
      <vt:variant>
        <vt:lpwstr>https://cleancooking.org/reports-and-tools/reducing-fuel-stacking-a-survey-tool-for-the-clean-cooking-industry/</vt:lpwstr>
      </vt:variant>
      <vt:variant>
        <vt:lpwstr/>
      </vt:variant>
      <vt:variant>
        <vt:i4>65627</vt:i4>
      </vt:variant>
      <vt:variant>
        <vt:i4>1143</vt:i4>
      </vt:variant>
      <vt:variant>
        <vt:i4>0</vt:i4>
      </vt:variant>
      <vt:variant>
        <vt:i4>5</vt:i4>
      </vt:variant>
      <vt:variant>
        <vt:lpwstr>https://globalgoals.goldstandard.org/407-3-tpddtec-survey-questionnaire/</vt:lpwstr>
      </vt:variant>
      <vt:variant>
        <vt:lpwstr/>
      </vt:variant>
      <vt:variant>
        <vt:i4>4325449</vt:i4>
      </vt:variant>
      <vt:variant>
        <vt:i4>1140</vt:i4>
      </vt:variant>
      <vt:variant>
        <vt:i4>0</vt:i4>
      </vt:variant>
      <vt:variant>
        <vt:i4>5</vt:i4>
      </vt:variant>
      <vt:variant>
        <vt:lpwstr>https://globalgoals.goldstandard.org/431-1-mecd-survey-questionnaire/</vt:lpwstr>
      </vt:variant>
      <vt:variant>
        <vt:lpwstr/>
      </vt:variant>
      <vt:variant>
        <vt:i4>2162738</vt:i4>
      </vt:variant>
      <vt:variant>
        <vt:i4>1137</vt:i4>
      </vt:variant>
      <vt:variant>
        <vt:i4>0</vt:i4>
      </vt:variant>
      <vt:variant>
        <vt:i4>5</vt:i4>
      </vt:variant>
      <vt:variant>
        <vt:lpwstr>https://doi.org/10.1038/s41893-023-01259-6</vt:lpwstr>
      </vt:variant>
      <vt:variant>
        <vt:lpwstr/>
      </vt:variant>
      <vt:variant>
        <vt:i4>8126520</vt:i4>
      </vt:variant>
      <vt:variant>
        <vt:i4>1134</vt:i4>
      </vt:variant>
      <vt:variant>
        <vt:i4>0</vt:i4>
      </vt:variant>
      <vt:variant>
        <vt:i4>5</vt:i4>
      </vt:variant>
      <vt:variant>
        <vt:lpwstr>https://gspp.berkeley.edu/research-and-impact/centers/cepp/projects/berkeley-carbon-trading-project/cookstoves/recommendations</vt:lpwstr>
      </vt:variant>
      <vt:variant>
        <vt:lpwstr/>
      </vt:variant>
      <vt:variant>
        <vt:i4>4718672</vt:i4>
      </vt:variant>
      <vt:variant>
        <vt:i4>1131</vt:i4>
      </vt:variant>
      <vt:variant>
        <vt:i4>0</vt:i4>
      </vt:variant>
      <vt:variant>
        <vt:i4>5</vt:i4>
      </vt:variant>
      <vt:variant>
        <vt:lpwstr>http://documents.worldbank.org/curated/en/381751639456530686</vt:lpwstr>
      </vt:variant>
      <vt:variant>
        <vt:lpwstr/>
      </vt:variant>
      <vt:variant>
        <vt:i4>6619175</vt:i4>
      </vt:variant>
      <vt:variant>
        <vt:i4>1128</vt:i4>
      </vt:variant>
      <vt:variant>
        <vt:i4>0</vt:i4>
      </vt:variant>
      <vt:variant>
        <vt:i4>5</vt:i4>
      </vt:variant>
      <vt:variant>
        <vt:lpwstr>https://apps.who.int/healthinfo/systems/surveydata/index.php/catalog/118/download/1323</vt:lpwstr>
      </vt:variant>
      <vt:variant>
        <vt:lpwstr>:~:text=An%20official%20letter%20from%20the,of%20questions%20that%20will%20be</vt:lpwstr>
      </vt:variant>
      <vt:variant>
        <vt:i4>5439514</vt:i4>
      </vt:variant>
      <vt:variant>
        <vt:i4>1125</vt:i4>
      </vt:variant>
      <vt:variant>
        <vt:i4>0</vt:i4>
      </vt:variant>
      <vt:variant>
        <vt:i4>5</vt:i4>
      </vt:variant>
      <vt:variant>
        <vt:lpwstr>https://unstats.un.org/unsd/demographic/sources/surveys/handbook23june05.pdf</vt:lpwstr>
      </vt:variant>
      <vt:variant>
        <vt:lpwstr/>
      </vt:variant>
      <vt:variant>
        <vt:i4>2031653</vt:i4>
      </vt:variant>
      <vt:variant>
        <vt:i4>1122</vt:i4>
      </vt:variant>
      <vt:variant>
        <vt:i4>0</vt:i4>
      </vt:variant>
      <vt:variant>
        <vt:i4>5</vt:i4>
      </vt:variant>
      <vt:variant>
        <vt:lpwstr>https://unstats.un.org/unsd/hhsurveys/pdf/household_surveys.pdf</vt:lpwstr>
      </vt:variant>
      <vt:variant>
        <vt:lpwstr/>
      </vt:variant>
      <vt:variant>
        <vt:i4>3211361</vt:i4>
      </vt:variant>
      <vt:variant>
        <vt:i4>1119</vt:i4>
      </vt:variant>
      <vt:variant>
        <vt:i4>0</vt:i4>
      </vt:variant>
      <vt:variant>
        <vt:i4>5</vt:i4>
      </vt:variant>
      <vt:variant>
        <vt:lpwstr/>
      </vt:variant>
      <vt:variant>
        <vt:lpwstr>A10</vt:lpwstr>
      </vt:variant>
      <vt:variant>
        <vt:i4>327774</vt:i4>
      </vt:variant>
      <vt:variant>
        <vt:i4>1116</vt:i4>
      </vt:variant>
      <vt:variant>
        <vt:i4>0</vt:i4>
      </vt:variant>
      <vt:variant>
        <vt:i4>5</vt:i4>
      </vt:variant>
      <vt:variant>
        <vt:lpwstr>https://doi.org/10.1017/9781009157896.009</vt:lpwstr>
      </vt:variant>
      <vt:variant>
        <vt:lpwstr/>
      </vt:variant>
      <vt:variant>
        <vt:i4>4849752</vt:i4>
      </vt:variant>
      <vt:variant>
        <vt:i4>1113</vt:i4>
      </vt:variant>
      <vt:variant>
        <vt:i4>0</vt:i4>
      </vt:variant>
      <vt:variant>
        <vt:i4>5</vt:i4>
      </vt:variant>
      <vt:variant>
        <vt:lpwstr>https://doi.org/10.5194/acp-11-4039-2011</vt:lpwstr>
      </vt:variant>
      <vt:variant>
        <vt:lpwstr/>
      </vt:variant>
      <vt:variant>
        <vt:i4>3211361</vt:i4>
      </vt:variant>
      <vt:variant>
        <vt:i4>1110</vt:i4>
      </vt:variant>
      <vt:variant>
        <vt:i4>0</vt:i4>
      </vt:variant>
      <vt:variant>
        <vt:i4>5</vt:i4>
      </vt:variant>
      <vt:variant>
        <vt:lpwstr/>
      </vt:variant>
      <vt:variant>
        <vt:lpwstr>A1</vt:lpwstr>
      </vt:variant>
      <vt:variant>
        <vt:i4>720969</vt:i4>
      </vt:variant>
      <vt:variant>
        <vt:i4>1107</vt:i4>
      </vt:variant>
      <vt:variant>
        <vt:i4>0</vt:i4>
      </vt:variant>
      <vt:variant>
        <vt:i4>5</vt:i4>
      </vt:variant>
      <vt:variant>
        <vt:lpwstr>https://doi.org/10.5194/acp-10-565-2010h</vt:lpwstr>
      </vt:variant>
      <vt:variant>
        <vt:lpwstr/>
      </vt:variant>
      <vt:variant>
        <vt:i4>4849752</vt:i4>
      </vt:variant>
      <vt:variant>
        <vt:i4>1104</vt:i4>
      </vt:variant>
      <vt:variant>
        <vt:i4>0</vt:i4>
      </vt:variant>
      <vt:variant>
        <vt:i4>5</vt:i4>
      </vt:variant>
      <vt:variant>
        <vt:lpwstr>https://doi.org/10.5194/acp-11-4039-2011</vt:lpwstr>
      </vt:variant>
      <vt:variant>
        <vt:lpwstr/>
      </vt:variant>
      <vt:variant>
        <vt:i4>8192056</vt:i4>
      </vt:variant>
      <vt:variant>
        <vt:i4>1101</vt:i4>
      </vt:variant>
      <vt:variant>
        <vt:i4>0</vt:i4>
      </vt:variant>
      <vt:variant>
        <vt:i4>5</vt:i4>
      </vt:variant>
      <vt:variant>
        <vt:lpwstr>https://doi.org/10.1007/BF00708189</vt:lpwstr>
      </vt:variant>
      <vt:variant>
        <vt:lpwstr/>
      </vt:variant>
      <vt:variant>
        <vt:i4>5308420</vt:i4>
      </vt:variant>
      <vt:variant>
        <vt:i4>1098</vt:i4>
      </vt:variant>
      <vt:variant>
        <vt:i4>0</vt:i4>
      </vt:variant>
      <vt:variant>
        <vt:i4>5</vt:i4>
      </vt:variant>
      <vt:variant>
        <vt:lpwstr>https://icvcm.org/core-carbon-principles/</vt:lpwstr>
      </vt:variant>
      <vt:variant>
        <vt:lpwstr/>
      </vt:variant>
      <vt:variant>
        <vt:i4>6553661</vt:i4>
      </vt:variant>
      <vt:variant>
        <vt:i4>1095</vt:i4>
      </vt:variant>
      <vt:variant>
        <vt:i4>0</vt:i4>
      </vt:variant>
      <vt:variant>
        <vt:i4>5</vt:i4>
      </vt:variant>
      <vt:variant>
        <vt:lpwstr>https://iopscience.iop.org/article/10.1088/1748-9326/acb501</vt:lpwstr>
      </vt:variant>
      <vt:variant>
        <vt:lpwstr/>
      </vt:variant>
      <vt:variant>
        <vt:i4>196657</vt:i4>
      </vt:variant>
      <vt:variant>
        <vt:i4>1092</vt:i4>
      </vt:variant>
      <vt:variant>
        <vt:i4>0</vt:i4>
      </vt:variant>
      <vt:variant>
        <vt:i4>5</vt:i4>
      </vt:variant>
      <vt:variant>
        <vt:lpwstr>https://www.seforall.org/system/files/2021-08/SEforALL_Carbon-emissions-methodology-note.pdf</vt:lpwstr>
      </vt:variant>
      <vt:variant>
        <vt:lpwstr/>
      </vt:variant>
      <vt:variant>
        <vt:i4>196657</vt:i4>
      </vt:variant>
      <vt:variant>
        <vt:i4>1089</vt:i4>
      </vt:variant>
      <vt:variant>
        <vt:i4>0</vt:i4>
      </vt:variant>
      <vt:variant>
        <vt:i4>5</vt:i4>
      </vt:variant>
      <vt:variant>
        <vt:lpwstr>https://www.seforall.org/system/files/2021-08/SEforALL_Carbon-emissions-methodology-note.pdf</vt:lpwstr>
      </vt:variant>
      <vt:variant>
        <vt:lpwstr/>
      </vt:variant>
      <vt:variant>
        <vt:i4>3276901</vt:i4>
      </vt:variant>
      <vt:variant>
        <vt:i4>1086</vt:i4>
      </vt:variant>
      <vt:variant>
        <vt:i4>0</vt:i4>
      </vt:variant>
      <vt:variant>
        <vt:i4>5</vt:i4>
      </vt:variant>
      <vt:variant>
        <vt:lpwstr/>
      </vt:variant>
      <vt:variant>
        <vt:lpwstr>E22</vt:lpwstr>
      </vt:variant>
      <vt:variant>
        <vt:i4>3735653</vt:i4>
      </vt:variant>
      <vt:variant>
        <vt:i4>1083</vt:i4>
      </vt:variant>
      <vt:variant>
        <vt:i4>0</vt:i4>
      </vt:variant>
      <vt:variant>
        <vt:i4>5</vt:i4>
      </vt:variant>
      <vt:variant>
        <vt:lpwstr/>
      </vt:variant>
      <vt:variant>
        <vt:lpwstr>E9</vt:lpwstr>
      </vt:variant>
      <vt:variant>
        <vt:i4>8257607</vt:i4>
      </vt:variant>
      <vt:variant>
        <vt:i4>1080</vt:i4>
      </vt:variant>
      <vt:variant>
        <vt:i4>0</vt:i4>
      </vt:variant>
      <vt:variant>
        <vt:i4>5</vt:i4>
      </vt:variant>
      <vt:variant>
        <vt:lpwstr>https://unfccc.int/sites/default/files/resource/Harmonized_IFI_Default_Grid_Factors_2021_v3.2_0.xlsx</vt:lpwstr>
      </vt:variant>
      <vt:variant>
        <vt:lpwstr/>
      </vt:variant>
      <vt:variant>
        <vt:i4>4849749</vt:i4>
      </vt:variant>
      <vt:variant>
        <vt:i4>1077</vt:i4>
      </vt:variant>
      <vt:variant>
        <vt:i4>0</vt:i4>
      </vt:variant>
      <vt:variant>
        <vt:i4>5</vt:i4>
      </vt:variant>
      <vt:variant>
        <vt:lpwstr>https://unfccc.int/sites/default/files/resource/AHG-002_IFI_Approach_to_grid_electricity_consumption_v01_clean.pdf</vt:lpwstr>
      </vt:variant>
      <vt:variant>
        <vt:lpwstr/>
      </vt:variant>
      <vt:variant>
        <vt:i4>3735649</vt:i4>
      </vt:variant>
      <vt:variant>
        <vt:i4>1074</vt:i4>
      </vt:variant>
      <vt:variant>
        <vt:i4>0</vt:i4>
      </vt:variant>
      <vt:variant>
        <vt:i4>5</vt:i4>
      </vt:variant>
      <vt:variant>
        <vt:lpwstr/>
      </vt:variant>
      <vt:variant>
        <vt:lpwstr>A9</vt:lpwstr>
      </vt:variant>
      <vt:variant>
        <vt:i4>3473505</vt:i4>
      </vt:variant>
      <vt:variant>
        <vt:i4>1071</vt:i4>
      </vt:variant>
      <vt:variant>
        <vt:i4>0</vt:i4>
      </vt:variant>
      <vt:variant>
        <vt:i4>5</vt:i4>
      </vt:variant>
      <vt:variant>
        <vt:lpwstr/>
      </vt:variant>
      <vt:variant>
        <vt:lpwstr>A5</vt:lpwstr>
      </vt:variant>
      <vt:variant>
        <vt:i4>3211361</vt:i4>
      </vt:variant>
      <vt:variant>
        <vt:i4>1068</vt:i4>
      </vt:variant>
      <vt:variant>
        <vt:i4>0</vt:i4>
      </vt:variant>
      <vt:variant>
        <vt:i4>5</vt:i4>
      </vt:variant>
      <vt:variant>
        <vt:lpwstr/>
      </vt:variant>
      <vt:variant>
        <vt:lpwstr>A1</vt:lpwstr>
      </vt:variant>
      <vt:variant>
        <vt:i4>3211361</vt:i4>
      </vt:variant>
      <vt:variant>
        <vt:i4>1065</vt:i4>
      </vt:variant>
      <vt:variant>
        <vt:i4>0</vt:i4>
      </vt:variant>
      <vt:variant>
        <vt:i4>5</vt:i4>
      </vt:variant>
      <vt:variant>
        <vt:lpwstr/>
      </vt:variant>
      <vt:variant>
        <vt:lpwstr>A10</vt:lpwstr>
      </vt:variant>
      <vt:variant>
        <vt:i4>3211361</vt:i4>
      </vt:variant>
      <vt:variant>
        <vt:i4>1062</vt:i4>
      </vt:variant>
      <vt:variant>
        <vt:i4>0</vt:i4>
      </vt:variant>
      <vt:variant>
        <vt:i4>5</vt:i4>
      </vt:variant>
      <vt:variant>
        <vt:lpwstr/>
      </vt:variant>
      <vt:variant>
        <vt:lpwstr>A10</vt:lpwstr>
      </vt:variant>
      <vt:variant>
        <vt:i4>3211361</vt:i4>
      </vt:variant>
      <vt:variant>
        <vt:i4>1059</vt:i4>
      </vt:variant>
      <vt:variant>
        <vt:i4>0</vt:i4>
      </vt:variant>
      <vt:variant>
        <vt:i4>5</vt:i4>
      </vt:variant>
      <vt:variant>
        <vt:lpwstr/>
      </vt:variant>
      <vt:variant>
        <vt:lpwstr>A1</vt:lpwstr>
      </vt:variant>
      <vt:variant>
        <vt:i4>3211361</vt:i4>
      </vt:variant>
      <vt:variant>
        <vt:i4>1056</vt:i4>
      </vt:variant>
      <vt:variant>
        <vt:i4>0</vt:i4>
      </vt:variant>
      <vt:variant>
        <vt:i4>5</vt:i4>
      </vt:variant>
      <vt:variant>
        <vt:lpwstr/>
      </vt:variant>
      <vt:variant>
        <vt:lpwstr>A1</vt:lpwstr>
      </vt:variant>
      <vt:variant>
        <vt:i4>3211365</vt:i4>
      </vt:variant>
      <vt:variant>
        <vt:i4>1053</vt:i4>
      </vt:variant>
      <vt:variant>
        <vt:i4>0</vt:i4>
      </vt:variant>
      <vt:variant>
        <vt:i4>5</vt:i4>
      </vt:variant>
      <vt:variant>
        <vt:lpwstr/>
      </vt:variant>
      <vt:variant>
        <vt:lpwstr>e19</vt:lpwstr>
      </vt:variant>
      <vt:variant>
        <vt:i4>3735649</vt:i4>
      </vt:variant>
      <vt:variant>
        <vt:i4>1050</vt:i4>
      </vt:variant>
      <vt:variant>
        <vt:i4>0</vt:i4>
      </vt:variant>
      <vt:variant>
        <vt:i4>5</vt:i4>
      </vt:variant>
      <vt:variant>
        <vt:lpwstr/>
      </vt:variant>
      <vt:variant>
        <vt:lpwstr>A9</vt:lpwstr>
      </vt:variant>
      <vt:variant>
        <vt:i4>3342437</vt:i4>
      </vt:variant>
      <vt:variant>
        <vt:i4>1047</vt:i4>
      </vt:variant>
      <vt:variant>
        <vt:i4>0</vt:i4>
      </vt:variant>
      <vt:variant>
        <vt:i4>5</vt:i4>
      </vt:variant>
      <vt:variant>
        <vt:lpwstr/>
      </vt:variant>
      <vt:variant>
        <vt:lpwstr>e3</vt:lpwstr>
      </vt:variant>
      <vt:variant>
        <vt:i4>3211365</vt:i4>
      </vt:variant>
      <vt:variant>
        <vt:i4>1044</vt:i4>
      </vt:variant>
      <vt:variant>
        <vt:i4>0</vt:i4>
      </vt:variant>
      <vt:variant>
        <vt:i4>5</vt:i4>
      </vt:variant>
      <vt:variant>
        <vt:lpwstr/>
      </vt:variant>
      <vt:variant>
        <vt:lpwstr>e11</vt:lpwstr>
      </vt:variant>
      <vt:variant>
        <vt:i4>3211361</vt:i4>
      </vt:variant>
      <vt:variant>
        <vt:i4>1041</vt:i4>
      </vt:variant>
      <vt:variant>
        <vt:i4>0</vt:i4>
      </vt:variant>
      <vt:variant>
        <vt:i4>5</vt:i4>
      </vt:variant>
      <vt:variant>
        <vt:lpwstr/>
      </vt:variant>
      <vt:variant>
        <vt:lpwstr>A10</vt:lpwstr>
      </vt:variant>
      <vt:variant>
        <vt:i4>1048669</vt:i4>
      </vt:variant>
      <vt:variant>
        <vt:i4>1038</vt:i4>
      </vt:variant>
      <vt:variant>
        <vt:i4>0</vt:i4>
      </vt:variant>
      <vt:variant>
        <vt:i4>5</vt:i4>
      </vt:variant>
      <vt:variant>
        <vt:lpwstr>https://cleancooking.org/ protocols/</vt:lpwstr>
      </vt:variant>
      <vt:variant>
        <vt:lpwstr/>
      </vt:variant>
      <vt:variant>
        <vt:i4>3211365</vt:i4>
      </vt:variant>
      <vt:variant>
        <vt:i4>1035</vt:i4>
      </vt:variant>
      <vt:variant>
        <vt:i4>0</vt:i4>
      </vt:variant>
      <vt:variant>
        <vt:i4>5</vt:i4>
      </vt:variant>
      <vt:variant>
        <vt:lpwstr/>
      </vt:variant>
      <vt:variant>
        <vt:lpwstr>e12</vt:lpwstr>
      </vt:variant>
      <vt:variant>
        <vt:i4>3211365</vt:i4>
      </vt:variant>
      <vt:variant>
        <vt:i4>1032</vt:i4>
      </vt:variant>
      <vt:variant>
        <vt:i4>0</vt:i4>
      </vt:variant>
      <vt:variant>
        <vt:i4>5</vt:i4>
      </vt:variant>
      <vt:variant>
        <vt:lpwstr/>
      </vt:variant>
      <vt:variant>
        <vt:lpwstr>e10</vt:lpwstr>
      </vt:variant>
      <vt:variant>
        <vt:i4>3211361</vt:i4>
      </vt:variant>
      <vt:variant>
        <vt:i4>1029</vt:i4>
      </vt:variant>
      <vt:variant>
        <vt:i4>0</vt:i4>
      </vt:variant>
      <vt:variant>
        <vt:i4>5</vt:i4>
      </vt:variant>
      <vt:variant>
        <vt:lpwstr/>
      </vt:variant>
      <vt:variant>
        <vt:lpwstr>A10</vt:lpwstr>
      </vt:variant>
      <vt:variant>
        <vt:i4>1048669</vt:i4>
      </vt:variant>
      <vt:variant>
        <vt:i4>1026</vt:i4>
      </vt:variant>
      <vt:variant>
        <vt:i4>0</vt:i4>
      </vt:variant>
      <vt:variant>
        <vt:i4>5</vt:i4>
      </vt:variant>
      <vt:variant>
        <vt:lpwstr>https://cleancooking.org/ protocols/</vt:lpwstr>
      </vt:variant>
      <vt:variant>
        <vt:lpwstr/>
      </vt:variant>
      <vt:variant>
        <vt:i4>3211365</vt:i4>
      </vt:variant>
      <vt:variant>
        <vt:i4>1023</vt:i4>
      </vt:variant>
      <vt:variant>
        <vt:i4>0</vt:i4>
      </vt:variant>
      <vt:variant>
        <vt:i4>5</vt:i4>
      </vt:variant>
      <vt:variant>
        <vt:lpwstr/>
      </vt:variant>
      <vt:variant>
        <vt:lpwstr>e15</vt:lpwstr>
      </vt:variant>
      <vt:variant>
        <vt:i4>3211365</vt:i4>
      </vt:variant>
      <vt:variant>
        <vt:i4>1020</vt:i4>
      </vt:variant>
      <vt:variant>
        <vt:i4>0</vt:i4>
      </vt:variant>
      <vt:variant>
        <vt:i4>5</vt:i4>
      </vt:variant>
      <vt:variant>
        <vt:lpwstr/>
      </vt:variant>
      <vt:variant>
        <vt:lpwstr>e13</vt:lpwstr>
      </vt:variant>
      <vt:variant>
        <vt:i4>3211365</vt:i4>
      </vt:variant>
      <vt:variant>
        <vt:i4>1017</vt:i4>
      </vt:variant>
      <vt:variant>
        <vt:i4>0</vt:i4>
      </vt:variant>
      <vt:variant>
        <vt:i4>5</vt:i4>
      </vt:variant>
      <vt:variant>
        <vt:lpwstr/>
      </vt:variant>
      <vt:variant>
        <vt:lpwstr>e10</vt:lpwstr>
      </vt:variant>
      <vt:variant>
        <vt:i4>7995448</vt:i4>
      </vt:variant>
      <vt:variant>
        <vt:i4>1014</vt:i4>
      </vt:variant>
      <vt:variant>
        <vt:i4>0</vt:i4>
      </vt:variant>
      <vt:variant>
        <vt:i4>5</vt:i4>
      </vt:variant>
      <vt:variant>
        <vt:lpwstr>https://cleancooking.org/protocols/</vt:lpwstr>
      </vt:variant>
      <vt:variant>
        <vt:lpwstr/>
      </vt:variant>
      <vt:variant>
        <vt:i4>3342437</vt:i4>
      </vt:variant>
      <vt:variant>
        <vt:i4>1011</vt:i4>
      </vt:variant>
      <vt:variant>
        <vt:i4>0</vt:i4>
      </vt:variant>
      <vt:variant>
        <vt:i4>5</vt:i4>
      </vt:variant>
      <vt:variant>
        <vt:lpwstr/>
      </vt:variant>
      <vt:variant>
        <vt:lpwstr>e3</vt:lpwstr>
      </vt:variant>
      <vt:variant>
        <vt:i4>7995448</vt:i4>
      </vt:variant>
      <vt:variant>
        <vt:i4>1008</vt:i4>
      </vt:variant>
      <vt:variant>
        <vt:i4>0</vt:i4>
      </vt:variant>
      <vt:variant>
        <vt:i4>5</vt:i4>
      </vt:variant>
      <vt:variant>
        <vt:lpwstr>https://cleancooking.org/protocols/</vt:lpwstr>
      </vt:variant>
      <vt:variant>
        <vt:lpwstr/>
      </vt:variant>
      <vt:variant>
        <vt:i4>3342437</vt:i4>
      </vt:variant>
      <vt:variant>
        <vt:i4>1005</vt:i4>
      </vt:variant>
      <vt:variant>
        <vt:i4>0</vt:i4>
      </vt:variant>
      <vt:variant>
        <vt:i4>5</vt:i4>
      </vt:variant>
      <vt:variant>
        <vt:lpwstr/>
      </vt:variant>
      <vt:variant>
        <vt:lpwstr>e3</vt:lpwstr>
      </vt:variant>
      <vt:variant>
        <vt:i4>3276901</vt:i4>
      </vt:variant>
      <vt:variant>
        <vt:i4>1002</vt:i4>
      </vt:variant>
      <vt:variant>
        <vt:i4>0</vt:i4>
      </vt:variant>
      <vt:variant>
        <vt:i4>5</vt:i4>
      </vt:variant>
      <vt:variant>
        <vt:lpwstr/>
      </vt:variant>
      <vt:variant>
        <vt:lpwstr>e26</vt:lpwstr>
      </vt:variant>
      <vt:variant>
        <vt:i4>3276901</vt:i4>
      </vt:variant>
      <vt:variant>
        <vt:i4>999</vt:i4>
      </vt:variant>
      <vt:variant>
        <vt:i4>0</vt:i4>
      </vt:variant>
      <vt:variant>
        <vt:i4>5</vt:i4>
      </vt:variant>
      <vt:variant>
        <vt:lpwstr/>
      </vt:variant>
      <vt:variant>
        <vt:lpwstr>e26</vt:lpwstr>
      </vt:variant>
      <vt:variant>
        <vt:i4>3735649</vt:i4>
      </vt:variant>
      <vt:variant>
        <vt:i4>996</vt:i4>
      </vt:variant>
      <vt:variant>
        <vt:i4>0</vt:i4>
      </vt:variant>
      <vt:variant>
        <vt:i4>5</vt:i4>
      </vt:variant>
      <vt:variant>
        <vt:lpwstr/>
      </vt:variant>
      <vt:variant>
        <vt:lpwstr>A9</vt:lpwstr>
      </vt:variant>
      <vt:variant>
        <vt:i4>3735649</vt:i4>
      </vt:variant>
      <vt:variant>
        <vt:i4>993</vt:i4>
      </vt:variant>
      <vt:variant>
        <vt:i4>0</vt:i4>
      </vt:variant>
      <vt:variant>
        <vt:i4>5</vt:i4>
      </vt:variant>
      <vt:variant>
        <vt:lpwstr/>
      </vt:variant>
      <vt:variant>
        <vt:lpwstr>A9</vt:lpwstr>
      </vt:variant>
      <vt:variant>
        <vt:i4>3276901</vt:i4>
      </vt:variant>
      <vt:variant>
        <vt:i4>990</vt:i4>
      </vt:variant>
      <vt:variant>
        <vt:i4>0</vt:i4>
      </vt:variant>
      <vt:variant>
        <vt:i4>5</vt:i4>
      </vt:variant>
      <vt:variant>
        <vt:lpwstr/>
      </vt:variant>
      <vt:variant>
        <vt:lpwstr>e21</vt:lpwstr>
      </vt:variant>
      <vt:variant>
        <vt:i4>3276901</vt:i4>
      </vt:variant>
      <vt:variant>
        <vt:i4>987</vt:i4>
      </vt:variant>
      <vt:variant>
        <vt:i4>0</vt:i4>
      </vt:variant>
      <vt:variant>
        <vt:i4>5</vt:i4>
      </vt:variant>
      <vt:variant>
        <vt:lpwstr/>
      </vt:variant>
      <vt:variant>
        <vt:lpwstr>e20</vt:lpwstr>
      </vt:variant>
      <vt:variant>
        <vt:i4>7995448</vt:i4>
      </vt:variant>
      <vt:variant>
        <vt:i4>984</vt:i4>
      </vt:variant>
      <vt:variant>
        <vt:i4>0</vt:i4>
      </vt:variant>
      <vt:variant>
        <vt:i4>5</vt:i4>
      </vt:variant>
      <vt:variant>
        <vt:lpwstr>https://cleancooking.org/protocols/</vt:lpwstr>
      </vt:variant>
      <vt:variant>
        <vt:lpwstr/>
      </vt:variant>
      <vt:variant>
        <vt:i4>3211365</vt:i4>
      </vt:variant>
      <vt:variant>
        <vt:i4>981</vt:i4>
      </vt:variant>
      <vt:variant>
        <vt:i4>0</vt:i4>
      </vt:variant>
      <vt:variant>
        <vt:i4>5</vt:i4>
      </vt:variant>
      <vt:variant>
        <vt:lpwstr/>
      </vt:variant>
      <vt:variant>
        <vt:lpwstr>e18</vt:lpwstr>
      </vt:variant>
      <vt:variant>
        <vt:i4>3276901</vt:i4>
      </vt:variant>
      <vt:variant>
        <vt:i4>978</vt:i4>
      </vt:variant>
      <vt:variant>
        <vt:i4>0</vt:i4>
      </vt:variant>
      <vt:variant>
        <vt:i4>5</vt:i4>
      </vt:variant>
      <vt:variant>
        <vt:lpwstr/>
      </vt:variant>
      <vt:variant>
        <vt:lpwstr>e24</vt:lpwstr>
      </vt:variant>
      <vt:variant>
        <vt:i4>3276901</vt:i4>
      </vt:variant>
      <vt:variant>
        <vt:i4>975</vt:i4>
      </vt:variant>
      <vt:variant>
        <vt:i4>0</vt:i4>
      </vt:variant>
      <vt:variant>
        <vt:i4>5</vt:i4>
      </vt:variant>
      <vt:variant>
        <vt:lpwstr/>
      </vt:variant>
      <vt:variant>
        <vt:lpwstr>e23</vt:lpwstr>
      </vt:variant>
      <vt:variant>
        <vt:i4>3276901</vt:i4>
      </vt:variant>
      <vt:variant>
        <vt:i4>972</vt:i4>
      </vt:variant>
      <vt:variant>
        <vt:i4>0</vt:i4>
      </vt:variant>
      <vt:variant>
        <vt:i4>5</vt:i4>
      </vt:variant>
      <vt:variant>
        <vt:lpwstr/>
      </vt:variant>
      <vt:variant>
        <vt:lpwstr>e21</vt:lpwstr>
      </vt:variant>
      <vt:variant>
        <vt:i4>3211365</vt:i4>
      </vt:variant>
      <vt:variant>
        <vt:i4>969</vt:i4>
      </vt:variant>
      <vt:variant>
        <vt:i4>0</vt:i4>
      </vt:variant>
      <vt:variant>
        <vt:i4>5</vt:i4>
      </vt:variant>
      <vt:variant>
        <vt:lpwstr/>
      </vt:variant>
      <vt:variant>
        <vt:lpwstr>e18</vt:lpwstr>
      </vt:variant>
      <vt:variant>
        <vt:i4>3276901</vt:i4>
      </vt:variant>
      <vt:variant>
        <vt:i4>966</vt:i4>
      </vt:variant>
      <vt:variant>
        <vt:i4>0</vt:i4>
      </vt:variant>
      <vt:variant>
        <vt:i4>5</vt:i4>
      </vt:variant>
      <vt:variant>
        <vt:lpwstr/>
      </vt:variant>
      <vt:variant>
        <vt:lpwstr>e22</vt:lpwstr>
      </vt:variant>
      <vt:variant>
        <vt:i4>3211365</vt:i4>
      </vt:variant>
      <vt:variant>
        <vt:i4>963</vt:i4>
      </vt:variant>
      <vt:variant>
        <vt:i4>0</vt:i4>
      </vt:variant>
      <vt:variant>
        <vt:i4>5</vt:i4>
      </vt:variant>
      <vt:variant>
        <vt:lpwstr/>
      </vt:variant>
      <vt:variant>
        <vt:lpwstr>e1</vt:lpwstr>
      </vt:variant>
      <vt:variant>
        <vt:i4>3276901</vt:i4>
      </vt:variant>
      <vt:variant>
        <vt:i4>960</vt:i4>
      </vt:variant>
      <vt:variant>
        <vt:i4>0</vt:i4>
      </vt:variant>
      <vt:variant>
        <vt:i4>5</vt:i4>
      </vt:variant>
      <vt:variant>
        <vt:lpwstr/>
      </vt:variant>
      <vt:variant>
        <vt:lpwstr>e24</vt:lpwstr>
      </vt:variant>
      <vt:variant>
        <vt:i4>3276901</vt:i4>
      </vt:variant>
      <vt:variant>
        <vt:i4>957</vt:i4>
      </vt:variant>
      <vt:variant>
        <vt:i4>0</vt:i4>
      </vt:variant>
      <vt:variant>
        <vt:i4>5</vt:i4>
      </vt:variant>
      <vt:variant>
        <vt:lpwstr/>
      </vt:variant>
      <vt:variant>
        <vt:lpwstr>e23</vt:lpwstr>
      </vt:variant>
      <vt:variant>
        <vt:i4>3211361</vt:i4>
      </vt:variant>
      <vt:variant>
        <vt:i4>954</vt:i4>
      </vt:variant>
      <vt:variant>
        <vt:i4>0</vt:i4>
      </vt:variant>
      <vt:variant>
        <vt:i4>5</vt:i4>
      </vt:variant>
      <vt:variant>
        <vt:lpwstr/>
      </vt:variant>
      <vt:variant>
        <vt:lpwstr>A10</vt:lpwstr>
      </vt:variant>
      <vt:variant>
        <vt:i4>7995448</vt:i4>
      </vt:variant>
      <vt:variant>
        <vt:i4>951</vt:i4>
      </vt:variant>
      <vt:variant>
        <vt:i4>0</vt:i4>
      </vt:variant>
      <vt:variant>
        <vt:i4>5</vt:i4>
      </vt:variant>
      <vt:variant>
        <vt:lpwstr>https://cleancooking.org/protocols/</vt:lpwstr>
      </vt:variant>
      <vt:variant>
        <vt:lpwstr/>
      </vt:variant>
      <vt:variant>
        <vt:i4>3276901</vt:i4>
      </vt:variant>
      <vt:variant>
        <vt:i4>948</vt:i4>
      </vt:variant>
      <vt:variant>
        <vt:i4>0</vt:i4>
      </vt:variant>
      <vt:variant>
        <vt:i4>5</vt:i4>
      </vt:variant>
      <vt:variant>
        <vt:lpwstr/>
      </vt:variant>
      <vt:variant>
        <vt:lpwstr>e29</vt:lpwstr>
      </vt:variant>
      <vt:variant>
        <vt:i4>3211365</vt:i4>
      </vt:variant>
      <vt:variant>
        <vt:i4>945</vt:i4>
      </vt:variant>
      <vt:variant>
        <vt:i4>0</vt:i4>
      </vt:variant>
      <vt:variant>
        <vt:i4>5</vt:i4>
      </vt:variant>
      <vt:variant>
        <vt:lpwstr/>
      </vt:variant>
      <vt:variant>
        <vt:lpwstr>e13</vt:lpwstr>
      </vt:variant>
      <vt:variant>
        <vt:i4>3211365</vt:i4>
      </vt:variant>
      <vt:variant>
        <vt:i4>942</vt:i4>
      </vt:variant>
      <vt:variant>
        <vt:i4>0</vt:i4>
      </vt:variant>
      <vt:variant>
        <vt:i4>5</vt:i4>
      </vt:variant>
      <vt:variant>
        <vt:lpwstr/>
      </vt:variant>
      <vt:variant>
        <vt:lpwstr>e19</vt:lpwstr>
      </vt:variant>
      <vt:variant>
        <vt:i4>3276901</vt:i4>
      </vt:variant>
      <vt:variant>
        <vt:i4>939</vt:i4>
      </vt:variant>
      <vt:variant>
        <vt:i4>0</vt:i4>
      </vt:variant>
      <vt:variant>
        <vt:i4>5</vt:i4>
      </vt:variant>
      <vt:variant>
        <vt:lpwstr/>
      </vt:variant>
      <vt:variant>
        <vt:lpwstr>e22</vt:lpwstr>
      </vt:variant>
      <vt:variant>
        <vt:i4>3735653</vt:i4>
      </vt:variant>
      <vt:variant>
        <vt:i4>936</vt:i4>
      </vt:variant>
      <vt:variant>
        <vt:i4>0</vt:i4>
      </vt:variant>
      <vt:variant>
        <vt:i4>5</vt:i4>
      </vt:variant>
      <vt:variant>
        <vt:lpwstr/>
      </vt:variant>
      <vt:variant>
        <vt:lpwstr>e9</vt:lpwstr>
      </vt:variant>
      <vt:variant>
        <vt:i4>7995448</vt:i4>
      </vt:variant>
      <vt:variant>
        <vt:i4>933</vt:i4>
      </vt:variant>
      <vt:variant>
        <vt:i4>0</vt:i4>
      </vt:variant>
      <vt:variant>
        <vt:i4>5</vt:i4>
      </vt:variant>
      <vt:variant>
        <vt:lpwstr>https://cleancooking.org/protocols/</vt:lpwstr>
      </vt:variant>
      <vt:variant>
        <vt:lpwstr/>
      </vt:variant>
      <vt:variant>
        <vt:i4>196675</vt:i4>
      </vt:variant>
      <vt:variant>
        <vt:i4>930</vt:i4>
      </vt:variant>
      <vt:variant>
        <vt:i4>0</vt:i4>
      </vt:variant>
      <vt:variant>
        <vt:i4>5</vt:i4>
      </vt:variant>
      <vt:variant>
        <vt:lpwstr/>
      </vt:variant>
      <vt:variant>
        <vt:lpwstr>S1022</vt:lpwstr>
      </vt:variant>
      <vt:variant>
        <vt:i4>3211365</vt:i4>
      </vt:variant>
      <vt:variant>
        <vt:i4>927</vt:i4>
      </vt:variant>
      <vt:variant>
        <vt:i4>0</vt:i4>
      </vt:variant>
      <vt:variant>
        <vt:i4>5</vt:i4>
      </vt:variant>
      <vt:variant>
        <vt:lpwstr/>
      </vt:variant>
      <vt:variant>
        <vt:lpwstr>e18</vt:lpwstr>
      </vt:variant>
      <vt:variant>
        <vt:i4>3473505</vt:i4>
      </vt:variant>
      <vt:variant>
        <vt:i4>924</vt:i4>
      </vt:variant>
      <vt:variant>
        <vt:i4>0</vt:i4>
      </vt:variant>
      <vt:variant>
        <vt:i4>5</vt:i4>
      </vt:variant>
      <vt:variant>
        <vt:lpwstr/>
      </vt:variant>
      <vt:variant>
        <vt:lpwstr>A5</vt:lpwstr>
      </vt:variant>
      <vt:variant>
        <vt:i4>3211361</vt:i4>
      </vt:variant>
      <vt:variant>
        <vt:i4>921</vt:i4>
      </vt:variant>
      <vt:variant>
        <vt:i4>0</vt:i4>
      </vt:variant>
      <vt:variant>
        <vt:i4>5</vt:i4>
      </vt:variant>
      <vt:variant>
        <vt:lpwstr/>
      </vt:variant>
      <vt:variant>
        <vt:lpwstr>A1</vt:lpwstr>
      </vt:variant>
      <vt:variant>
        <vt:i4>3473505</vt:i4>
      </vt:variant>
      <vt:variant>
        <vt:i4>918</vt:i4>
      </vt:variant>
      <vt:variant>
        <vt:i4>0</vt:i4>
      </vt:variant>
      <vt:variant>
        <vt:i4>5</vt:i4>
      </vt:variant>
      <vt:variant>
        <vt:lpwstr/>
      </vt:variant>
      <vt:variant>
        <vt:lpwstr>A5</vt:lpwstr>
      </vt:variant>
      <vt:variant>
        <vt:i4>3473505</vt:i4>
      </vt:variant>
      <vt:variant>
        <vt:i4>915</vt:i4>
      </vt:variant>
      <vt:variant>
        <vt:i4>0</vt:i4>
      </vt:variant>
      <vt:variant>
        <vt:i4>5</vt:i4>
      </vt:variant>
      <vt:variant>
        <vt:lpwstr/>
      </vt:variant>
      <vt:variant>
        <vt:lpwstr>A5</vt:lpwstr>
      </vt:variant>
      <vt:variant>
        <vt:i4>3211365</vt:i4>
      </vt:variant>
      <vt:variant>
        <vt:i4>912</vt:i4>
      </vt:variant>
      <vt:variant>
        <vt:i4>0</vt:i4>
      </vt:variant>
      <vt:variant>
        <vt:i4>5</vt:i4>
      </vt:variant>
      <vt:variant>
        <vt:lpwstr/>
      </vt:variant>
      <vt:variant>
        <vt:lpwstr>e1</vt:lpwstr>
      </vt:variant>
      <vt:variant>
        <vt:i4>3211365</vt:i4>
      </vt:variant>
      <vt:variant>
        <vt:i4>909</vt:i4>
      </vt:variant>
      <vt:variant>
        <vt:i4>0</vt:i4>
      </vt:variant>
      <vt:variant>
        <vt:i4>5</vt:i4>
      </vt:variant>
      <vt:variant>
        <vt:lpwstr/>
      </vt:variant>
      <vt:variant>
        <vt:lpwstr>e16</vt:lpwstr>
      </vt:variant>
      <vt:variant>
        <vt:i4>6619197</vt:i4>
      </vt:variant>
      <vt:variant>
        <vt:i4>906</vt:i4>
      </vt:variant>
      <vt:variant>
        <vt:i4>0</vt:i4>
      </vt:variant>
      <vt:variant>
        <vt:i4>5</vt:i4>
      </vt:variant>
      <vt:variant>
        <vt:lpwstr>https://zenodo.org/records/14389323</vt:lpwstr>
      </vt:variant>
      <vt:variant>
        <vt:lpwstr/>
      </vt:variant>
      <vt:variant>
        <vt:i4>1835098</vt:i4>
      </vt:variant>
      <vt:variant>
        <vt:i4>903</vt:i4>
      </vt:variant>
      <vt:variant>
        <vt:i4>0</vt:i4>
      </vt:variant>
      <vt:variant>
        <vt:i4>5</vt:i4>
      </vt:variant>
      <vt:variant>
        <vt:lpwstr>https://mofuss.unam.mx/mofuss-ds/</vt:lpwstr>
      </vt:variant>
      <vt:variant>
        <vt:lpwstr/>
      </vt:variant>
      <vt:variant>
        <vt:i4>1835098</vt:i4>
      </vt:variant>
      <vt:variant>
        <vt:i4>900</vt:i4>
      </vt:variant>
      <vt:variant>
        <vt:i4>0</vt:i4>
      </vt:variant>
      <vt:variant>
        <vt:i4>5</vt:i4>
      </vt:variant>
      <vt:variant>
        <vt:lpwstr>https://mofuss.unam.mx/mofuss-ds/</vt:lpwstr>
      </vt:variant>
      <vt:variant>
        <vt:lpwstr/>
      </vt:variant>
      <vt:variant>
        <vt:i4>3211361</vt:i4>
      </vt:variant>
      <vt:variant>
        <vt:i4>897</vt:i4>
      </vt:variant>
      <vt:variant>
        <vt:i4>0</vt:i4>
      </vt:variant>
      <vt:variant>
        <vt:i4>5</vt:i4>
      </vt:variant>
      <vt:variant>
        <vt:lpwstr/>
      </vt:variant>
      <vt:variant>
        <vt:lpwstr>A11</vt:lpwstr>
      </vt:variant>
      <vt:variant>
        <vt:i4>3276901</vt:i4>
      </vt:variant>
      <vt:variant>
        <vt:i4>894</vt:i4>
      </vt:variant>
      <vt:variant>
        <vt:i4>0</vt:i4>
      </vt:variant>
      <vt:variant>
        <vt:i4>5</vt:i4>
      </vt:variant>
      <vt:variant>
        <vt:lpwstr/>
      </vt:variant>
      <vt:variant>
        <vt:lpwstr>e20</vt:lpwstr>
      </vt:variant>
      <vt:variant>
        <vt:i4>3211365</vt:i4>
      </vt:variant>
      <vt:variant>
        <vt:i4>891</vt:i4>
      </vt:variant>
      <vt:variant>
        <vt:i4>0</vt:i4>
      </vt:variant>
      <vt:variant>
        <vt:i4>5</vt:i4>
      </vt:variant>
      <vt:variant>
        <vt:lpwstr/>
      </vt:variant>
      <vt:variant>
        <vt:lpwstr>e17</vt:lpwstr>
      </vt:variant>
      <vt:variant>
        <vt:i4>3211365</vt:i4>
      </vt:variant>
      <vt:variant>
        <vt:i4>888</vt:i4>
      </vt:variant>
      <vt:variant>
        <vt:i4>0</vt:i4>
      </vt:variant>
      <vt:variant>
        <vt:i4>5</vt:i4>
      </vt:variant>
      <vt:variant>
        <vt:lpwstr/>
      </vt:variant>
      <vt:variant>
        <vt:lpwstr>e15</vt:lpwstr>
      </vt:variant>
      <vt:variant>
        <vt:i4>3211365</vt:i4>
      </vt:variant>
      <vt:variant>
        <vt:i4>885</vt:i4>
      </vt:variant>
      <vt:variant>
        <vt:i4>0</vt:i4>
      </vt:variant>
      <vt:variant>
        <vt:i4>5</vt:i4>
      </vt:variant>
      <vt:variant>
        <vt:lpwstr/>
      </vt:variant>
      <vt:variant>
        <vt:lpwstr>e13</vt:lpwstr>
      </vt:variant>
      <vt:variant>
        <vt:i4>3604581</vt:i4>
      </vt:variant>
      <vt:variant>
        <vt:i4>882</vt:i4>
      </vt:variant>
      <vt:variant>
        <vt:i4>0</vt:i4>
      </vt:variant>
      <vt:variant>
        <vt:i4>5</vt:i4>
      </vt:variant>
      <vt:variant>
        <vt:lpwstr/>
      </vt:variant>
      <vt:variant>
        <vt:lpwstr>e7</vt:lpwstr>
      </vt:variant>
      <vt:variant>
        <vt:i4>3276901</vt:i4>
      </vt:variant>
      <vt:variant>
        <vt:i4>879</vt:i4>
      </vt:variant>
      <vt:variant>
        <vt:i4>0</vt:i4>
      </vt:variant>
      <vt:variant>
        <vt:i4>5</vt:i4>
      </vt:variant>
      <vt:variant>
        <vt:lpwstr/>
      </vt:variant>
      <vt:variant>
        <vt:lpwstr>e2</vt:lpwstr>
      </vt:variant>
      <vt:variant>
        <vt:i4>3342433</vt:i4>
      </vt:variant>
      <vt:variant>
        <vt:i4>876</vt:i4>
      </vt:variant>
      <vt:variant>
        <vt:i4>0</vt:i4>
      </vt:variant>
      <vt:variant>
        <vt:i4>5</vt:i4>
      </vt:variant>
      <vt:variant>
        <vt:lpwstr/>
      </vt:variant>
      <vt:variant>
        <vt:lpwstr>A3</vt:lpwstr>
      </vt:variant>
      <vt:variant>
        <vt:i4>3276901</vt:i4>
      </vt:variant>
      <vt:variant>
        <vt:i4>873</vt:i4>
      </vt:variant>
      <vt:variant>
        <vt:i4>0</vt:i4>
      </vt:variant>
      <vt:variant>
        <vt:i4>5</vt:i4>
      </vt:variant>
      <vt:variant>
        <vt:lpwstr/>
      </vt:variant>
      <vt:variant>
        <vt:lpwstr>e22</vt:lpwstr>
      </vt:variant>
      <vt:variant>
        <vt:i4>3735653</vt:i4>
      </vt:variant>
      <vt:variant>
        <vt:i4>870</vt:i4>
      </vt:variant>
      <vt:variant>
        <vt:i4>0</vt:i4>
      </vt:variant>
      <vt:variant>
        <vt:i4>5</vt:i4>
      </vt:variant>
      <vt:variant>
        <vt:lpwstr/>
      </vt:variant>
      <vt:variant>
        <vt:lpwstr>e9</vt:lpwstr>
      </vt:variant>
      <vt:variant>
        <vt:i4>3276897</vt:i4>
      </vt:variant>
      <vt:variant>
        <vt:i4>867</vt:i4>
      </vt:variant>
      <vt:variant>
        <vt:i4>0</vt:i4>
      </vt:variant>
      <vt:variant>
        <vt:i4>5</vt:i4>
      </vt:variant>
      <vt:variant>
        <vt:lpwstr/>
      </vt:variant>
      <vt:variant>
        <vt:lpwstr>A2</vt:lpwstr>
      </vt:variant>
      <vt:variant>
        <vt:i4>3276897</vt:i4>
      </vt:variant>
      <vt:variant>
        <vt:i4>864</vt:i4>
      </vt:variant>
      <vt:variant>
        <vt:i4>0</vt:i4>
      </vt:variant>
      <vt:variant>
        <vt:i4>5</vt:i4>
      </vt:variant>
      <vt:variant>
        <vt:lpwstr/>
      </vt:variant>
      <vt:variant>
        <vt:lpwstr>A2</vt:lpwstr>
      </vt:variant>
      <vt:variant>
        <vt:i4>3276901</vt:i4>
      </vt:variant>
      <vt:variant>
        <vt:i4>861</vt:i4>
      </vt:variant>
      <vt:variant>
        <vt:i4>0</vt:i4>
      </vt:variant>
      <vt:variant>
        <vt:i4>5</vt:i4>
      </vt:variant>
      <vt:variant>
        <vt:lpwstr/>
      </vt:variant>
      <vt:variant>
        <vt:lpwstr>e22</vt:lpwstr>
      </vt:variant>
      <vt:variant>
        <vt:i4>3735653</vt:i4>
      </vt:variant>
      <vt:variant>
        <vt:i4>858</vt:i4>
      </vt:variant>
      <vt:variant>
        <vt:i4>0</vt:i4>
      </vt:variant>
      <vt:variant>
        <vt:i4>5</vt:i4>
      </vt:variant>
      <vt:variant>
        <vt:lpwstr/>
      </vt:variant>
      <vt:variant>
        <vt:lpwstr>e9</vt:lpwstr>
      </vt:variant>
      <vt:variant>
        <vt:i4>3407969</vt:i4>
      </vt:variant>
      <vt:variant>
        <vt:i4>855</vt:i4>
      </vt:variant>
      <vt:variant>
        <vt:i4>0</vt:i4>
      </vt:variant>
      <vt:variant>
        <vt:i4>5</vt:i4>
      </vt:variant>
      <vt:variant>
        <vt:lpwstr/>
      </vt:variant>
      <vt:variant>
        <vt:lpwstr>A4</vt:lpwstr>
      </vt:variant>
      <vt:variant>
        <vt:i4>3276901</vt:i4>
      </vt:variant>
      <vt:variant>
        <vt:i4>852</vt:i4>
      </vt:variant>
      <vt:variant>
        <vt:i4>0</vt:i4>
      </vt:variant>
      <vt:variant>
        <vt:i4>5</vt:i4>
      </vt:variant>
      <vt:variant>
        <vt:lpwstr/>
      </vt:variant>
      <vt:variant>
        <vt:lpwstr>e28</vt:lpwstr>
      </vt:variant>
      <vt:variant>
        <vt:i4>3276901</vt:i4>
      </vt:variant>
      <vt:variant>
        <vt:i4>849</vt:i4>
      </vt:variant>
      <vt:variant>
        <vt:i4>0</vt:i4>
      </vt:variant>
      <vt:variant>
        <vt:i4>5</vt:i4>
      </vt:variant>
      <vt:variant>
        <vt:lpwstr/>
      </vt:variant>
      <vt:variant>
        <vt:lpwstr>e27</vt:lpwstr>
      </vt:variant>
      <vt:variant>
        <vt:i4>3473505</vt:i4>
      </vt:variant>
      <vt:variant>
        <vt:i4>846</vt:i4>
      </vt:variant>
      <vt:variant>
        <vt:i4>0</vt:i4>
      </vt:variant>
      <vt:variant>
        <vt:i4>5</vt:i4>
      </vt:variant>
      <vt:variant>
        <vt:lpwstr/>
      </vt:variant>
      <vt:variant>
        <vt:lpwstr>A5</vt:lpwstr>
      </vt:variant>
      <vt:variant>
        <vt:i4>3473505</vt:i4>
      </vt:variant>
      <vt:variant>
        <vt:i4>843</vt:i4>
      </vt:variant>
      <vt:variant>
        <vt:i4>0</vt:i4>
      </vt:variant>
      <vt:variant>
        <vt:i4>5</vt:i4>
      </vt:variant>
      <vt:variant>
        <vt:lpwstr/>
      </vt:variant>
      <vt:variant>
        <vt:lpwstr>A5</vt:lpwstr>
      </vt:variant>
      <vt:variant>
        <vt:i4>3473505</vt:i4>
      </vt:variant>
      <vt:variant>
        <vt:i4>840</vt:i4>
      </vt:variant>
      <vt:variant>
        <vt:i4>0</vt:i4>
      </vt:variant>
      <vt:variant>
        <vt:i4>5</vt:i4>
      </vt:variant>
      <vt:variant>
        <vt:lpwstr/>
      </vt:variant>
      <vt:variant>
        <vt:lpwstr>A5</vt:lpwstr>
      </vt:variant>
      <vt:variant>
        <vt:i4>3276901</vt:i4>
      </vt:variant>
      <vt:variant>
        <vt:i4>837</vt:i4>
      </vt:variant>
      <vt:variant>
        <vt:i4>0</vt:i4>
      </vt:variant>
      <vt:variant>
        <vt:i4>5</vt:i4>
      </vt:variant>
      <vt:variant>
        <vt:lpwstr/>
      </vt:variant>
      <vt:variant>
        <vt:lpwstr>e20</vt:lpwstr>
      </vt:variant>
      <vt:variant>
        <vt:i4>3211365</vt:i4>
      </vt:variant>
      <vt:variant>
        <vt:i4>834</vt:i4>
      </vt:variant>
      <vt:variant>
        <vt:i4>0</vt:i4>
      </vt:variant>
      <vt:variant>
        <vt:i4>5</vt:i4>
      </vt:variant>
      <vt:variant>
        <vt:lpwstr/>
      </vt:variant>
      <vt:variant>
        <vt:lpwstr>e15</vt:lpwstr>
      </vt:variant>
      <vt:variant>
        <vt:i4>3604581</vt:i4>
      </vt:variant>
      <vt:variant>
        <vt:i4>831</vt:i4>
      </vt:variant>
      <vt:variant>
        <vt:i4>0</vt:i4>
      </vt:variant>
      <vt:variant>
        <vt:i4>5</vt:i4>
      </vt:variant>
      <vt:variant>
        <vt:lpwstr/>
      </vt:variant>
      <vt:variant>
        <vt:lpwstr>e7</vt:lpwstr>
      </vt:variant>
      <vt:variant>
        <vt:i4>3473505</vt:i4>
      </vt:variant>
      <vt:variant>
        <vt:i4>828</vt:i4>
      </vt:variant>
      <vt:variant>
        <vt:i4>0</vt:i4>
      </vt:variant>
      <vt:variant>
        <vt:i4>5</vt:i4>
      </vt:variant>
      <vt:variant>
        <vt:lpwstr/>
      </vt:variant>
      <vt:variant>
        <vt:lpwstr>A5</vt:lpwstr>
      </vt:variant>
      <vt:variant>
        <vt:i4>3473505</vt:i4>
      </vt:variant>
      <vt:variant>
        <vt:i4>825</vt:i4>
      </vt:variant>
      <vt:variant>
        <vt:i4>0</vt:i4>
      </vt:variant>
      <vt:variant>
        <vt:i4>5</vt:i4>
      </vt:variant>
      <vt:variant>
        <vt:lpwstr/>
      </vt:variant>
      <vt:variant>
        <vt:lpwstr>A5</vt:lpwstr>
      </vt:variant>
      <vt:variant>
        <vt:i4>3473505</vt:i4>
      </vt:variant>
      <vt:variant>
        <vt:i4>822</vt:i4>
      </vt:variant>
      <vt:variant>
        <vt:i4>0</vt:i4>
      </vt:variant>
      <vt:variant>
        <vt:i4>5</vt:i4>
      </vt:variant>
      <vt:variant>
        <vt:lpwstr/>
      </vt:variant>
      <vt:variant>
        <vt:lpwstr>A5</vt:lpwstr>
      </vt:variant>
      <vt:variant>
        <vt:i4>3276901</vt:i4>
      </vt:variant>
      <vt:variant>
        <vt:i4>819</vt:i4>
      </vt:variant>
      <vt:variant>
        <vt:i4>0</vt:i4>
      </vt:variant>
      <vt:variant>
        <vt:i4>5</vt:i4>
      </vt:variant>
      <vt:variant>
        <vt:lpwstr/>
      </vt:variant>
      <vt:variant>
        <vt:lpwstr>e20</vt:lpwstr>
      </vt:variant>
      <vt:variant>
        <vt:i4>3211365</vt:i4>
      </vt:variant>
      <vt:variant>
        <vt:i4>816</vt:i4>
      </vt:variant>
      <vt:variant>
        <vt:i4>0</vt:i4>
      </vt:variant>
      <vt:variant>
        <vt:i4>5</vt:i4>
      </vt:variant>
      <vt:variant>
        <vt:lpwstr/>
      </vt:variant>
      <vt:variant>
        <vt:lpwstr>e15</vt:lpwstr>
      </vt:variant>
      <vt:variant>
        <vt:i4>3604581</vt:i4>
      </vt:variant>
      <vt:variant>
        <vt:i4>813</vt:i4>
      </vt:variant>
      <vt:variant>
        <vt:i4>0</vt:i4>
      </vt:variant>
      <vt:variant>
        <vt:i4>5</vt:i4>
      </vt:variant>
      <vt:variant>
        <vt:lpwstr/>
      </vt:variant>
      <vt:variant>
        <vt:lpwstr>e7</vt:lpwstr>
      </vt:variant>
      <vt:variant>
        <vt:i4>3473505</vt:i4>
      </vt:variant>
      <vt:variant>
        <vt:i4>810</vt:i4>
      </vt:variant>
      <vt:variant>
        <vt:i4>0</vt:i4>
      </vt:variant>
      <vt:variant>
        <vt:i4>5</vt:i4>
      </vt:variant>
      <vt:variant>
        <vt:lpwstr/>
      </vt:variant>
      <vt:variant>
        <vt:lpwstr>A5</vt:lpwstr>
      </vt:variant>
      <vt:variant>
        <vt:i4>3473505</vt:i4>
      </vt:variant>
      <vt:variant>
        <vt:i4>807</vt:i4>
      </vt:variant>
      <vt:variant>
        <vt:i4>0</vt:i4>
      </vt:variant>
      <vt:variant>
        <vt:i4>5</vt:i4>
      </vt:variant>
      <vt:variant>
        <vt:lpwstr/>
      </vt:variant>
      <vt:variant>
        <vt:lpwstr>A5</vt:lpwstr>
      </vt:variant>
      <vt:variant>
        <vt:i4>3473505</vt:i4>
      </vt:variant>
      <vt:variant>
        <vt:i4>804</vt:i4>
      </vt:variant>
      <vt:variant>
        <vt:i4>0</vt:i4>
      </vt:variant>
      <vt:variant>
        <vt:i4>5</vt:i4>
      </vt:variant>
      <vt:variant>
        <vt:lpwstr/>
      </vt:variant>
      <vt:variant>
        <vt:lpwstr>A5</vt:lpwstr>
      </vt:variant>
      <vt:variant>
        <vt:i4>3211365</vt:i4>
      </vt:variant>
      <vt:variant>
        <vt:i4>801</vt:i4>
      </vt:variant>
      <vt:variant>
        <vt:i4>0</vt:i4>
      </vt:variant>
      <vt:variant>
        <vt:i4>5</vt:i4>
      </vt:variant>
      <vt:variant>
        <vt:lpwstr/>
      </vt:variant>
      <vt:variant>
        <vt:lpwstr>e17</vt:lpwstr>
      </vt:variant>
      <vt:variant>
        <vt:i4>3211365</vt:i4>
      </vt:variant>
      <vt:variant>
        <vt:i4>798</vt:i4>
      </vt:variant>
      <vt:variant>
        <vt:i4>0</vt:i4>
      </vt:variant>
      <vt:variant>
        <vt:i4>5</vt:i4>
      </vt:variant>
      <vt:variant>
        <vt:lpwstr/>
      </vt:variant>
      <vt:variant>
        <vt:lpwstr>e13</vt:lpwstr>
      </vt:variant>
      <vt:variant>
        <vt:i4>3276901</vt:i4>
      </vt:variant>
      <vt:variant>
        <vt:i4>795</vt:i4>
      </vt:variant>
      <vt:variant>
        <vt:i4>0</vt:i4>
      </vt:variant>
      <vt:variant>
        <vt:i4>5</vt:i4>
      </vt:variant>
      <vt:variant>
        <vt:lpwstr/>
      </vt:variant>
      <vt:variant>
        <vt:lpwstr>e2</vt:lpwstr>
      </vt:variant>
      <vt:variant>
        <vt:i4>3473505</vt:i4>
      </vt:variant>
      <vt:variant>
        <vt:i4>792</vt:i4>
      </vt:variant>
      <vt:variant>
        <vt:i4>0</vt:i4>
      </vt:variant>
      <vt:variant>
        <vt:i4>5</vt:i4>
      </vt:variant>
      <vt:variant>
        <vt:lpwstr/>
      </vt:variant>
      <vt:variant>
        <vt:lpwstr>A5</vt:lpwstr>
      </vt:variant>
      <vt:variant>
        <vt:i4>3473505</vt:i4>
      </vt:variant>
      <vt:variant>
        <vt:i4>789</vt:i4>
      </vt:variant>
      <vt:variant>
        <vt:i4>0</vt:i4>
      </vt:variant>
      <vt:variant>
        <vt:i4>5</vt:i4>
      </vt:variant>
      <vt:variant>
        <vt:lpwstr/>
      </vt:variant>
      <vt:variant>
        <vt:lpwstr>A5</vt:lpwstr>
      </vt:variant>
      <vt:variant>
        <vt:i4>3473505</vt:i4>
      </vt:variant>
      <vt:variant>
        <vt:i4>786</vt:i4>
      </vt:variant>
      <vt:variant>
        <vt:i4>0</vt:i4>
      </vt:variant>
      <vt:variant>
        <vt:i4>5</vt:i4>
      </vt:variant>
      <vt:variant>
        <vt:lpwstr/>
      </vt:variant>
      <vt:variant>
        <vt:lpwstr>A5</vt:lpwstr>
      </vt:variant>
      <vt:variant>
        <vt:i4>3211365</vt:i4>
      </vt:variant>
      <vt:variant>
        <vt:i4>783</vt:i4>
      </vt:variant>
      <vt:variant>
        <vt:i4>0</vt:i4>
      </vt:variant>
      <vt:variant>
        <vt:i4>5</vt:i4>
      </vt:variant>
      <vt:variant>
        <vt:lpwstr/>
      </vt:variant>
      <vt:variant>
        <vt:lpwstr>e17</vt:lpwstr>
      </vt:variant>
      <vt:variant>
        <vt:i4>3211365</vt:i4>
      </vt:variant>
      <vt:variant>
        <vt:i4>780</vt:i4>
      </vt:variant>
      <vt:variant>
        <vt:i4>0</vt:i4>
      </vt:variant>
      <vt:variant>
        <vt:i4>5</vt:i4>
      </vt:variant>
      <vt:variant>
        <vt:lpwstr/>
      </vt:variant>
      <vt:variant>
        <vt:lpwstr>e13</vt:lpwstr>
      </vt:variant>
      <vt:variant>
        <vt:i4>3276901</vt:i4>
      </vt:variant>
      <vt:variant>
        <vt:i4>777</vt:i4>
      </vt:variant>
      <vt:variant>
        <vt:i4>0</vt:i4>
      </vt:variant>
      <vt:variant>
        <vt:i4>5</vt:i4>
      </vt:variant>
      <vt:variant>
        <vt:lpwstr/>
      </vt:variant>
      <vt:variant>
        <vt:lpwstr>e2</vt:lpwstr>
      </vt:variant>
      <vt:variant>
        <vt:i4>3276901</vt:i4>
      </vt:variant>
      <vt:variant>
        <vt:i4>774</vt:i4>
      </vt:variant>
      <vt:variant>
        <vt:i4>0</vt:i4>
      </vt:variant>
      <vt:variant>
        <vt:i4>5</vt:i4>
      </vt:variant>
      <vt:variant>
        <vt:lpwstr/>
      </vt:variant>
      <vt:variant>
        <vt:lpwstr>e21</vt:lpwstr>
      </vt:variant>
      <vt:variant>
        <vt:i4>3211365</vt:i4>
      </vt:variant>
      <vt:variant>
        <vt:i4>771</vt:i4>
      </vt:variant>
      <vt:variant>
        <vt:i4>0</vt:i4>
      </vt:variant>
      <vt:variant>
        <vt:i4>5</vt:i4>
      </vt:variant>
      <vt:variant>
        <vt:lpwstr/>
      </vt:variant>
      <vt:variant>
        <vt:lpwstr>e18</vt:lpwstr>
      </vt:variant>
      <vt:variant>
        <vt:i4>3211365</vt:i4>
      </vt:variant>
      <vt:variant>
        <vt:i4>768</vt:i4>
      </vt:variant>
      <vt:variant>
        <vt:i4>0</vt:i4>
      </vt:variant>
      <vt:variant>
        <vt:i4>5</vt:i4>
      </vt:variant>
      <vt:variant>
        <vt:lpwstr/>
      </vt:variant>
      <vt:variant>
        <vt:lpwstr>e16</vt:lpwstr>
      </vt:variant>
      <vt:variant>
        <vt:i4>3276901</vt:i4>
      </vt:variant>
      <vt:variant>
        <vt:i4>765</vt:i4>
      </vt:variant>
      <vt:variant>
        <vt:i4>0</vt:i4>
      </vt:variant>
      <vt:variant>
        <vt:i4>5</vt:i4>
      </vt:variant>
      <vt:variant>
        <vt:lpwstr/>
      </vt:variant>
      <vt:variant>
        <vt:lpwstr>e25</vt:lpwstr>
      </vt:variant>
      <vt:variant>
        <vt:i4>3735649</vt:i4>
      </vt:variant>
      <vt:variant>
        <vt:i4>762</vt:i4>
      </vt:variant>
      <vt:variant>
        <vt:i4>0</vt:i4>
      </vt:variant>
      <vt:variant>
        <vt:i4>5</vt:i4>
      </vt:variant>
      <vt:variant>
        <vt:lpwstr/>
      </vt:variant>
      <vt:variant>
        <vt:lpwstr>A9</vt:lpwstr>
      </vt:variant>
      <vt:variant>
        <vt:i4>70</vt:i4>
      </vt:variant>
      <vt:variant>
        <vt:i4>759</vt:i4>
      </vt:variant>
      <vt:variant>
        <vt:i4>0</vt:i4>
      </vt:variant>
      <vt:variant>
        <vt:i4>5</vt:i4>
      </vt:variant>
      <vt:variant>
        <vt:lpwstr/>
      </vt:variant>
      <vt:variant>
        <vt:lpwstr>S151</vt:lpwstr>
      </vt:variant>
      <vt:variant>
        <vt:i4>3276901</vt:i4>
      </vt:variant>
      <vt:variant>
        <vt:i4>756</vt:i4>
      </vt:variant>
      <vt:variant>
        <vt:i4>0</vt:i4>
      </vt:variant>
      <vt:variant>
        <vt:i4>5</vt:i4>
      </vt:variant>
      <vt:variant>
        <vt:lpwstr/>
      </vt:variant>
      <vt:variant>
        <vt:lpwstr>e26</vt:lpwstr>
      </vt:variant>
      <vt:variant>
        <vt:i4>3276901</vt:i4>
      </vt:variant>
      <vt:variant>
        <vt:i4>753</vt:i4>
      </vt:variant>
      <vt:variant>
        <vt:i4>0</vt:i4>
      </vt:variant>
      <vt:variant>
        <vt:i4>5</vt:i4>
      </vt:variant>
      <vt:variant>
        <vt:lpwstr/>
      </vt:variant>
      <vt:variant>
        <vt:lpwstr>e25</vt:lpwstr>
      </vt:variant>
      <vt:variant>
        <vt:i4>3276901</vt:i4>
      </vt:variant>
      <vt:variant>
        <vt:i4>750</vt:i4>
      </vt:variant>
      <vt:variant>
        <vt:i4>0</vt:i4>
      </vt:variant>
      <vt:variant>
        <vt:i4>5</vt:i4>
      </vt:variant>
      <vt:variant>
        <vt:lpwstr/>
      </vt:variant>
      <vt:variant>
        <vt:lpwstr>e26</vt:lpwstr>
      </vt:variant>
      <vt:variant>
        <vt:i4>3342433</vt:i4>
      </vt:variant>
      <vt:variant>
        <vt:i4>747</vt:i4>
      </vt:variant>
      <vt:variant>
        <vt:i4>0</vt:i4>
      </vt:variant>
      <vt:variant>
        <vt:i4>5</vt:i4>
      </vt:variant>
      <vt:variant>
        <vt:lpwstr/>
      </vt:variant>
      <vt:variant>
        <vt:lpwstr>A3</vt:lpwstr>
      </vt:variant>
      <vt:variant>
        <vt:i4>3276897</vt:i4>
      </vt:variant>
      <vt:variant>
        <vt:i4>744</vt:i4>
      </vt:variant>
      <vt:variant>
        <vt:i4>0</vt:i4>
      </vt:variant>
      <vt:variant>
        <vt:i4>5</vt:i4>
      </vt:variant>
      <vt:variant>
        <vt:lpwstr/>
      </vt:variant>
      <vt:variant>
        <vt:lpwstr>A2</vt:lpwstr>
      </vt:variant>
      <vt:variant>
        <vt:i4>2097186</vt:i4>
      </vt:variant>
      <vt:variant>
        <vt:i4>741</vt:i4>
      </vt:variant>
      <vt:variant>
        <vt:i4>0</vt:i4>
      </vt:variant>
      <vt:variant>
        <vt:i4>5</vt:i4>
      </vt:variant>
      <vt:variant>
        <vt:lpwstr/>
      </vt:variant>
      <vt:variant>
        <vt:lpwstr>footnote11</vt:lpwstr>
      </vt:variant>
      <vt:variant>
        <vt:i4>3342433</vt:i4>
      </vt:variant>
      <vt:variant>
        <vt:i4>738</vt:i4>
      </vt:variant>
      <vt:variant>
        <vt:i4>0</vt:i4>
      </vt:variant>
      <vt:variant>
        <vt:i4>5</vt:i4>
      </vt:variant>
      <vt:variant>
        <vt:lpwstr/>
      </vt:variant>
      <vt:variant>
        <vt:lpwstr>A3</vt:lpwstr>
      </vt:variant>
      <vt:variant>
        <vt:i4>3276901</vt:i4>
      </vt:variant>
      <vt:variant>
        <vt:i4>735</vt:i4>
      </vt:variant>
      <vt:variant>
        <vt:i4>0</vt:i4>
      </vt:variant>
      <vt:variant>
        <vt:i4>5</vt:i4>
      </vt:variant>
      <vt:variant>
        <vt:lpwstr/>
      </vt:variant>
      <vt:variant>
        <vt:lpwstr>e24</vt:lpwstr>
      </vt:variant>
      <vt:variant>
        <vt:i4>3276897</vt:i4>
      </vt:variant>
      <vt:variant>
        <vt:i4>732</vt:i4>
      </vt:variant>
      <vt:variant>
        <vt:i4>0</vt:i4>
      </vt:variant>
      <vt:variant>
        <vt:i4>5</vt:i4>
      </vt:variant>
      <vt:variant>
        <vt:lpwstr/>
      </vt:variant>
      <vt:variant>
        <vt:lpwstr>A2</vt:lpwstr>
      </vt:variant>
      <vt:variant>
        <vt:i4>3276901</vt:i4>
      </vt:variant>
      <vt:variant>
        <vt:i4>729</vt:i4>
      </vt:variant>
      <vt:variant>
        <vt:i4>0</vt:i4>
      </vt:variant>
      <vt:variant>
        <vt:i4>5</vt:i4>
      </vt:variant>
      <vt:variant>
        <vt:lpwstr/>
      </vt:variant>
      <vt:variant>
        <vt:lpwstr>e23</vt:lpwstr>
      </vt:variant>
      <vt:variant>
        <vt:i4>3211365</vt:i4>
      </vt:variant>
      <vt:variant>
        <vt:i4>726</vt:i4>
      </vt:variant>
      <vt:variant>
        <vt:i4>0</vt:i4>
      </vt:variant>
      <vt:variant>
        <vt:i4>5</vt:i4>
      </vt:variant>
      <vt:variant>
        <vt:lpwstr/>
      </vt:variant>
      <vt:variant>
        <vt:lpwstr>e1</vt:lpwstr>
      </vt:variant>
      <vt:variant>
        <vt:i4>196675</vt:i4>
      </vt:variant>
      <vt:variant>
        <vt:i4>723</vt:i4>
      </vt:variant>
      <vt:variant>
        <vt:i4>0</vt:i4>
      </vt:variant>
      <vt:variant>
        <vt:i4>5</vt:i4>
      </vt:variant>
      <vt:variant>
        <vt:lpwstr/>
      </vt:variant>
      <vt:variant>
        <vt:lpwstr>S1022</vt:lpwstr>
      </vt:variant>
      <vt:variant>
        <vt:i4>3211365</vt:i4>
      </vt:variant>
      <vt:variant>
        <vt:i4>720</vt:i4>
      </vt:variant>
      <vt:variant>
        <vt:i4>0</vt:i4>
      </vt:variant>
      <vt:variant>
        <vt:i4>5</vt:i4>
      </vt:variant>
      <vt:variant>
        <vt:lpwstr/>
      </vt:variant>
      <vt:variant>
        <vt:lpwstr>e19</vt:lpwstr>
      </vt:variant>
      <vt:variant>
        <vt:i4>3276901</vt:i4>
      </vt:variant>
      <vt:variant>
        <vt:i4>717</vt:i4>
      </vt:variant>
      <vt:variant>
        <vt:i4>0</vt:i4>
      </vt:variant>
      <vt:variant>
        <vt:i4>5</vt:i4>
      </vt:variant>
      <vt:variant>
        <vt:lpwstr/>
      </vt:variant>
      <vt:variant>
        <vt:lpwstr>e22</vt:lpwstr>
      </vt:variant>
      <vt:variant>
        <vt:i4>66</vt:i4>
      </vt:variant>
      <vt:variant>
        <vt:i4>714</vt:i4>
      </vt:variant>
      <vt:variant>
        <vt:i4>0</vt:i4>
      </vt:variant>
      <vt:variant>
        <vt:i4>5</vt:i4>
      </vt:variant>
      <vt:variant>
        <vt:lpwstr/>
      </vt:variant>
      <vt:variant>
        <vt:lpwstr>S111</vt:lpwstr>
      </vt:variant>
      <vt:variant>
        <vt:i4>2097186</vt:i4>
      </vt:variant>
      <vt:variant>
        <vt:i4>711</vt:i4>
      </vt:variant>
      <vt:variant>
        <vt:i4>0</vt:i4>
      </vt:variant>
      <vt:variant>
        <vt:i4>5</vt:i4>
      </vt:variant>
      <vt:variant>
        <vt:lpwstr/>
      </vt:variant>
      <vt:variant>
        <vt:lpwstr>footnote11</vt:lpwstr>
      </vt:variant>
      <vt:variant>
        <vt:i4>3211365</vt:i4>
      </vt:variant>
      <vt:variant>
        <vt:i4>708</vt:i4>
      </vt:variant>
      <vt:variant>
        <vt:i4>0</vt:i4>
      </vt:variant>
      <vt:variant>
        <vt:i4>5</vt:i4>
      </vt:variant>
      <vt:variant>
        <vt:lpwstr/>
      </vt:variant>
      <vt:variant>
        <vt:lpwstr>e11</vt:lpwstr>
      </vt:variant>
      <vt:variant>
        <vt:i4>3211365</vt:i4>
      </vt:variant>
      <vt:variant>
        <vt:i4>705</vt:i4>
      </vt:variant>
      <vt:variant>
        <vt:i4>0</vt:i4>
      </vt:variant>
      <vt:variant>
        <vt:i4>5</vt:i4>
      </vt:variant>
      <vt:variant>
        <vt:lpwstr/>
      </vt:variant>
      <vt:variant>
        <vt:lpwstr>e10</vt:lpwstr>
      </vt:variant>
      <vt:variant>
        <vt:i4>3735653</vt:i4>
      </vt:variant>
      <vt:variant>
        <vt:i4>702</vt:i4>
      </vt:variant>
      <vt:variant>
        <vt:i4>0</vt:i4>
      </vt:variant>
      <vt:variant>
        <vt:i4>5</vt:i4>
      </vt:variant>
      <vt:variant>
        <vt:lpwstr/>
      </vt:variant>
      <vt:variant>
        <vt:lpwstr>e9</vt:lpwstr>
      </vt:variant>
      <vt:variant>
        <vt:i4>3211365</vt:i4>
      </vt:variant>
      <vt:variant>
        <vt:i4>699</vt:i4>
      </vt:variant>
      <vt:variant>
        <vt:i4>0</vt:i4>
      </vt:variant>
      <vt:variant>
        <vt:i4>5</vt:i4>
      </vt:variant>
      <vt:variant>
        <vt:lpwstr/>
      </vt:variant>
      <vt:variant>
        <vt:lpwstr>e1</vt:lpwstr>
      </vt:variant>
      <vt:variant>
        <vt:i4>2097186</vt:i4>
      </vt:variant>
      <vt:variant>
        <vt:i4>696</vt:i4>
      </vt:variant>
      <vt:variant>
        <vt:i4>0</vt:i4>
      </vt:variant>
      <vt:variant>
        <vt:i4>5</vt:i4>
      </vt:variant>
      <vt:variant>
        <vt:lpwstr/>
      </vt:variant>
      <vt:variant>
        <vt:lpwstr>footnote11</vt:lpwstr>
      </vt:variant>
      <vt:variant>
        <vt:i4>3735653</vt:i4>
      </vt:variant>
      <vt:variant>
        <vt:i4>693</vt:i4>
      </vt:variant>
      <vt:variant>
        <vt:i4>0</vt:i4>
      </vt:variant>
      <vt:variant>
        <vt:i4>5</vt:i4>
      </vt:variant>
      <vt:variant>
        <vt:lpwstr/>
      </vt:variant>
      <vt:variant>
        <vt:lpwstr>e9</vt:lpwstr>
      </vt:variant>
      <vt:variant>
        <vt:i4>66</vt:i4>
      </vt:variant>
      <vt:variant>
        <vt:i4>690</vt:i4>
      </vt:variant>
      <vt:variant>
        <vt:i4>0</vt:i4>
      </vt:variant>
      <vt:variant>
        <vt:i4>5</vt:i4>
      </vt:variant>
      <vt:variant>
        <vt:lpwstr/>
      </vt:variant>
      <vt:variant>
        <vt:lpwstr>S111</vt:lpwstr>
      </vt:variant>
      <vt:variant>
        <vt:i4>3342433</vt:i4>
      </vt:variant>
      <vt:variant>
        <vt:i4>687</vt:i4>
      </vt:variant>
      <vt:variant>
        <vt:i4>0</vt:i4>
      </vt:variant>
      <vt:variant>
        <vt:i4>5</vt:i4>
      </vt:variant>
      <vt:variant>
        <vt:lpwstr/>
      </vt:variant>
      <vt:variant>
        <vt:lpwstr>A3</vt:lpwstr>
      </vt:variant>
      <vt:variant>
        <vt:i4>3276897</vt:i4>
      </vt:variant>
      <vt:variant>
        <vt:i4>684</vt:i4>
      </vt:variant>
      <vt:variant>
        <vt:i4>0</vt:i4>
      </vt:variant>
      <vt:variant>
        <vt:i4>5</vt:i4>
      </vt:variant>
      <vt:variant>
        <vt:lpwstr/>
      </vt:variant>
      <vt:variant>
        <vt:lpwstr>A2</vt:lpwstr>
      </vt:variant>
      <vt:variant>
        <vt:i4>3211365</vt:i4>
      </vt:variant>
      <vt:variant>
        <vt:i4>681</vt:i4>
      </vt:variant>
      <vt:variant>
        <vt:i4>0</vt:i4>
      </vt:variant>
      <vt:variant>
        <vt:i4>5</vt:i4>
      </vt:variant>
      <vt:variant>
        <vt:lpwstr/>
      </vt:variant>
      <vt:variant>
        <vt:lpwstr>e1</vt:lpwstr>
      </vt:variant>
      <vt:variant>
        <vt:i4>66</vt:i4>
      </vt:variant>
      <vt:variant>
        <vt:i4>678</vt:i4>
      </vt:variant>
      <vt:variant>
        <vt:i4>0</vt:i4>
      </vt:variant>
      <vt:variant>
        <vt:i4>5</vt:i4>
      </vt:variant>
      <vt:variant>
        <vt:lpwstr/>
      </vt:variant>
      <vt:variant>
        <vt:lpwstr>S111</vt:lpwstr>
      </vt:variant>
      <vt:variant>
        <vt:i4>2097186</vt:i4>
      </vt:variant>
      <vt:variant>
        <vt:i4>675</vt:i4>
      </vt:variant>
      <vt:variant>
        <vt:i4>0</vt:i4>
      </vt:variant>
      <vt:variant>
        <vt:i4>5</vt:i4>
      </vt:variant>
      <vt:variant>
        <vt:lpwstr/>
      </vt:variant>
      <vt:variant>
        <vt:lpwstr>footnote11</vt:lpwstr>
      </vt:variant>
      <vt:variant>
        <vt:i4>196675</vt:i4>
      </vt:variant>
      <vt:variant>
        <vt:i4>672</vt:i4>
      </vt:variant>
      <vt:variant>
        <vt:i4>0</vt:i4>
      </vt:variant>
      <vt:variant>
        <vt:i4>5</vt:i4>
      </vt:variant>
      <vt:variant>
        <vt:lpwstr/>
      </vt:variant>
      <vt:variant>
        <vt:lpwstr>S1021</vt:lpwstr>
      </vt:variant>
      <vt:variant>
        <vt:i4>196675</vt:i4>
      </vt:variant>
      <vt:variant>
        <vt:i4>669</vt:i4>
      </vt:variant>
      <vt:variant>
        <vt:i4>0</vt:i4>
      </vt:variant>
      <vt:variant>
        <vt:i4>5</vt:i4>
      </vt:variant>
      <vt:variant>
        <vt:lpwstr/>
      </vt:variant>
      <vt:variant>
        <vt:lpwstr>S1022</vt:lpwstr>
      </vt:variant>
      <vt:variant>
        <vt:i4>196675</vt:i4>
      </vt:variant>
      <vt:variant>
        <vt:i4>666</vt:i4>
      </vt:variant>
      <vt:variant>
        <vt:i4>0</vt:i4>
      </vt:variant>
      <vt:variant>
        <vt:i4>5</vt:i4>
      </vt:variant>
      <vt:variant>
        <vt:lpwstr/>
      </vt:variant>
      <vt:variant>
        <vt:lpwstr>S1021</vt:lpwstr>
      </vt:variant>
      <vt:variant>
        <vt:i4>3211361</vt:i4>
      </vt:variant>
      <vt:variant>
        <vt:i4>663</vt:i4>
      </vt:variant>
      <vt:variant>
        <vt:i4>0</vt:i4>
      </vt:variant>
      <vt:variant>
        <vt:i4>5</vt:i4>
      </vt:variant>
      <vt:variant>
        <vt:lpwstr/>
      </vt:variant>
      <vt:variant>
        <vt:lpwstr>A10</vt:lpwstr>
      </vt:variant>
      <vt:variant>
        <vt:i4>7733299</vt:i4>
      </vt:variant>
      <vt:variant>
        <vt:i4>660</vt:i4>
      </vt:variant>
      <vt:variant>
        <vt:i4>0</vt:i4>
      </vt:variant>
      <vt:variant>
        <vt:i4>5</vt:i4>
      </vt:variant>
      <vt:variant>
        <vt:lpwstr>https://unfccc.int/sites/default/files/resource/A6.4-STAN-METH-004.pdf</vt:lpwstr>
      </vt:variant>
      <vt:variant>
        <vt:lpwstr/>
      </vt:variant>
      <vt:variant>
        <vt:i4>3211361</vt:i4>
      </vt:variant>
      <vt:variant>
        <vt:i4>657</vt:i4>
      </vt:variant>
      <vt:variant>
        <vt:i4>0</vt:i4>
      </vt:variant>
      <vt:variant>
        <vt:i4>5</vt:i4>
      </vt:variant>
      <vt:variant>
        <vt:lpwstr/>
      </vt:variant>
      <vt:variant>
        <vt:lpwstr>A1</vt:lpwstr>
      </vt:variant>
      <vt:variant>
        <vt:i4>7536691</vt:i4>
      </vt:variant>
      <vt:variant>
        <vt:i4>654</vt:i4>
      </vt:variant>
      <vt:variant>
        <vt:i4>0</vt:i4>
      </vt:variant>
      <vt:variant>
        <vt:i4>5</vt:i4>
      </vt:variant>
      <vt:variant>
        <vt:lpwstr>https://unfccc.int/sites/default/files/resource/A6.4-STAN-METH-001.pdf</vt:lpwstr>
      </vt:variant>
      <vt:variant>
        <vt:lpwstr/>
      </vt:variant>
      <vt:variant>
        <vt:i4>7733299</vt:i4>
      </vt:variant>
      <vt:variant>
        <vt:i4>651</vt:i4>
      </vt:variant>
      <vt:variant>
        <vt:i4>0</vt:i4>
      </vt:variant>
      <vt:variant>
        <vt:i4>5</vt:i4>
      </vt:variant>
      <vt:variant>
        <vt:lpwstr>https://unfccc.int/sites/default/files/resource/A6.4-STAN-METH-004.pdf</vt:lpwstr>
      </vt:variant>
      <vt:variant>
        <vt:lpwstr/>
      </vt:variant>
      <vt:variant>
        <vt:i4>3211361</vt:i4>
      </vt:variant>
      <vt:variant>
        <vt:i4>648</vt:i4>
      </vt:variant>
      <vt:variant>
        <vt:i4>0</vt:i4>
      </vt:variant>
      <vt:variant>
        <vt:i4>5</vt:i4>
      </vt:variant>
      <vt:variant>
        <vt:lpwstr/>
      </vt:variant>
      <vt:variant>
        <vt:lpwstr>A1</vt:lpwstr>
      </vt:variant>
      <vt:variant>
        <vt:i4>3276901</vt:i4>
      </vt:variant>
      <vt:variant>
        <vt:i4>645</vt:i4>
      </vt:variant>
      <vt:variant>
        <vt:i4>0</vt:i4>
      </vt:variant>
      <vt:variant>
        <vt:i4>5</vt:i4>
      </vt:variant>
      <vt:variant>
        <vt:lpwstr/>
      </vt:variant>
      <vt:variant>
        <vt:lpwstr>e27</vt:lpwstr>
      </vt:variant>
      <vt:variant>
        <vt:i4>3211365</vt:i4>
      </vt:variant>
      <vt:variant>
        <vt:i4>642</vt:i4>
      </vt:variant>
      <vt:variant>
        <vt:i4>0</vt:i4>
      </vt:variant>
      <vt:variant>
        <vt:i4>5</vt:i4>
      </vt:variant>
      <vt:variant>
        <vt:lpwstr/>
      </vt:variant>
      <vt:variant>
        <vt:lpwstr>e19</vt:lpwstr>
      </vt:variant>
      <vt:variant>
        <vt:i4>3211365</vt:i4>
      </vt:variant>
      <vt:variant>
        <vt:i4>639</vt:i4>
      </vt:variant>
      <vt:variant>
        <vt:i4>0</vt:i4>
      </vt:variant>
      <vt:variant>
        <vt:i4>5</vt:i4>
      </vt:variant>
      <vt:variant>
        <vt:lpwstr/>
      </vt:variant>
      <vt:variant>
        <vt:lpwstr>e18</vt:lpwstr>
      </vt:variant>
      <vt:variant>
        <vt:i4>3211365</vt:i4>
      </vt:variant>
      <vt:variant>
        <vt:i4>636</vt:i4>
      </vt:variant>
      <vt:variant>
        <vt:i4>0</vt:i4>
      </vt:variant>
      <vt:variant>
        <vt:i4>5</vt:i4>
      </vt:variant>
      <vt:variant>
        <vt:lpwstr/>
      </vt:variant>
      <vt:variant>
        <vt:lpwstr>e17</vt:lpwstr>
      </vt:variant>
      <vt:variant>
        <vt:i4>3276901</vt:i4>
      </vt:variant>
      <vt:variant>
        <vt:i4>633</vt:i4>
      </vt:variant>
      <vt:variant>
        <vt:i4>0</vt:i4>
      </vt:variant>
      <vt:variant>
        <vt:i4>5</vt:i4>
      </vt:variant>
      <vt:variant>
        <vt:lpwstr/>
      </vt:variant>
      <vt:variant>
        <vt:lpwstr>e27</vt:lpwstr>
      </vt:variant>
      <vt:variant>
        <vt:i4>3211365</vt:i4>
      </vt:variant>
      <vt:variant>
        <vt:i4>630</vt:i4>
      </vt:variant>
      <vt:variant>
        <vt:i4>0</vt:i4>
      </vt:variant>
      <vt:variant>
        <vt:i4>5</vt:i4>
      </vt:variant>
      <vt:variant>
        <vt:lpwstr/>
      </vt:variant>
      <vt:variant>
        <vt:lpwstr>e19</vt:lpwstr>
      </vt:variant>
      <vt:variant>
        <vt:i4>3211365</vt:i4>
      </vt:variant>
      <vt:variant>
        <vt:i4>627</vt:i4>
      </vt:variant>
      <vt:variant>
        <vt:i4>0</vt:i4>
      </vt:variant>
      <vt:variant>
        <vt:i4>5</vt:i4>
      </vt:variant>
      <vt:variant>
        <vt:lpwstr/>
      </vt:variant>
      <vt:variant>
        <vt:lpwstr>e18</vt:lpwstr>
      </vt:variant>
      <vt:variant>
        <vt:i4>3211365</vt:i4>
      </vt:variant>
      <vt:variant>
        <vt:i4>624</vt:i4>
      </vt:variant>
      <vt:variant>
        <vt:i4>0</vt:i4>
      </vt:variant>
      <vt:variant>
        <vt:i4>5</vt:i4>
      </vt:variant>
      <vt:variant>
        <vt:lpwstr/>
      </vt:variant>
      <vt:variant>
        <vt:lpwstr>e17</vt:lpwstr>
      </vt:variant>
      <vt:variant>
        <vt:i4>7733299</vt:i4>
      </vt:variant>
      <vt:variant>
        <vt:i4>621</vt:i4>
      </vt:variant>
      <vt:variant>
        <vt:i4>0</vt:i4>
      </vt:variant>
      <vt:variant>
        <vt:i4>5</vt:i4>
      </vt:variant>
      <vt:variant>
        <vt:lpwstr>https://unfccc.int/sites/default/files/resource/A6.4-STAN-METH-004.pdf</vt:lpwstr>
      </vt:variant>
      <vt:variant>
        <vt:lpwstr/>
      </vt:variant>
      <vt:variant>
        <vt:i4>3276901</vt:i4>
      </vt:variant>
      <vt:variant>
        <vt:i4>618</vt:i4>
      </vt:variant>
      <vt:variant>
        <vt:i4>0</vt:i4>
      </vt:variant>
      <vt:variant>
        <vt:i4>5</vt:i4>
      </vt:variant>
      <vt:variant>
        <vt:lpwstr/>
      </vt:variant>
      <vt:variant>
        <vt:lpwstr>e27</vt:lpwstr>
      </vt:variant>
      <vt:variant>
        <vt:i4>3211365</vt:i4>
      </vt:variant>
      <vt:variant>
        <vt:i4>615</vt:i4>
      </vt:variant>
      <vt:variant>
        <vt:i4>0</vt:i4>
      </vt:variant>
      <vt:variant>
        <vt:i4>5</vt:i4>
      </vt:variant>
      <vt:variant>
        <vt:lpwstr/>
      </vt:variant>
      <vt:variant>
        <vt:lpwstr>e13</vt:lpwstr>
      </vt:variant>
      <vt:variant>
        <vt:i4>3211365</vt:i4>
      </vt:variant>
      <vt:variant>
        <vt:i4>612</vt:i4>
      </vt:variant>
      <vt:variant>
        <vt:i4>0</vt:i4>
      </vt:variant>
      <vt:variant>
        <vt:i4>5</vt:i4>
      </vt:variant>
      <vt:variant>
        <vt:lpwstr/>
      </vt:variant>
      <vt:variant>
        <vt:lpwstr>e12</vt:lpwstr>
      </vt:variant>
      <vt:variant>
        <vt:i4>3276901</vt:i4>
      </vt:variant>
      <vt:variant>
        <vt:i4>609</vt:i4>
      </vt:variant>
      <vt:variant>
        <vt:i4>0</vt:i4>
      </vt:variant>
      <vt:variant>
        <vt:i4>5</vt:i4>
      </vt:variant>
      <vt:variant>
        <vt:lpwstr/>
      </vt:variant>
      <vt:variant>
        <vt:lpwstr>e27</vt:lpwstr>
      </vt:variant>
      <vt:variant>
        <vt:i4>3211365</vt:i4>
      </vt:variant>
      <vt:variant>
        <vt:i4>606</vt:i4>
      </vt:variant>
      <vt:variant>
        <vt:i4>0</vt:i4>
      </vt:variant>
      <vt:variant>
        <vt:i4>5</vt:i4>
      </vt:variant>
      <vt:variant>
        <vt:lpwstr/>
      </vt:variant>
      <vt:variant>
        <vt:lpwstr>e13</vt:lpwstr>
      </vt:variant>
      <vt:variant>
        <vt:i4>3211365</vt:i4>
      </vt:variant>
      <vt:variant>
        <vt:i4>603</vt:i4>
      </vt:variant>
      <vt:variant>
        <vt:i4>0</vt:i4>
      </vt:variant>
      <vt:variant>
        <vt:i4>5</vt:i4>
      </vt:variant>
      <vt:variant>
        <vt:lpwstr/>
      </vt:variant>
      <vt:variant>
        <vt:lpwstr>e12</vt:lpwstr>
      </vt:variant>
      <vt:variant>
        <vt:i4>3276901</vt:i4>
      </vt:variant>
      <vt:variant>
        <vt:i4>600</vt:i4>
      </vt:variant>
      <vt:variant>
        <vt:i4>0</vt:i4>
      </vt:variant>
      <vt:variant>
        <vt:i4>5</vt:i4>
      </vt:variant>
      <vt:variant>
        <vt:lpwstr/>
      </vt:variant>
      <vt:variant>
        <vt:lpwstr>e27</vt:lpwstr>
      </vt:variant>
      <vt:variant>
        <vt:i4>3342437</vt:i4>
      </vt:variant>
      <vt:variant>
        <vt:i4>597</vt:i4>
      </vt:variant>
      <vt:variant>
        <vt:i4>0</vt:i4>
      </vt:variant>
      <vt:variant>
        <vt:i4>5</vt:i4>
      </vt:variant>
      <vt:variant>
        <vt:lpwstr/>
      </vt:variant>
      <vt:variant>
        <vt:lpwstr>e3</vt:lpwstr>
      </vt:variant>
      <vt:variant>
        <vt:i4>3276901</vt:i4>
      </vt:variant>
      <vt:variant>
        <vt:i4>594</vt:i4>
      </vt:variant>
      <vt:variant>
        <vt:i4>0</vt:i4>
      </vt:variant>
      <vt:variant>
        <vt:i4>5</vt:i4>
      </vt:variant>
      <vt:variant>
        <vt:lpwstr/>
      </vt:variant>
      <vt:variant>
        <vt:lpwstr>e2</vt:lpwstr>
      </vt:variant>
      <vt:variant>
        <vt:i4>3276901</vt:i4>
      </vt:variant>
      <vt:variant>
        <vt:i4>591</vt:i4>
      </vt:variant>
      <vt:variant>
        <vt:i4>0</vt:i4>
      </vt:variant>
      <vt:variant>
        <vt:i4>5</vt:i4>
      </vt:variant>
      <vt:variant>
        <vt:lpwstr/>
      </vt:variant>
      <vt:variant>
        <vt:lpwstr>e27</vt:lpwstr>
      </vt:variant>
      <vt:variant>
        <vt:i4>3342437</vt:i4>
      </vt:variant>
      <vt:variant>
        <vt:i4>588</vt:i4>
      </vt:variant>
      <vt:variant>
        <vt:i4>0</vt:i4>
      </vt:variant>
      <vt:variant>
        <vt:i4>5</vt:i4>
      </vt:variant>
      <vt:variant>
        <vt:lpwstr/>
      </vt:variant>
      <vt:variant>
        <vt:lpwstr>e3</vt:lpwstr>
      </vt:variant>
      <vt:variant>
        <vt:i4>3276901</vt:i4>
      </vt:variant>
      <vt:variant>
        <vt:i4>585</vt:i4>
      </vt:variant>
      <vt:variant>
        <vt:i4>0</vt:i4>
      </vt:variant>
      <vt:variant>
        <vt:i4>5</vt:i4>
      </vt:variant>
      <vt:variant>
        <vt:lpwstr/>
      </vt:variant>
      <vt:variant>
        <vt:lpwstr>e2</vt:lpwstr>
      </vt:variant>
      <vt:variant>
        <vt:i4>3211365</vt:i4>
      </vt:variant>
      <vt:variant>
        <vt:i4>582</vt:i4>
      </vt:variant>
      <vt:variant>
        <vt:i4>0</vt:i4>
      </vt:variant>
      <vt:variant>
        <vt:i4>5</vt:i4>
      </vt:variant>
      <vt:variant>
        <vt:lpwstr/>
      </vt:variant>
      <vt:variant>
        <vt:lpwstr>e1</vt:lpwstr>
      </vt:variant>
      <vt:variant>
        <vt:i4>3014694</vt:i4>
      </vt:variant>
      <vt:variant>
        <vt:i4>579</vt:i4>
      </vt:variant>
      <vt:variant>
        <vt:i4>0</vt:i4>
      </vt:variant>
      <vt:variant>
        <vt:i4>5</vt:i4>
      </vt:variant>
      <vt:variant>
        <vt:lpwstr>https://unfccc.int/sites/default/files/resource/A6.4-SBM017-A05.pdf</vt:lpwstr>
      </vt:variant>
      <vt:variant>
        <vt:lpwstr/>
      </vt:variant>
      <vt:variant>
        <vt:i4>196675</vt:i4>
      </vt:variant>
      <vt:variant>
        <vt:i4>576</vt:i4>
      </vt:variant>
      <vt:variant>
        <vt:i4>0</vt:i4>
      </vt:variant>
      <vt:variant>
        <vt:i4>5</vt:i4>
      </vt:variant>
      <vt:variant>
        <vt:lpwstr/>
      </vt:variant>
      <vt:variant>
        <vt:lpwstr>S1022</vt:lpwstr>
      </vt:variant>
      <vt:variant>
        <vt:i4>2097186</vt:i4>
      </vt:variant>
      <vt:variant>
        <vt:i4>573</vt:i4>
      </vt:variant>
      <vt:variant>
        <vt:i4>0</vt:i4>
      </vt:variant>
      <vt:variant>
        <vt:i4>5</vt:i4>
      </vt:variant>
      <vt:variant>
        <vt:lpwstr/>
      </vt:variant>
      <vt:variant>
        <vt:lpwstr>footnote11</vt:lpwstr>
      </vt:variant>
      <vt:variant>
        <vt:i4>3211365</vt:i4>
      </vt:variant>
      <vt:variant>
        <vt:i4>570</vt:i4>
      </vt:variant>
      <vt:variant>
        <vt:i4>0</vt:i4>
      </vt:variant>
      <vt:variant>
        <vt:i4>5</vt:i4>
      </vt:variant>
      <vt:variant>
        <vt:lpwstr/>
      </vt:variant>
      <vt:variant>
        <vt:lpwstr>e1</vt:lpwstr>
      </vt:variant>
      <vt:variant>
        <vt:i4>2097186</vt:i4>
      </vt:variant>
      <vt:variant>
        <vt:i4>567</vt:i4>
      </vt:variant>
      <vt:variant>
        <vt:i4>0</vt:i4>
      </vt:variant>
      <vt:variant>
        <vt:i4>5</vt:i4>
      </vt:variant>
      <vt:variant>
        <vt:lpwstr/>
      </vt:variant>
      <vt:variant>
        <vt:lpwstr>footnote11</vt:lpwstr>
      </vt:variant>
      <vt:variant>
        <vt:i4>196675</vt:i4>
      </vt:variant>
      <vt:variant>
        <vt:i4>564</vt:i4>
      </vt:variant>
      <vt:variant>
        <vt:i4>0</vt:i4>
      </vt:variant>
      <vt:variant>
        <vt:i4>5</vt:i4>
      </vt:variant>
      <vt:variant>
        <vt:lpwstr/>
      </vt:variant>
      <vt:variant>
        <vt:lpwstr>S1022</vt:lpwstr>
      </vt:variant>
      <vt:variant>
        <vt:i4>3604581</vt:i4>
      </vt:variant>
      <vt:variant>
        <vt:i4>561</vt:i4>
      </vt:variant>
      <vt:variant>
        <vt:i4>0</vt:i4>
      </vt:variant>
      <vt:variant>
        <vt:i4>5</vt:i4>
      </vt:variant>
      <vt:variant>
        <vt:lpwstr/>
      </vt:variant>
      <vt:variant>
        <vt:lpwstr>e7</vt:lpwstr>
      </vt:variant>
      <vt:variant>
        <vt:i4>3735649</vt:i4>
      </vt:variant>
      <vt:variant>
        <vt:i4>558</vt:i4>
      </vt:variant>
      <vt:variant>
        <vt:i4>0</vt:i4>
      </vt:variant>
      <vt:variant>
        <vt:i4>5</vt:i4>
      </vt:variant>
      <vt:variant>
        <vt:lpwstr/>
      </vt:variant>
      <vt:variant>
        <vt:lpwstr>A9</vt:lpwstr>
      </vt:variant>
      <vt:variant>
        <vt:i4>196675</vt:i4>
      </vt:variant>
      <vt:variant>
        <vt:i4>555</vt:i4>
      </vt:variant>
      <vt:variant>
        <vt:i4>0</vt:i4>
      </vt:variant>
      <vt:variant>
        <vt:i4>5</vt:i4>
      </vt:variant>
      <vt:variant>
        <vt:lpwstr/>
      </vt:variant>
      <vt:variant>
        <vt:lpwstr>S1022</vt:lpwstr>
      </vt:variant>
      <vt:variant>
        <vt:i4>3342437</vt:i4>
      </vt:variant>
      <vt:variant>
        <vt:i4>552</vt:i4>
      </vt:variant>
      <vt:variant>
        <vt:i4>0</vt:i4>
      </vt:variant>
      <vt:variant>
        <vt:i4>5</vt:i4>
      </vt:variant>
      <vt:variant>
        <vt:lpwstr/>
      </vt:variant>
      <vt:variant>
        <vt:lpwstr>e3</vt:lpwstr>
      </vt:variant>
      <vt:variant>
        <vt:i4>3211361</vt:i4>
      </vt:variant>
      <vt:variant>
        <vt:i4>549</vt:i4>
      </vt:variant>
      <vt:variant>
        <vt:i4>0</vt:i4>
      </vt:variant>
      <vt:variant>
        <vt:i4>5</vt:i4>
      </vt:variant>
      <vt:variant>
        <vt:lpwstr/>
      </vt:variant>
      <vt:variant>
        <vt:lpwstr>A1</vt:lpwstr>
      </vt:variant>
      <vt:variant>
        <vt:i4>3473505</vt:i4>
      </vt:variant>
      <vt:variant>
        <vt:i4>546</vt:i4>
      </vt:variant>
      <vt:variant>
        <vt:i4>0</vt:i4>
      </vt:variant>
      <vt:variant>
        <vt:i4>5</vt:i4>
      </vt:variant>
      <vt:variant>
        <vt:lpwstr/>
      </vt:variant>
      <vt:variant>
        <vt:lpwstr>A5</vt:lpwstr>
      </vt:variant>
      <vt:variant>
        <vt:i4>3342433</vt:i4>
      </vt:variant>
      <vt:variant>
        <vt:i4>543</vt:i4>
      </vt:variant>
      <vt:variant>
        <vt:i4>0</vt:i4>
      </vt:variant>
      <vt:variant>
        <vt:i4>5</vt:i4>
      </vt:variant>
      <vt:variant>
        <vt:lpwstr/>
      </vt:variant>
      <vt:variant>
        <vt:lpwstr>A3</vt:lpwstr>
      </vt:variant>
      <vt:variant>
        <vt:i4>3276897</vt:i4>
      </vt:variant>
      <vt:variant>
        <vt:i4>540</vt:i4>
      </vt:variant>
      <vt:variant>
        <vt:i4>0</vt:i4>
      </vt:variant>
      <vt:variant>
        <vt:i4>5</vt:i4>
      </vt:variant>
      <vt:variant>
        <vt:lpwstr/>
      </vt:variant>
      <vt:variant>
        <vt:lpwstr>A2</vt:lpwstr>
      </vt:variant>
      <vt:variant>
        <vt:i4>3211361</vt:i4>
      </vt:variant>
      <vt:variant>
        <vt:i4>537</vt:i4>
      </vt:variant>
      <vt:variant>
        <vt:i4>0</vt:i4>
      </vt:variant>
      <vt:variant>
        <vt:i4>5</vt:i4>
      </vt:variant>
      <vt:variant>
        <vt:lpwstr/>
      </vt:variant>
      <vt:variant>
        <vt:lpwstr>A10</vt:lpwstr>
      </vt:variant>
      <vt:variant>
        <vt:i4>70</vt:i4>
      </vt:variant>
      <vt:variant>
        <vt:i4>534</vt:i4>
      </vt:variant>
      <vt:variant>
        <vt:i4>0</vt:i4>
      </vt:variant>
      <vt:variant>
        <vt:i4>5</vt:i4>
      </vt:variant>
      <vt:variant>
        <vt:lpwstr/>
      </vt:variant>
      <vt:variant>
        <vt:lpwstr>S151</vt:lpwstr>
      </vt:variant>
      <vt:variant>
        <vt:i4>3211361</vt:i4>
      </vt:variant>
      <vt:variant>
        <vt:i4>531</vt:i4>
      </vt:variant>
      <vt:variant>
        <vt:i4>0</vt:i4>
      </vt:variant>
      <vt:variant>
        <vt:i4>5</vt:i4>
      </vt:variant>
      <vt:variant>
        <vt:lpwstr/>
      </vt:variant>
      <vt:variant>
        <vt:lpwstr>A1</vt:lpwstr>
      </vt:variant>
      <vt:variant>
        <vt:i4>3735667</vt:i4>
      </vt:variant>
      <vt:variant>
        <vt:i4>528</vt:i4>
      </vt:variant>
      <vt:variant>
        <vt:i4>0</vt:i4>
      </vt:variant>
      <vt:variant>
        <vt:i4>5</vt:i4>
      </vt:variant>
      <vt:variant>
        <vt:lpwstr/>
      </vt:variant>
      <vt:variant>
        <vt:lpwstr>S9</vt:lpwstr>
      </vt:variant>
      <vt:variant>
        <vt:i4>3735667</vt:i4>
      </vt:variant>
      <vt:variant>
        <vt:i4>525</vt:i4>
      </vt:variant>
      <vt:variant>
        <vt:i4>0</vt:i4>
      </vt:variant>
      <vt:variant>
        <vt:i4>5</vt:i4>
      </vt:variant>
      <vt:variant>
        <vt:lpwstr/>
      </vt:variant>
      <vt:variant>
        <vt:lpwstr>S9</vt:lpwstr>
      </vt:variant>
      <vt:variant>
        <vt:i4>7733299</vt:i4>
      </vt:variant>
      <vt:variant>
        <vt:i4>522</vt:i4>
      </vt:variant>
      <vt:variant>
        <vt:i4>0</vt:i4>
      </vt:variant>
      <vt:variant>
        <vt:i4>5</vt:i4>
      </vt:variant>
      <vt:variant>
        <vt:lpwstr>https://unfccc.int/sites/default/files/resource/A6.4-STAN-METH-004.pdf</vt:lpwstr>
      </vt:variant>
      <vt:variant>
        <vt:lpwstr/>
      </vt:variant>
      <vt:variant>
        <vt:i4>6160421</vt:i4>
      </vt:variant>
      <vt:variant>
        <vt:i4>510</vt:i4>
      </vt:variant>
      <vt:variant>
        <vt:i4>0</vt:i4>
      </vt:variant>
      <vt:variant>
        <vt:i4>5</vt:i4>
      </vt:variant>
      <vt:variant>
        <vt:lpwstr>https://unfccc.int/sites/default/files/resource/A6.4-MEP007_A01.pdf</vt:lpwstr>
      </vt:variant>
      <vt:variant>
        <vt:lpwstr/>
      </vt:variant>
      <vt:variant>
        <vt:i4>7405619</vt:i4>
      </vt:variant>
      <vt:variant>
        <vt:i4>507</vt:i4>
      </vt:variant>
      <vt:variant>
        <vt:i4>0</vt:i4>
      </vt:variant>
      <vt:variant>
        <vt:i4>5</vt:i4>
      </vt:variant>
      <vt:variant>
        <vt:lpwstr>https://unfccc.int/sites/default/files/resource/A6.4-STAN-METH-003.pdf</vt:lpwstr>
      </vt:variant>
      <vt:variant>
        <vt:lpwstr/>
      </vt:variant>
      <vt:variant>
        <vt:i4>7733299</vt:i4>
      </vt:variant>
      <vt:variant>
        <vt:i4>504</vt:i4>
      </vt:variant>
      <vt:variant>
        <vt:i4>0</vt:i4>
      </vt:variant>
      <vt:variant>
        <vt:i4>5</vt:i4>
      </vt:variant>
      <vt:variant>
        <vt:lpwstr>https://unfccc.int/sites/default/files/resource/A6.4-STAN-METH-004.pdf</vt:lpwstr>
      </vt:variant>
      <vt:variant>
        <vt:lpwstr/>
      </vt:variant>
      <vt:variant>
        <vt:i4>3735667</vt:i4>
      </vt:variant>
      <vt:variant>
        <vt:i4>138</vt:i4>
      </vt:variant>
      <vt:variant>
        <vt:i4>0</vt:i4>
      </vt:variant>
      <vt:variant>
        <vt:i4>5</vt:i4>
      </vt:variant>
      <vt:variant>
        <vt:lpwstr/>
      </vt:variant>
      <vt:variant>
        <vt:lpwstr>S9</vt:lpwstr>
      </vt:variant>
      <vt:variant>
        <vt:i4>3342349</vt:i4>
      </vt:variant>
      <vt:variant>
        <vt:i4>135</vt:i4>
      </vt:variant>
      <vt:variant>
        <vt:i4>0</vt:i4>
      </vt:variant>
      <vt:variant>
        <vt:i4>5</vt:i4>
      </vt:variant>
      <vt:variant>
        <vt:lpwstr>https://ir.library.oregonstate.edu/concern/technical_reports/2f75rj10q</vt:lpwstr>
      </vt:variant>
      <vt:variant>
        <vt:lpwstr/>
      </vt:variant>
      <vt:variant>
        <vt:i4>6946876</vt:i4>
      </vt:variant>
      <vt:variant>
        <vt:i4>132</vt:i4>
      </vt:variant>
      <vt:variant>
        <vt:i4>0</vt:i4>
      </vt:variant>
      <vt:variant>
        <vt:i4>5</vt:i4>
      </vt:variant>
      <vt:variant>
        <vt:lpwstr>https://doi.org/10.1038/s41467-021-26036-x</vt:lpwstr>
      </vt:variant>
      <vt:variant>
        <vt:lpwstr/>
      </vt:variant>
      <vt:variant>
        <vt:i4>4784205</vt:i4>
      </vt:variant>
      <vt:variant>
        <vt:i4>129</vt:i4>
      </vt:variant>
      <vt:variant>
        <vt:i4>0</vt:i4>
      </vt:variant>
      <vt:variant>
        <vt:i4>5</vt:i4>
      </vt:variant>
      <vt:variant>
        <vt:lpwstr>https://qsel.columbia.edu/assets/uploads/blog/2016/publications/energy-services-for-the-millennium-development-goals.pdf</vt:lpwstr>
      </vt:variant>
      <vt:variant>
        <vt:lpwstr/>
      </vt:variant>
      <vt:variant>
        <vt:i4>72</vt:i4>
      </vt:variant>
      <vt:variant>
        <vt:i4>126</vt:i4>
      </vt:variant>
      <vt:variant>
        <vt:i4>0</vt:i4>
      </vt:variant>
      <vt:variant>
        <vt:i4>5</vt:i4>
      </vt:variant>
      <vt:variant>
        <vt:lpwstr>https://www.ifc.org/content/dam/ifc/doc/2025/unlocking-social-and-environmental-impact-outcome-based-finance.pdf</vt:lpwstr>
      </vt:variant>
      <vt:variant>
        <vt:lpwstr/>
      </vt:variant>
      <vt:variant>
        <vt:i4>3211306</vt:i4>
      </vt:variant>
      <vt:variant>
        <vt:i4>123</vt:i4>
      </vt:variant>
      <vt:variant>
        <vt:i4>0</vt:i4>
      </vt:variant>
      <vt:variant>
        <vt:i4>5</vt:i4>
      </vt:variant>
      <vt:variant>
        <vt:lpwstr>https://www.iea.org/reports/a-vision-for-clean-cooking-access-for-all/executive-summary</vt:lpwstr>
      </vt:variant>
      <vt:variant>
        <vt:lpwstr/>
      </vt:variant>
      <vt:variant>
        <vt:i4>7602276</vt:i4>
      </vt:variant>
      <vt:variant>
        <vt:i4>120</vt:i4>
      </vt:variant>
      <vt:variant>
        <vt:i4>0</vt:i4>
      </vt:variant>
      <vt:variant>
        <vt:i4>5</vt:i4>
      </vt:variant>
      <vt:variant>
        <vt:lpwstr>https://cdm.unfccc.int/Sunset_CMS_ControlledSlots/public_inputs/sunsetcms/storage/contents/stored-file-20240624161613578/Report_on_Updated_fNRB_Values_20 June 2024.pdf</vt:lpwstr>
      </vt:variant>
      <vt:variant>
        <vt:lpwstr/>
      </vt:variant>
      <vt:variant>
        <vt:i4>852004</vt:i4>
      </vt:variant>
      <vt:variant>
        <vt:i4>117</vt:i4>
      </vt:variant>
      <vt:variant>
        <vt:i4>0</vt:i4>
      </vt:variant>
      <vt:variant>
        <vt:i4>5</vt:i4>
      </vt:variant>
      <vt:variant>
        <vt:lpwstr>https://cleancooking.org/wp-content/uploads/2025/03/Berkeley-Air-Research-Frief_Hawthorne-Effect-Investigation.pdf</vt:lpwstr>
      </vt:variant>
      <vt:variant>
        <vt:lpwstr/>
      </vt:variant>
      <vt:variant>
        <vt:i4>327774</vt:i4>
      </vt:variant>
      <vt:variant>
        <vt:i4>114</vt:i4>
      </vt:variant>
      <vt:variant>
        <vt:i4>0</vt:i4>
      </vt:variant>
      <vt:variant>
        <vt:i4>5</vt:i4>
      </vt:variant>
      <vt:variant>
        <vt:lpwstr>https://doi.org/10.1017/9781009157896.009</vt:lpwstr>
      </vt:variant>
      <vt:variant>
        <vt:lpwstr/>
      </vt:variant>
      <vt:variant>
        <vt:i4>8192056</vt:i4>
      </vt:variant>
      <vt:variant>
        <vt:i4>111</vt:i4>
      </vt:variant>
      <vt:variant>
        <vt:i4>0</vt:i4>
      </vt:variant>
      <vt:variant>
        <vt:i4>5</vt:i4>
      </vt:variant>
      <vt:variant>
        <vt:lpwstr>https://doi.org/10.1007/BF00708189</vt:lpwstr>
      </vt:variant>
      <vt:variant>
        <vt:lpwstr/>
      </vt:variant>
      <vt:variant>
        <vt:i4>5701708</vt:i4>
      </vt:variant>
      <vt:variant>
        <vt:i4>108</vt:i4>
      </vt:variant>
      <vt:variant>
        <vt:i4>0</vt:i4>
      </vt:variant>
      <vt:variant>
        <vt:i4>5</vt:i4>
      </vt:variant>
      <vt:variant>
        <vt:lpwstr>https://doi.org/10.1088/1748-9326/acb501</vt:lpwstr>
      </vt:variant>
      <vt:variant>
        <vt:lpwstr/>
      </vt:variant>
      <vt:variant>
        <vt:i4>720969</vt:i4>
      </vt:variant>
      <vt:variant>
        <vt:i4>105</vt:i4>
      </vt:variant>
      <vt:variant>
        <vt:i4>0</vt:i4>
      </vt:variant>
      <vt:variant>
        <vt:i4>5</vt:i4>
      </vt:variant>
      <vt:variant>
        <vt:lpwstr>https://doi.org/10.5194/acp-10-565-2010h</vt:lpwstr>
      </vt:variant>
      <vt:variant>
        <vt:lpwstr/>
      </vt:variant>
      <vt:variant>
        <vt:i4>4849752</vt:i4>
      </vt:variant>
      <vt:variant>
        <vt:i4>102</vt:i4>
      </vt:variant>
      <vt:variant>
        <vt:i4>0</vt:i4>
      </vt:variant>
      <vt:variant>
        <vt:i4>5</vt:i4>
      </vt:variant>
      <vt:variant>
        <vt:lpwstr>https://doi.org/10.5194/acp-11-4039-2011</vt:lpwstr>
      </vt:variant>
      <vt:variant>
        <vt:lpwstr/>
      </vt:variant>
      <vt:variant>
        <vt:i4>4718672</vt:i4>
      </vt:variant>
      <vt:variant>
        <vt:i4>99</vt:i4>
      </vt:variant>
      <vt:variant>
        <vt:i4>0</vt:i4>
      </vt:variant>
      <vt:variant>
        <vt:i4>5</vt:i4>
      </vt:variant>
      <vt:variant>
        <vt:lpwstr>http://documents.worldbank.org/curated/en/381751639456530686</vt:lpwstr>
      </vt:variant>
      <vt:variant>
        <vt:lpwstr/>
      </vt:variant>
      <vt:variant>
        <vt:i4>2031653</vt:i4>
      </vt:variant>
      <vt:variant>
        <vt:i4>96</vt:i4>
      </vt:variant>
      <vt:variant>
        <vt:i4>0</vt:i4>
      </vt:variant>
      <vt:variant>
        <vt:i4>5</vt:i4>
      </vt:variant>
      <vt:variant>
        <vt:lpwstr>https://unstats.un.org/unsd/hhsurveys/pdf/household_surveys.pdf</vt:lpwstr>
      </vt:variant>
      <vt:variant>
        <vt:lpwstr/>
      </vt:variant>
      <vt:variant>
        <vt:i4>2162738</vt:i4>
      </vt:variant>
      <vt:variant>
        <vt:i4>93</vt:i4>
      </vt:variant>
      <vt:variant>
        <vt:i4>0</vt:i4>
      </vt:variant>
      <vt:variant>
        <vt:i4>5</vt:i4>
      </vt:variant>
      <vt:variant>
        <vt:lpwstr>https://doi.org/10.1038/s41893-023-01259-6</vt:lpwstr>
      </vt:variant>
      <vt:variant>
        <vt:lpwstr/>
      </vt:variant>
      <vt:variant>
        <vt:i4>8126520</vt:i4>
      </vt:variant>
      <vt:variant>
        <vt:i4>90</vt:i4>
      </vt:variant>
      <vt:variant>
        <vt:i4>0</vt:i4>
      </vt:variant>
      <vt:variant>
        <vt:i4>5</vt:i4>
      </vt:variant>
      <vt:variant>
        <vt:lpwstr>https://gspp.berkeley.edu/research-and-impact/centers/cepp/projects/berkeley-carbon-trading-project/cookstoves/recommendations</vt:lpwstr>
      </vt:variant>
      <vt:variant>
        <vt:lpwstr/>
      </vt:variant>
      <vt:variant>
        <vt:i4>65627</vt:i4>
      </vt:variant>
      <vt:variant>
        <vt:i4>87</vt:i4>
      </vt:variant>
      <vt:variant>
        <vt:i4>0</vt:i4>
      </vt:variant>
      <vt:variant>
        <vt:i4>5</vt:i4>
      </vt:variant>
      <vt:variant>
        <vt:lpwstr>https://globalgoals.goldstandard.org/407-3-tpddtec-survey-questionnaire/</vt:lpwstr>
      </vt:variant>
      <vt:variant>
        <vt:lpwstr/>
      </vt:variant>
      <vt:variant>
        <vt:i4>4325449</vt:i4>
      </vt:variant>
      <vt:variant>
        <vt:i4>84</vt:i4>
      </vt:variant>
      <vt:variant>
        <vt:i4>0</vt:i4>
      </vt:variant>
      <vt:variant>
        <vt:i4>5</vt:i4>
      </vt:variant>
      <vt:variant>
        <vt:lpwstr>https://globalgoals.goldstandard.org/431-1-mecd-survey-questionnaire/</vt:lpwstr>
      </vt:variant>
      <vt:variant>
        <vt:lpwstr/>
      </vt:variant>
      <vt:variant>
        <vt:i4>5439514</vt:i4>
      </vt:variant>
      <vt:variant>
        <vt:i4>81</vt:i4>
      </vt:variant>
      <vt:variant>
        <vt:i4>0</vt:i4>
      </vt:variant>
      <vt:variant>
        <vt:i4>5</vt:i4>
      </vt:variant>
      <vt:variant>
        <vt:lpwstr>https://unstats.un.org/unsd/demographic/sources/surveys/handbook23june05.pdf</vt:lpwstr>
      </vt:variant>
      <vt:variant>
        <vt:lpwstr/>
      </vt:variant>
      <vt:variant>
        <vt:i4>7995500</vt:i4>
      </vt:variant>
      <vt:variant>
        <vt:i4>78</vt:i4>
      </vt:variant>
      <vt:variant>
        <vt:i4>0</vt:i4>
      </vt:variant>
      <vt:variant>
        <vt:i4>5</vt:i4>
      </vt:variant>
      <vt:variant>
        <vt:lpwstr>https://cleancooking.org/reports-and-tools/reducing-fuel-stacking-a-survey-tool-for-the-clean-cooking-industry/</vt:lpwstr>
      </vt:variant>
      <vt:variant>
        <vt:lpwstr/>
      </vt:variant>
      <vt:variant>
        <vt:i4>6684770</vt:i4>
      </vt:variant>
      <vt:variant>
        <vt:i4>75</vt:i4>
      </vt:variant>
      <vt:variant>
        <vt:i4>0</vt:i4>
      </vt:variant>
      <vt:variant>
        <vt:i4>5</vt:i4>
      </vt:variant>
      <vt:variant>
        <vt:lpwstr>https://cleancooking.org/news/cca-launches-principles-for-responsible-carbon-finance-in-clean-cooking/</vt:lpwstr>
      </vt:variant>
      <vt:variant>
        <vt:lpwstr/>
      </vt:variant>
      <vt:variant>
        <vt:i4>6619197</vt:i4>
      </vt:variant>
      <vt:variant>
        <vt:i4>72</vt:i4>
      </vt:variant>
      <vt:variant>
        <vt:i4>0</vt:i4>
      </vt:variant>
      <vt:variant>
        <vt:i4>5</vt:i4>
      </vt:variant>
      <vt:variant>
        <vt:lpwstr>https://www.seforall.org/mini-grids-emissions-tool</vt:lpwstr>
      </vt:variant>
      <vt:variant>
        <vt:lpwstr/>
      </vt:variant>
      <vt:variant>
        <vt:i4>6488184</vt:i4>
      </vt:variant>
      <vt:variant>
        <vt:i4>69</vt:i4>
      </vt:variant>
      <vt:variant>
        <vt:i4>0</vt:i4>
      </vt:variant>
      <vt:variant>
        <vt:i4>5</vt:i4>
      </vt:variant>
      <vt:variant>
        <vt:lpwstr>https://www.mofuss.unam.mx/</vt:lpwstr>
      </vt:variant>
      <vt:variant>
        <vt:lpwstr/>
      </vt:variant>
      <vt:variant>
        <vt:i4>7995448</vt:i4>
      </vt:variant>
      <vt:variant>
        <vt:i4>66</vt:i4>
      </vt:variant>
      <vt:variant>
        <vt:i4>0</vt:i4>
      </vt:variant>
      <vt:variant>
        <vt:i4>5</vt:i4>
      </vt:variant>
      <vt:variant>
        <vt:lpwstr>https://cleancooking.org/protocols/</vt:lpwstr>
      </vt:variant>
      <vt:variant>
        <vt:lpwstr/>
      </vt:variant>
      <vt:variant>
        <vt:i4>6815800</vt:i4>
      </vt:variant>
      <vt:variant>
        <vt:i4>63</vt:i4>
      </vt:variant>
      <vt:variant>
        <vt:i4>0</vt:i4>
      </vt:variant>
      <vt:variant>
        <vt:i4>5</vt:i4>
      </vt:variant>
      <vt:variant>
        <vt:lpwstr>https://www.iso.org/standard/66519.html</vt:lpwstr>
      </vt:variant>
      <vt:variant>
        <vt:lpwstr/>
      </vt:variant>
      <vt:variant>
        <vt:i4>3145783</vt:i4>
      </vt:variant>
      <vt:variant>
        <vt:i4>60</vt:i4>
      </vt:variant>
      <vt:variant>
        <vt:i4>0</vt:i4>
      </vt:variant>
      <vt:variant>
        <vt:i4>5</vt:i4>
      </vt:variant>
      <vt:variant>
        <vt:lpwstr>https://www.ipcc.ch/report/2019-refinement-to-the-2006-ipcc-guidelines-for-national-greenhouse-gas-inventories/</vt:lpwstr>
      </vt:variant>
      <vt:variant>
        <vt:lpwstr/>
      </vt:variant>
      <vt:variant>
        <vt:i4>4456520</vt:i4>
      </vt:variant>
      <vt:variant>
        <vt:i4>57</vt:i4>
      </vt:variant>
      <vt:variant>
        <vt:i4>0</vt:i4>
      </vt:variant>
      <vt:variant>
        <vt:i4>5</vt:i4>
      </vt:variant>
      <vt:variant>
        <vt:lpwstr>https://cdm.unfccc.int/methodologies/PAmethodologies/tools/am-tool-33-v3.pdf</vt:lpwstr>
      </vt:variant>
      <vt:variant>
        <vt:lpwstr/>
      </vt:variant>
      <vt:variant>
        <vt:i4>7995448</vt:i4>
      </vt:variant>
      <vt:variant>
        <vt:i4>54</vt:i4>
      </vt:variant>
      <vt:variant>
        <vt:i4>0</vt:i4>
      </vt:variant>
      <vt:variant>
        <vt:i4>5</vt:i4>
      </vt:variant>
      <vt:variant>
        <vt:lpwstr>https://cleancooking.org/protocols/</vt:lpwstr>
      </vt:variant>
      <vt:variant>
        <vt:lpwstr/>
      </vt:variant>
      <vt:variant>
        <vt:i4>2162795</vt:i4>
      </vt:variant>
      <vt:variant>
        <vt:i4>51</vt:i4>
      </vt:variant>
      <vt:variant>
        <vt:i4>0</vt:i4>
      </vt:variant>
      <vt:variant>
        <vt:i4>5</vt:i4>
      </vt:variant>
      <vt:variant>
        <vt:lpwstr>https://unfccc.int/process-and-meetings/bodies/constituted-bodies/article-64-supervisory-body/rules-and-regulations</vt:lpwstr>
      </vt:variant>
      <vt:variant>
        <vt:lpwstr>Tools</vt:lpwstr>
      </vt:variant>
      <vt:variant>
        <vt:i4>7733299</vt:i4>
      </vt:variant>
      <vt:variant>
        <vt:i4>48</vt:i4>
      </vt:variant>
      <vt:variant>
        <vt:i4>0</vt:i4>
      </vt:variant>
      <vt:variant>
        <vt:i4>5</vt:i4>
      </vt:variant>
      <vt:variant>
        <vt:lpwstr>https://unfccc.int/sites/default/files/resource/A6.4-STAN-METH-004.pdf</vt:lpwstr>
      </vt:variant>
      <vt:variant>
        <vt:lpwstr/>
      </vt:variant>
      <vt:variant>
        <vt:i4>7405619</vt:i4>
      </vt:variant>
      <vt:variant>
        <vt:i4>45</vt:i4>
      </vt:variant>
      <vt:variant>
        <vt:i4>0</vt:i4>
      </vt:variant>
      <vt:variant>
        <vt:i4>5</vt:i4>
      </vt:variant>
      <vt:variant>
        <vt:lpwstr>https://unfccc.int/sites/default/files/resource/A6.4-STAN-METH-003.pdf</vt:lpwstr>
      </vt:variant>
      <vt:variant>
        <vt:lpwstr/>
      </vt:variant>
      <vt:variant>
        <vt:i4>3211379</vt:i4>
      </vt:variant>
      <vt:variant>
        <vt:i4>42</vt:i4>
      </vt:variant>
      <vt:variant>
        <vt:i4>0</vt:i4>
      </vt:variant>
      <vt:variant>
        <vt:i4>5</vt:i4>
      </vt:variant>
      <vt:variant>
        <vt:lpwstr/>
      </vt:variant>
      <vt:variant>
        <vt:lpwstr>S14</vt:lpwstr>
      </vt:variant>
      <vt:variant>
        <vt:i4>3407969</vt:i4>
      </vt:variant>
      <vt:variant>
        <vt:i4>39</vt:i4>
      </vt:variant>
      <vt:variant>
        <vt:i4>0</vt:i4>
      </vt:variant>
      <vt:variant>
        <vt:i4>5</vt:i4>
      </vt:variant>
      <vt:variant>
        <vt:lpwstr/>
      </vt:variant>
      <vt:variant>
        <vt:lpwstr>A4</vt:lpwstr>
      </vt:variant>
      <vt:variant>
        <vt:i4>327747</vt:i4>
      </vt:variant>
      <vt:variant>
        <vt:i4>36</vt:i4>
      </vt:variant>
      <vt:variant>
        <vt:i4>0</vt:i4>
      </vt:variant>
      <vt:variant>
        <vt:i4>5</vt:i4>
      </vt:variant>
      <vt:variant>
        <vt:lpwstr/>
      </vt:variant>
      <vt:variant>
        <vt:lpwstr>S104</vt:lpwstr>
      </vt:variant>
      <vt:variant>
        <vt:i4>3211361</vt:i4>
      </vt:variant>
      <vt:variant>
        <vt:i4>0</vt:i4>
      </vt:variant>
      <vt:variant>
        <vt:i4>0</vt:i4>
      </vt:variant>
      <vt:variant>
        <vt:i4>5</vt:i4>
      </vt:variant>
      <vt:variant>
        <vt:lpwstr/>
      </vt:variant>
      <vt:variant>
        <vt:lpwstr>A1</vt:lpwstr>
      </vt:variant>
      <vt:variant>
        <vt:i4>3014694</vt:i4>
      </vt:variant>
      <vt:variant>
        <vt:i4>0</vt:i4>
      </vt:variant>
      <vt:variant>
        <vt:i4>0</vt:i4>
      </vt:variant>
      <vt:variant>
        <vt:i4>5</vt:i4>
      </vt:variant>
      <vt:variant>
        <vt:lpwstr>https://unfccc.int/sites/default/files/resource/A6.4-SBM017-A05.pdf</vt:lpwstr>
      </vt:variant>
      <vt:variant>
        <vt:lpwstr/>
      </vt:variant>
      <vt:variant>
        <vt:i4>4259936</vt:i4>
      </vt:variant>
      <vt:variant>
        <vt:i4>45</vt:i4>
      </vt:variant>
      <vt:variant>
        <vt:i4>0</vt:i4>
      </vt:variant>
      <vt:variant>
        <vt:i4>5</vt:i4>
      </vt:variant>
      <vt:variant>
        <vt:lpwstr>mailto:EDerby@unfoundation.org</vt:lpwstr>
      </vt:variant>
      <vt:variant>
        <vt:lpwstr/>
      </vt:variant>
      <vt:variant>
        <vt:i4>4259936</vt:i4>
      </vt:variant>
      <vt:variant>
        <vt:i4>42</vt:i4>
      </vt:variant>
      <vt:variant>
        <vt:i4>0</vt:i4>
      </vt:variant>
      <vt:variant>
        <vt:i4>5</vt:i4>
      </vt:variant>
      <vt:variant>
        <vt:lpwstr>mailto:EDerby@unfoundation.org</vt:lpwstr>
      </vt:variant>
      <vt:variant>
        <vt:lpwstr/>
      </vt:variant>
      <vt:variant>
        <vt:i4>4259936</vt:i4>
      </vt:variant>
      <vt:variant>
        <vt:i4>39</vt:i4>
      </vt:variant>
      <vt:variant>
        <vt:i4>0</vt:i4>
      </vt:variant>
      <vt:variant>
        <vt:i4>5</vt:i4>
      </vt:variant>
      <vt:variant>
        <vt:lpwstr>mailto:EDerby@unfoundation.org</vt:lpwstr>
      </vt:variant>
      <vt:variant>
        <vt:lpwstr/>
      </vt:variant>
      <vt:variant>
        <vt:i4>4259936</vt:i4>
      </vt:variant>
      <vt:variant>
        <vt:i4>36</vt:i4>
      </vt:variant>
      <vt:variant>
        <vt:i4>0</vt:i4>
      </vt:variant>
      <vt:variant>
        <vt:i4>5</vt:i4>
      </vt:variant>
      <vt:variant>
        <vt:lpwstr>mailto:EDerby@unfoundation.org</vt:lpwstr>
      </vt:variant>
      <vt:variant>
        <vt:lpwstr/>
      </vt:variant>
      <vt:variant>
        <vt:i4>4259936</vt:i4>
      </vt:variant>
      <vt:variant>
        <vt:i4>33</vt:i4>
      </vt:variant>
      <vt:variant>
        <vt:i4>0</vt:i4>
      </vt:variant>
      <vt:variant>
        <vt:i4>5</vt:i4>
      </vt:variant>
      <vt:variant>
        <vt:lpwstr>mailto:EDerby@unfoundation.org</vt:lpwstr>
      </vt:variant>
      <vt:variant>
        <vt:lpwstr/>
      </vt:variant>
      <vt:variant>
        <vt:i4>4259936</vt:i4>
      </vt:variant>
      <vt:variant>
        <vt:i4>30</vt:i4>
      </vt:variant>
      <vt:variant>
        <vt:i4>0</vt:i4>
      </vt:variant>
      <vt:variant>
        <vt:i4>5</vt:i4>
      </vt:variant>
      <vt:variant>
        <vt:lpwstr>mailto:EDerby@unfoundation.org</vt:lpwstr>
      </vt:variant>
      <vt:variant>
        <vt:lpwstr/>
      </vt:variant>
      <vt:variant>
        <vt:i4>4259936</vt:i4>
      </vt:variant>
      <vt:variant>
        <vt:i4>27</vt:i4>
      </vt:variant>
      <vt:variant>
        <vt:i4>0</vt:i4>
      </vt:variant>
      <vt:variant>
        <vt:i4>5</vt:i4>
      </vt:variant>
      <vt:variant>
        <vt:lpwstr>mailto:EDerby@unfoundation.org</vt:lpwstr>
      </vt:variant>
      <vt:variant>
        <vt:lpwstr/>
      </vt:variant>
      <vt:variant>
        <vt:i4>4259936</vt:i4>
      </vt:variant>
      <vt:variant>
        <vt:i4>24</vt:i4>
      </vt:variant>
      <vt:variant>
        <vt:i4>0</vt:i4>
      </vt:variant>
      <vt:variant>
        <vt:i4>5</vt:i4>
      </vt:variant>
      <vt:variant>
        <vt:lpwstr>mailto:EDerby@unfoundation.org</vt:lpwstr>
      </vt:variant>
      <vt:variant>
        <vt:lpwstr/>
      </vt:variant>
      <vt:variant>
        <vt:i4>3997716</vt:i4>
      </vt:variant>
      <vt:variant>
        <vt:i4>21</vt:i4>
      </vt:variant>
      <vt:variant>
        <vt:i4>0</vt:i4>
      </vt:variant>
      <vt:variant>
        <vt:i4>5</vt:i4>
      </vt:variant>
      <vt:variant>
        <vt:lpwstr>mailto:spluymaekers@unfoundation.org</vt:lpwstr>
      </vt:variant>
      <vt:variant>
        <vt:lpwstr/>
      </vt:variant>
      <vt:variant>
        <vt:i4>3670025</vt:i4>
      </vt:variant>
      <vt:variant>
        <vt:i4>18</vt:i4>
      </vt:variant>
      <vt:variant>
        <vt:i4>0</vt:i4>
      </vt:variant>
      <vt:variant>
        <vt:i4>5</vt:i4>
      </vt:variant>
      <vt:variant>
        <vt:lpwstr>mailto:JVargas@unfoundation.org</vt:lpwstr>
      </vt:variant>
      <vt:variant>
        <vt:lpwstr/>
      </vt:variant>
      <vt:variant>
        <vt:i4>3997716</vt:i4>
      </vt:variant>
      <vt:variant>
        <vt:i4>15</vt:i4>
      </vt:variant>
      <vt:variant>
        <vt:i4>0</vt:i4>
      </vt:variant>
      <vt:variant>
        <vt:i4>5</vt:i4>
      </vt:variant>
      <vt:variant>
        <vt:lpwstr>mailto:spluymaekers@unfoundation.org</vt:lpwstr>
      </vt:variant>
      <vt:variant>
        <vt:lpwstr/>
      </vt:variant>
      <vt:variant>
        <vt:i4>3997716</vt:i4>
      </vt:variant>
      <vt:variant>
        <vt:i4>12</vt:i4>
      </vt:variant>
      <vt:variant>
        <vt:i4>0</vt:i4>
      </vt:variant>
      <vt:variant>
        <vt:i4>5</vt:i4>
      </vt:variant>
      <vt:variant>
        <vt:lpwstr>mailto:spluymaekers@unfoundation.org</vt:lpwstr>
      </vt:variant>
      <vt:variant>
        <vt:lpwstr/>
      </vt:variant>
      <vt:variant>
        <vt:i4>3670025</vt:i4>
      </vt:variant>
      <vt:variant>
        <vt:i4>9</vt:i4>
      </vt:variant>
      <vt:variant>
        <vt:i4>0</vt:i4>
      </vt:variant>
      <vt:variant>
        <vt:i4>5</vt:i4>
      </vt:variant>
      <vt:variant>
        <vt:lpwstr>mailto:JVargas@unfoundation.org</vt:lpwstr>
      </vt:variant>
      <vt:variant>
        <vt:lpwstr/>
      </vt:variant>
      <vt:variant>
        <vt:i4>3997716</vt:i4>
      </vt:variant>
      <vt:variant>
        <vt:i4>6</vt:i4>
      </vt:variant>
      <vt:variant>
        <vt:i4>0</vt:i4>
      </vt:variant>
      <vt:variant>
        <vt:i4>5</vt:i4>
      </vt:variant>
      <vt:variant>
        <vt:lpwstr>mailto:spluymaekers@unfoundation.org</vt:lpwstr>
      </vt:variant>
      <vt:variant>
        <vt:lpwstr/>
      </vt:variant>
      <vt:variant>
        <vt:i4>3670025</vt:i4>
      </vt:variant>
      <vt:variant>
        <vt:i4>3</vt:i4>
      </vt:variant>
      <vt:variant>
        <vt:i4>0</vt:i4>
      </vt:variant>
      <vt:variant>
        <vt:i4>5</vt:i4>
      </vt:variant>
      <vt:variant>
        <vt:lpwstr>mailto:JVargas@unfoundation.org</vt:lpwstr>
      </vt:variant>
      <vt:variant>
        <vt:lpwstr/>
      </vt:variant>
      <vt:variant>
        <vt:i4>3670025</vt:i4>
      </vt:variant>
      <vt:variant>
        <vt:i4>0</vt:i4>
      </vt:variant>
      <vt:variant>
        <vt:i4>0</vt:i4>
      </vt:variant>
      <vt:variant>
        <vt:i4>5</vt:i4>
      </vt:variant>
      <vt:variant>
        <vt:lpwstr>mailto:JVargas@unfoundation.org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A6.4-FORM-METH-002</dc:title>
  <dc:subject/>
  <dc:creator>Joyce Malnaric</dc:creator>
  <cp:keywords/>
  <cp:lastModifiedBy>Elisa Derby</cp:lastModifiedBy>
  <cp:revision>5</cp:revision>
  <cp:lastPrinted>2025-08-19T17:31:00Z</cp:lastPrinted>
  <dcterms:created xsi:type="dcterms:W3CDTF">2025-08-28T20:14:00Z</dcterms:created>
  <dcterms:modified xsi:type="dcterms:W3CDTF">2025-08-28T20:31:00Z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0x01010064EBBAFDD59EBB43958D4E5C6BE95E5C</vt:lpwstr>
  </property>
  <property fmtid="{D5CDD505-2E9C-101B-9397-08002B2CF9AE}" pid="3" name="MediaServiceImageTags">
    <vt:lpwstr/>
  </property>
</Properties>
</file>