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8727" w14:textId="77777777" w:rsidR="005E1D5D" w:rsidRPr="00972085" w:rsidRDefault="005E1D5D" w:rsidP="005E1D5D">
      <w:pPr>
        <w:pStyle w:val="Header"/>
        <w:rPr>
          <w:sz w:val="2"/>
          <w:szCs w:val="2"/>
          <w:lang w:val="en-US"/>
        </w:rPr>
      </w:pPr>
    </w:p>
    <w:p w14:paraId="53EDB5AA" w14:textId="77777777" w:rsidR="005E1D5D" w:rsidRPr="00972085" w:rsidRDefault="005E1D5D" w:rsidP="005E1D5D">
      <w:pPr>
        <w:pStyle w:val="Header"/>
        <w:spacing w:line="14" w:lineRule="exact"/>
        <w:rPr>
          <w:sz w:val="4"/>
          <w:szCs w:val="4"/>
          <w:lang w:val="en-US"/>
        </w:rPr>
      </w:pPr>
    </w:p>
    <w:tbl>
      <w:tblPr>
        <w:tblW w:w="15877" w:type="dxa"/>
        <w:tblInd w:w="-370" w:type="dxa"/>
        <w:shd w:val="clear" w:color="auto" w:fill="E0E0E0"/>
        <w:tblLayout w:type="fixed"/>
        <w:tblCellMar>
          <w:left w:w="56" w:type="dxa"/>
          <w:right w:w="56" w:type="dxa"/>
        </w:tblCellMar>
        <w:tblLook w:val="0000" w:firstRow="0" w:lastRow="0" w:firstColumn="0" w:lastColumn="0" w:noHBand="0" w:noVBand="0"/>
      </w:tblPr>
      <w:tblGrid>
        <w:gridCol w:w="4821"/>
        <w:gridCol w:w="11056"/>
      </w:tblGrid>
      <w:tr w:rsidR="005C5581" w:rsidRPr="005C5581" w14:paraId="7D5C793B" w14:textId="77777777" w:rsidTr="00DB0167">
        <w:trPr>
          <w:cantSplit/>
          <w:trHeight w:val="953"/>
        </w:trPr>
        <w:tc>
          <w:tcPr>
            <w:tcW w:w="15877" w:type="dxa"/>
            <w:gridSpan w:val="2"/>
            <w:tcBorders>
              <w:top w:val="single" w:sz="4" w:space="0" w:color="auto"/>
              <w:left w:val="single" w:sz="4" w:space="0" w:color="auto"/>
              <w:bottom w:val="single" w:sz="4" w:space="0" w:color="auto"/>
              <w:right w:val="single" w:sz="4" w:space="0" w:color="auto"/>
            </w:tcBorders>
            <w:vAlign w:val="center"/>
          </w:tcPr>
          <w:p w14:paraId="57980E8D" w14:textId="6D683AA7" w:rsidR="005C5581" w:rsidRPr="005C5581" w:rsidRDefault="000372B5" w:rsidP="005C5581">
            <w:pPr>
              <w:ind w:left="86"/>
              <w:jc w:val="left"/>
              <w:rPr>
                <w:rFonts w:ascii="Times New Roman" w:hAnsi="Times New Roman" w:cs="Times New Roman"/>
                <w:b/>
                <w:sz w:val="24"/>
                <w:szCs w:val="20"/>
              </w:rPr>
            </w:pPr>
            <w:r>
              <w:rPr>
                <w:rFonts w:ascii="Times New Roman" w:hAnsi="Times New Roman" w:cs="Times New Roman"/>
                <w:noProof/>
                <w:sz w:val="24"/>
                <w:szCs w:val="20"/>
              </w:rPr>
              <w:drawing>
                <wp:anchor distT="0" distB="0" distL="114300" distR="114300" simplePos="0" relativeHeight="251658240" behindDoc="0" locked="0" layoutInCell="1" allowOverlap="0" wp14:anchorId="0D4047F2" wp14:editId="7CA552D9">
                  <wp:simplePos x="0" y="0"/>
                  <wp:positionH relativeFrom="column">
                    <wp:posOffset>223520</wp:posOffset>
                  </wp:positionH>
                  <wp:positionV relativeFrom="paragraph">
                    <wp:posOffset>62865</wp:posOffset>
                  </wp:positionV>
                  <wp:extent cx="571500" cy="457200"/>
                  <wp:effectExtent l="0" t="0" r="0" b="0"/>
                  <wp:wrapNone/>
                  <wp:docPr id="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0"/>
              </w:rPr>
              <mc:AlternateContent>
                <mc:Choice Requires="wps">
                  <w:drawing>
                    <wp:anchor distT="0" distB="0" distL="114300" distR="114300" simplePos="0" relativeHeight="251657216" behindDoc="0" locked="0" layoutInCell="0" allowOverlap="1" wp14:anchorId="7614CFE0" wp14:editId="04252F7A">
                      <wp:simplePos x="0" y="0"/>
                      <wp:positionH relativeFrom="column">
                        <wp:posOffset>3321050</wp:posOffset>
                      </wp:positionH>
                      <wp:positionV relativeFrom="paragraph">
                        <wp:posOffset>92075</wp:posOffset>
                      </wp:positionV>
                      <wp:extent cx="4678680" cy="478155"/>
                      <wp:effectExtent l="3175" t="0" r="444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4CFE0" id="_x0000_t202" coordsize="21600,21600" o:spt="202" path="m,l,21600r21600,l21600,xe">
                      <v:stroke joinstyle="miter"/>
                      <v:path gradientshapeok="t" o:connecttype="rect"/>
                    </v:shapetype>
                    <v:shape id="Text Box 4" o:spid="_x0000_s1026" type="#_x0000_t202" style="position:absolute;left:0;text-align:left;margin-left:261.5pt;margin-top:7.25pt;width:368.4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" o:allowincell="f" filled="f" stroked="f">
                      <v:textbox>
                        <w:txbxContent>
                          <w:p w14:paraId="1777B0B9" w14:textId="11BCACF4" w:rsidR="005C5581" w:rsidRDefault="005C5581" w:rsidP="005C5581">
                            <w:pPr>
                              <w:jc w:val="center"/>
                              <w:rPr>
                                <w:b/>
                                <w:sz w:val="20"/>
                              </w:rPr>
                            </w:pPr>
                            <w:r>
                              <w:rPr>
                                <w:b/>
                              </w:rPr>
                              <w:t xml:space="preserve"> CALL FOR INPUT</w:t>
                            </w:r>
                            <w:r w:rsidR="00B426BF">
                              <w:rPr>
                                <w:b/>
                              </w:rPr>
                              <w:br/>
                            </w:r>
                          </w:p>
                          <w:p w14:paraId="65C375DB" w14:textId="77777777" w:rsidR="005C5581" w:rsidRDefault="005C5581" w:rsidP="005C5581">
                            <w:pPr>
                              <w:jc w:val="center"/>
                              <w:rPr>
                                <w:b/>
                              </w:rPr>
                            </w:pPr>
                          </w:p>
                          <w:p w14:paraId="168D4BCC" w14:textId="77777777" w:rsidR="005C5581" w:rsidRDefault="005C5581" w:rsidP="005C5581">
                            <w:pPr>
                              <w:jc w:val="right"/>
                              <w:rPr>
                                <w:b/>
                                <w:i/>
                              </w:rPr>
                            </w:pPr>
                          </w:p>
                          <w:p w14:paraId="45A1808A" w14:textId="77777777" w:rsidR="005C5581" w:rsidRDefault="005C5581" w:rsidP="005C5581">
                            <w:pPr>
                              <w:jc w:val="center"/>
                              <w:rPr>
                                <w:b/>
                              </w:rPr>
                            </w:pPr>
                            <w:r>
                              <w:rPr>
                                <w:b/>
                              </w:rPr>
                              <w:t xml:space="preserve"> </w:t>
                            </w:r>
                          </w:p>
                          <w:p w14:paraId="5FCD0725" w14:textId="77777777" w:rsidR="005C5581" w:rsidRDefault="005C5581" w:rsidP="005C5581">
                            <w:pPr>
                              <w:rPr>
                                <w:b/>
                              </w:rPr>
                            </w:pPr>
                          </w:p>
                        </w:txbxContent>
                      </v:textbox>
                    </v:shape>
                  </w:pict>
                </mc:Fallback>
              </mc:AlternateContent>
            </w:r>
          </w:p>
          <w:p w14:paraId="7F731794" w14:textId="77777777" w:rsidR="005C5581" w:rsidRPr="005C5581" w:rsidRDefault="005C5581" w:rsidP="005C5581">
            <w:pPr>
              <w:ind w:left="86"/>
              <w:jc w:val="left"/>
              <w:rPr>
                <w:rFonts w:ascii="Times New Roman" w:hAnsi="Times New Roman" w:cs="Times New Roman"/>
                <w:b/>
                <w:sz w:val="24"/>
                <w:szCs w:val="20"/>
              </w:rPr>
            </w:pPr>
          </w:p>
        </w:tc>
      </w:tr>
      <w:tr w:rsidR="005C5581" w:rsidRPr="005C5581" w14:paraId="39FF624E"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09DF7C6" w14:textId="603418B1" w:rsidR="005C5581" w:rsidRPr="005C5581" w:rsidRDefault="005C5581" w:rsidP="005C5581">
            <w:pPr>
              <w:spacing w:before="120" w:after="120"/>
              <w:jc w:val="left"/>
              <w:rPr>
                <w:rFonts w:cs="Times New Roman"/>
                <w:i/>
                <w:iCs/>
                <w:szCs w:val="20"/>
              </w:rPr>
            </w:pPr>
            <w:r w:rsidRPr="005C5581">
              <w:rPr>
                <w:rFonts w:cs="Times New Roman"/>
                <w:bCs/>
                <w:i/>
                <w:iCs/>
                <w:szCs w:val="20"/>
              </w:rPr>
              <w:t>Name of submitter</w:t>
            </w:r>
          </w:p>
        </w:tc>
        <w:tc>
          <w:tcPr>
            <w:tcW w:w="11056" w:type="dxa"/>
            <w:tcBorders>
              <w:top w:val="single" w:sz="4" w:space="0" w:color="auto"/>
              <w:left w:val="single" w:sz="4" w:space="0" w:color="auto"/>
              <w:bottom w:val="single" w:sz="4" w:space="0" w:color="auto"/>
              <w:right w:val="single" w:sz="4" w:space="0" w:color="auto"/>
            </w:tcBorders>
          </w:tcPr>
          <w:p w14:paraId="173727D2" w14:textId="71B5D78A" w:rsidR="005C5581" w:rsidRPr="00E914E2" w:rsidRDefault="00E914E2" w:rsidP="005C5581">
            <w:pPr>
              <w:spacing w:before="120"/>
              <w:ind w:left="227"/>
              <w:jc w:val="left"/>
              <w:rPr>
                <w:rFonts w:ascii="Times New Roman" w:hAnsi="Times New Roman" w:cs="Times New Roman"/>
                <w:bCs/>
                <w:szCs w:val="20"/>
              </w:rPr>
            </w:pPr>
            <w:r w:rsidRPr="00E914E2">
              <w:rPr>
                <w:rFonts w:ascii="Times New Roman" w:hAnsi="Times New Roman" w:cs="Times New Roman"/>
                <w:bCs/>
                <w:szCs w:val="20"/>
              </w:rPr>
              <w:t>Linus Beer, Akash Deep</w:t>
            </w:r>
          </w:p>
        </w:tc>
      </w:tr>
      <w:tr w:rsidR="005C5581" w:rsidRPr="005C5581" w14:paraId="23674CA8"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156B1AF6" w14:textId="1C33689D" w:rsidR="005C5581" w:rsidRPr="005C5581" w:rsidRDefault="005C5581" w:rsidP="005C5581">
            <w:pPr>
              <w:spacing w:before="120" w:after="120"/>
              <w:jc w:val="left"/>
              <w:rPr>
                <w:rFonts w:cs="Times New Roman"/>
                <w:i/>
                <w:iCs/>
                <w:szCs w:val="20"/>
              </w:rPr>
            </w:pPr>
            <w:r w:rsidRPr="005C5581">
              <w:rPr>
                <w:rFonts w:cs="Times New Roman"/>
                <w:i/>
                <w:iCs/>
                <w:szCs w:val="20"/>
              </w:rPr>
              <w:t>Affiliated organization of submitter (if any)</w:t>
            </w:r>
          </w:p>
        </w:tc>
        <w:tc>
          <w:tcPr>
            <w:tcW w:w="11056" w:type="dxa"/>
            <w:tcBorders>
              <w:top w:val="single" w:sz="4" w:space="0" w:color="auto"/>
              <w:left w:val="single" w:sz="4" w:space="0" w:color="auto"/>
              <w:bottom w:val="single" w:sz="4" w:space="0" w:color="auto"/>
              <w:right w:val="single" w:sz="4" w:space="0" w:color="auto"/>
            </w:tcBorders>
          </w:tcPr>
          <w:p w14:paraId="48F613ED" w14:textId="6F85D855" w:rsidR="005C5581" w:rsidRPr="0081744B" w:rsidRDefault="00E914E2" w:rsidP="005C5581">
            <w:pPr>
              <w:spacing w:before="120"/>
              <w:ind w:left="227"/>
              <w:jc w:val="left"/>
              <w:rPr>
                <w:rFonts w:ascii="Times New Roman" w:hAnsi="Times New Roman" w:cs="Times New Roman"/>
                <w:bCs/>
                <w:szCs w:val="20"/>
              </w:rPr>
            </w:pPr>
            <w:r w:rsidRPr="0081744B">
              <w:rPr>
                <w:rFonts w:ascii="Times New Roman" w:hAnsi="Times New Roman" w:cs="Times New Roman"/>
                <w:bCs/>
                <w:szCs w:val="20"/>
              </w:rPr>
              <w:t xml:space="preserve">Harvard Belfer </w:t>
            </w:r>
            <w:proofErr w:type="spellStart"/>
            <w:r w:rsidRPr="0081744B">
              <w:rPr>
                <w:rFonts w:ascii="Times New Roman" w:hAnsi="Times New Roman" w:cs="Times New Roman"/>
                <w:bCs/>
                <w:szCs w:val="20"/>
              </w:rPr>
              <w:t>Center</w:t>
            </w:r>
            <w:proofErr w:type="spellEnd"/>
            <w:r w:rsidRPr="0081744B">
              <w:rPr>
                <w:rFonts w:ascii="Times New Roman" w:hAnsi="Times New Roman" w:cs="Times New Roman"/>
                <w:bCs/>
                <w:szCs w:val="20"/>
              </w:rPr>
              <w:t xml:space="preserve"> for Science and International Affairs, Environment and Natural Resources Program, Climate Finance Research Group</w:t>
            </w:r>
            <w:r w:rsidR="0081744B" w:rsidRPr="0081744B">
              <w:rPr>
                <w:rFonts w:ascii="Times New Roman" w:hAnsi="Times New Roman" w:cs="Times New Roman"/>
                <w:bCs/>
                <w:szCs w:val="20"/>
              </w:rPr>
              <w:t xml:space="preserve"> – </w:t>
            </w:r>
            <w:r w:rsidR="0081744B" w:rsidRPr="0081744B">
              <w:rPr>
                <w:rFonts w:ascii="Times New Roman" w:hAnsi="Times New Roman" w:cs="Times New Roman"/>
                <w:bCs/>
                <w:i/>
                <w:iCs/>
                <w:szCs w:val="20"/>
              </w:rPr>
              <w:t xml:space="preserve">the views listed in this document are those of the </w:t>
            </w:r>
            <w:r w:rsidR="0081744B">
              <w:rPr>
                <w:rFonts w:ascii="Times New Roman" w:hAnsi="Times New Roman" w:cs="Times New Roman"/>
                <w:bCs/>
                <w:i/>
                <w:iCs/>
                <w:szCs w:val="20"/>
              </w:rPr>
              <w:t xml:space="preserve">two </w:t>
            </w:r>
            <w:r w:rsidR="0081744B" w:rsidRPr="0081744B">
              <w:rPr>
                <w:rFonts w:ascii="Times New Roman" w:hAnsi="Times New Roman" w:cs="Times New Roman"/>
                <w:bCs/>
                <w:i/>
                <w:iCs/>
                <w:szCs w:val="20"/>
              </w:rPr>
              <w:t xml:space="preserve">authors only and do not represent the opinion or perspectives of Harvard University or the Belfer </w:t>
            </w:r>
            <w:proofErr w:type="spellStart"/>
            <w:r w:rsidR="0081744B" w:rsidRPr="0081744B">
              <w:rPr>
                <w:rFonts w:ascii="Times New Roman" w:hAnsi="Times New Roman" w:cs="Times New Roman"/>
                <w:bCs/>
                <w:i/>
                <w:iCs/>
                <w:szCs w:val="20"/>
              </w:rPr>
              <w:t>Center</w:t>
            </w:r>
            <w:proofErr w:type="spellEnd"/>
            <w:r w:rsidR="0081744B" w:rsidRPr="0081744B">
              <w:rPr>
                <w:rFonts w:ascii="Times New Roman" w:hAnsi="Times New Roman" w:cs="Times New Roman"/>
                <w:bCs/>
                <w:szCs w:val="20"/>
              </w:rPr>
              <w:t>.</w:t>
            </w:r>
          </w:p>
        </w:tc>
      </w:tr>
      <w:tr w:rsidR="005C5581" w:rsidRPr="005C5581" w14:paraId="1A91592D" w14:textId="77777777" w:rsidTr="00DB0167">
        <w:tblPrEx>
          <w:tblCellMar>
            <w:left w:w="28" w:type="dxa"/>
            <w:right w:w="28" w:type="dxa"/>
          </w:tblCellMar>
        </w:tblPrEx>
        <w:trPr>
          <w:cantSplit/>
          <w:trHeight w:val="348"/>
        </w:trPr>
        <w:tc>
          <w:tcPr>
            <w:tcW w:w="4821" w:type="dxa"/>
            <w:tcBorders>
              <w:top w:val="single" w:sz="4" w:space="0" w:color="auto"/>
              <w:left w:val="single" w:sz="4" w:space="0" w:color="auto"/>
              <w:bottom w:val="single" w:sz="4" w:space="0" w:color="auto"/>
              <w:right w:val="single" w:sz="4" w:space="0" w:color="auto"/>
            </w:tcBorders>
            <w:shd w:val="clear" w:color="auto" w:fill="E0E0E0"/>
            <w:vAlign w:val="center"/>
          </w:tcPr>
          <w:p w14:paraId="4CF48F8A" w14:textId="18007943" w:rsidR="005C5581" w:rsidRPr="005C5581" w:rsidRDefault="005C5581" w:rsidP="005C5581">
            <w:pPr>
              <w:spacing w:before="120" w:after="120"/>
              <w:jc w:val="left"/>
              <w:rPr>
                <w:rFonts w:cs="Times New Roman"/>
                <w:i/>
                <w:iCs/>
                <w:szCs w:val="20"/>
              </w:rPr>
            </w:pPr>
            <w:r w:rsidRPr="005C5581">
              <w:rPr>
                <w:rFonts w:cs="Times New Roman"/>
                <w:i/>
                <w:iCs/>
                <w:szCs w:val="20"/>
              </w:rPr>
              <w:t xml:space="preserve"> Email of submitter</w:t>
            </w:r>
          </w:p>
        </w:tc>
        <w:tc>
          <w:tcPr>
            <w:tcW w:w="11056" w:type="dxa"/>
            <w:tcBorders>
              <w:top w:val="single" w:sz="4" w:space="0" w:color="auto"/>
              <w:left w:val="single" w:sz="4" w:space="0" w:color="auto"/>
              <w:bottom w:val="single" w:sz="4" w:space="0" w:color="auto"/>
              <w:right w:val="single" w:sz="4" w:space="0" w:color="auto"/>
            </w:tcBorders>
          </w:tcPr>
          <w:p w14:paraId="5D33780C" w14:textId="798A5026" w:rsidR="005C5581" w:rsidRPr="00E914E2" w:rsidRDefault="00E914E2" w:rsidP="005C5581">
            <w:pPr>
              <w:spacing w:before="120"/>
              <w:ind w:left="227"/>
              <w:jc w:val="left"/>
              <w:rPr>
                <w:rFonts w:ascii="Times New Roman" w:hAnsi="Times New Roman" w:cs="Times New Roman"/>
                <w:bCs/>
                <w:szCs w:val="20"/>
              </w:rPr>
            </w:pPr>
            <w:hyperlink r:id="rId11" w:history="1">
              <w:r w:rsidRPr="00D21209">
                <w:rPr>
                  <w:rStyle w:val="Hyperlink"/>
                  <w:rFonts w:ascii="Times New Roman" w:hAnsi="Times New Roman" w:cs="Times New Roman"/>
                  <w:bCs/>
                  <w:szCs w:val="20"/>
                </w:rPr>
                <w:t>linusbeer@hks.harvard.edu</w:t>
              </w:r>
            </w:hyperlink>
            <w:r>
              <w:rPr>
                <w:rFonts w:ascii="Times New Roman" w:hAnsi="Times New Roman" w:cs="Times New Roman"/>
                <w:bCs/>
                <w:szCs w:val="20"/>
              </w:rPr>
              <w:t>,</w:t>
            </w:r>
            <w:r w:rsidR="00B20EB3">
              <w:rPr>
                <w:rFonts w:ascii="Times New Roman" w:hAnsi="Times New Roman" w:cs="Times New Roman"/>
                <w:bCs/>
                <w:szCs w:val="20"/>
              </w:rPr>
              <w:t xml:space="preserve"> </w:t>
            </w:r>
            <w:hyperlink r:id="rId12" w:history="1">
              <w:r w:rsidR="00B20EB3" w:rsidRPr="006465FA">
                <w:rPr>
                  <w:rStyle w:val="Hyperlink"/>
                  <w:rFonts w:ascii="Times New Roman" w:hAnsi="Times New Roman" w:cs="Times New Roman"/>
                  <w:bCs/>
                  <w:szCs w:val="20"/>
                </w:rPr>
                <w:t>akash_deep@hks.harvard.edu</w:t>
              </w:r>
            </w:hyperlink>
            <w:r w:rsidR="00B20EB3">
              <w:rPr>
                <w:rFonts w:ascii="Times New Roman" w:hAnsi="Times New Roman" w:cs="Times New Roman"/>
                <w:bCs/>
                <w:szCs w:val="20"/>
              </w:rPr>
              <w:t xml:space="preserve"> </w:t>
            </w:r>
          </w:p>
        </w:tc>
      </w:tr>
      <w:tr w:rsidR="005C5581" w:rsidRPr="005C5581" w14:paraId="5038C2D4" w14:textId="77777777" w:rsidTr="00DB0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4821" w:type="dxa"/>
            <w:tcBorders>
              <w:top w:val="single" w:sz="4" w:space="0" w:color="auto"/>
              <w:left w:val="single" w:sz="4" w:space="0" w:color="auto"/>
              <w:bottom w:val="single" w:sz="4" w:space="0" w:color="auto"/>
              <w:right w:val="single" w:sz="4" w:space="0" w:color="auto"/>
            </w:tcBorders>
            <w:shd w:val="clear" w:color="auto" w:fill="E0E0E0"/>
          </w:tcPr>
          <w:p w14:paraId="3AFD782C" w14:textId="4BBFD656" w:rsidR="005C5581" w:rsidRPr="005C5581" w:rsidRDefault="005C5581" w:rsidP="005C5581">
            <w:pPr>
              <w:spacing w:before="120" w:after="120"/>
              <w:jc w:val="left"/>
              <w:rPr>
                <w:rFonts w:cs="Times New Roman"/>
                <w:bCs/>
                <w:i/>
                <w:iCs/>
                <w:sz w:val="20"/>
                <w:szCs w:val="20"/>
              </w:rPr>
            </w:pPr>
            <w:r w:rsidRPr="005C5581">
              <w:rPr>
                <w:rFonts w:cs="Times New Roman"/>
                <w:bCs/>
                <w:i/>
                <w:iCs/>
              </w:rPr>
              <w:t xml:space="preserve">Date </w:t>
            </w:r>
            <w:r>
              <w:rPr>
                <w:rFonts w:cs="Times New Roman"/>
                <w:bCs/>
                <w:i/>
                <w:iCs/>
              </w:rPr>
              <w:t>of submission</w:t>
            </w:r>
          </w:p>
        </w:tc>
        <w:tc>
          <w:tcPr>
            <w:tcW w:w="11056" w:type="dxa"/>
            <w:tcBorders>
              <w:top w:val="single" w:sz="4" w:space="0" w:color="auto"/>
              <w:left w:val="single" w:sz="4" w:space="0" w:color="auto"/>
              <w:bottom w:val="single" w:sz="4" w:space="0" w:color="auto"/>
              <w:right w:val="single" w:sz="4" w:space="0" w:color="auto"/>
            </w:tcBorders>
          </w:tcPr>
          <w:p w14:paraId="28F8148A" w14:textId="2C5C2A7B" w:rsidR="005C5581" w:rsidRPr="006A4FBE" w:rsidRDefault="006A4FBE" w:rsidP="005C5581">
            <w:pPr>
              <w:spacing w:before="60"/>
              <w:jc w:val="left"/>
              <w:rPr>
                <w:rFonts w:cs="Times New Roman"/>
                <w:bCs/>
                <w:color w:val="EE0000"/>
                <w:sz w:val="20"/>
                <w:szCs w:val="20"/>
                <w:lang w:val="de-DE"/>
              </w:rPr>
            </w:pPr>
            <w:r w:rsidRPr="006A4FBE">
              <w:rPr>
                <w:rFonts w:cs="Times New Roman"/>
                <w:bCs/>
                <w:sz w:val="20"/>
                <w:szCs w:val="20"/>
              </w:rPr>
              <w:t>06/23/2025</w:t>
            </w:r>
          </w:p>
        </w:tc>
      </w:tr>
    </w:tbl>
    <w:p w14:paraId="3B490F6C" w14:textId="77777777" w:rsidR="00842079" w:rsidRDefault="00842079">
      <w:pPr>
        <w:spacing w:line="240" w:lineRule="exact"/>
        <w:rPr>
          <w:rFonts w:ascii="Calibri" w:hAnsi="Calibri" w:cs="Calibri"/>
        </w:rPr>
      </w:pPr>
    </w:p>
    <w:p w14:paraId="5BB7262D" w14:textId="597A62B3" w:rsidR="00DF4F6B" w:rsidRPr="007B1DB4" w:rsidRDefault="00842079" w:rsidP="00842079">
      <w:pPr>
        <w:spacing w:line="240" w:lineRule="exact"/>
        <w:jc w:val="left"/>
      </w:pPr>
      <w:r w:rsidRPr="007B1DB4">
        <w:t xml:space="preserve">Instruction: </w:t>
      </w:r>
      <w:r w:rsidR="007B1DB4" w:rsidRPr="007B1DB4">
        <w:t>Enter your input in the table below</w:t>
      </w:r>
      <w:r w:rsidRPr="007B1DB4">
        <w:t xml:space="preserve">.  </w:t>
      </w:r>
      <w:r w:rsidR="0048326B" w:rsidRPr="007B1DB4">
        <w:br/>
      </w:r>
    </w:p>
    <w:tbl>
      <w:tblPr>
        <w:tblW w:w="159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43"/>
        <w:gridCol w:w="2802"/>
        <w:gridCol w:w="2977"/>
        <w:gridCol w:w="4536"/>
        <w:gridCol w:w="4856"/>
      </w:tblGrid>
      <w:tr w:rsidR="00302395" w:rsidRPr="000808F1" w14:paraId="0E21EAC1" w14:textId="77777777" w:rsidTr="00DB0167">
        <w:trPr>
          <w:cantSplit/>
          <w:tblHeader/>
          <w:jc w:val="center"/>
        </w:trPr>
        <w:tc>
          <w:tcPr>
            <w:tcW w:w="15914" w:type="dxa"/>
            <w:gridSpan w:val="5"/>
            <w:tcBorders>
              <w:top w:val="single" w:sz="6" w:space="0" w:color="auto"/>
              <w:left w:val="single" w:sz="6" w:space="0" w:color="auto"/>
              <w:bottom w:val="single" w:sz="6" w:space="0" w:color="auto"/>
              <w:right w:val="single" w:sz="6" w:space="0" w:color="auto"/>
            </w:tcBorders>
            <w:shd w:val="clear" w:color="auto" w:fill="auto"/>
          </w:tcPr>
          <w:p w14:paraId="408E4E23" w14:textId="315C3EEB" w:rsidR="00302395" w:rsidRPr="00CF5637" w:rsidRDefault="00302395" w:rsidP="007B1DB4">
            <w:pPr>
              <w:keepLines/>
              <w:spacing w:before="40" w:after="40" w:line="190" w:lineRule="exact"/>
              <w:jc w:val="left"/>
              <w:rPr>
                <w:b/>
                <w:bCs/>
                <w:color w:val="0070C0"/>
              </w:rPr>
            </w:pPr>
            <w:r w:rsidRPr="00CF5637">
              <w:rPr>
                <w:b/>
                <w:bCs/>
              </w:rPr>
              <w:t xml:space="preserve">Document </w:t>
            </w:r>
            <w:r w:rsidR="003106A1">
              <w:rPr>
                <w:b/>
                <w:bCs/>
              </w:rPr>
              <w:t xml:space="preserve">reference number and </w:t>
            </w:r>
            <w:r w:rsidR="00A52FA2" w:rsidRPr="00CF5637">
              <w:rPr>
                <w:b/>
                <w:bCs/>
              </w:rPr>
              <w:t>title</w:t>
            </w:r>
            <w:r w:rsidR="00EF310B">
              <w:rPr>
                <w:b/>
                <w:bCs/>
              </w:rPr>
              <w:t xml:space="preserve">: </w:t>
            </w:r>
            <w:r w:rsidR="00CF5637" w:rsidRPr="00CF5637">
              <w:rPr>
                <w:b/>
                <w:bCs/>
                <w:color w:val="0070C0"/>
              </w:rPr>
              <w:t>A6.4-MEP006-A01</w:t>
            </w:r>
            <w:r w:rsidR="00EF310B">
              <w:rPr>
                <w:b/>
                <w:bCs/>
                <w:color w:val="0070C0"/>
              </w:rPr>
              <w:t xml:space="preserve">. </w:t>
            </w:r>
            <w:r w:rsidR="007D498B" w:rsidRPr="00CF5637">
              <w:rPr>
                <w:b/>
                <w:bCs/>
                <w:color w:val="0070C0"/>
              </w:rPr>
              <w:t>Draft standard</w:t>
            </w:r>
            <w:r w:rsidR="00EF310B">
              <w:rPr>
                <w:b/>
                <w:bCs/>
                <w:color w:val="0070C0"/>
              </w:rPr>
              <w:t xml:space="preserve">: </w:t>
            </w:r>
            <w:r w:rsidR="007D498B" w:rsidRPr="00CF5637">
              <w:rPr>
                <w:b/>
                <w:bCs/>
                <w:color w:val="0070C0"/>
              </w:rPr>
              <w:t>Suppressed demand (version 01.0)</w:t>
            </w:r>
          </w:p>
          <w:p w14:paraId="0EF95441" w14:textId="48AD6F29" w:rsidR="00302395" w:rsidRPr="008E3D67" w:rsidRDefault="00302395" w:rsidP="00302395">
            <w:pPr>
              <w:keepLines/>
              <w:spacing w:before="40" w:after="40" w:line="190" w:lineRule="exact"/>
              <w:rPr>
                <w:b/>
                <w:bCs/>
                <w:color w:val="0070C0"/>
                <w:sz w:val="20"/>
                <w:szCs w:val="20"/>
              </w:rPr>
            </w:pPr>
          </w:p>
        </w:tc>
      </w:tr>
      <w:tr w:rsidR="00FE65CB" w:rsidRPr="000808F1" w14:paraId="5233CAC2" w14:textId="77777777" w:rsidTr="008D4BE2">
        <w:trPr>
          <w:cantSplit/>
          <w:tblHeader/>
          <w:jc w:val="center"/>
        </w:trPr>
        <w:tc>
          <w:tcPr>
            <w:tcW w:w="743" w:type="dxa"/>
            <w:tcBorders>
              <w:top w:val="single" w:sz="6" w:space="0" w:color="auto"/>
              <w:left w:val="single" w:sz="6" w:space="0" w:color="auto"/>
              <w:bottom w:val="single" w:sz="6" w:space="0" w:color="auto"/>
              <w:right w:val="single" w:sz="6" w:space="0" w:color="auto"/>
            </w:tcBorders>
            <w:shd w:val="clear" w:color="auto" w:fill="E7E6E6"/>
          </w:tcPr>
          <w:p w14:paraId="1ECD5AFA" w14:textId="27C8433E" w:rsidR="000926EA" w:rsidRPr="008D4BE2" w:rsidRDefault="00093883">
            <w:pPr>
              <w:keepLines/>
              <w:spacing w:before="40" w:after="40" w:line="190" w:lineRule="exact"/>
              <w:jc w:val="center"/>
              <w:rPr>
                <w:b/>
                <w:bCs/>
                <w:sz w:val="20"/>
                <w:szCs w:val="20"/>
              </w:rPr>
            </w:pPr>
            <w:r w:rsidRPr="008D4BE2">
              <w:rPr>
                <w:b/>
                <w:bCs/>
                <w:sz w:val="20"/>
                <w:szCs w:val="20"/>
              </w:rPr>
              <w:t>Item</w:t>
            </w:r>
          </w:p>
        </w:tc>
        <w:tc>
          <w:tcPr>
            <w:tcW w:w="2802" w:type="dxa"/>
            <w:tcBorders>
              <w:top w:val="single" w:sz="6" w:space="0" w:color="auto"/>
              <w:left w:val="single" w:sz="6" w:space="0" w:color="auto"/>
              <w:bottom w:val="single" w:sz="6" w:space="0" w:color="auto"/>
              <w:right w:val="single" w:sz="6" w:space="0" w:color="auto"/>
            </w:tcBorders>
            <w:shd w:val="clear" w:color="auto" w:fill="E7E6E6"/>
          </w:tcPr>
          <w:p w14:paraId="69FEAD68" w14:textId="68E11AC8" w:rsidR="000926EA" w:rsidRPr="008D4BE2" w:rsidRDefault="000926EA">
            <w:pPr>
              <w:keepLines/>
              <w:spacing w:before="40" w:after="40" w:line="190" w:lineRule="exact"/>
              <w:jc w:val="center"/>
              <w:rPr>
                <w:b/>
                <w:bCs/>
                <w:sz w:val="20"/>
                <w:szCs w:val="20"/>
              </w:rPr>
            </w:pPr>
            <w:r w:rsidRPr="008D4BE2">
              <w:rPr>
                <w:b/>
                <w:bCs/>
                <w:sz w:val="20"/>
                <w:szCs w:val="20"/>
              </w:rPr>
              <w:t xml:space="preserve">Section no. </w:t>
            </w:r>
            <w:r w:rsidRPr="008D4BE2">
              <w:rPr>
                <w:b/>
                <w:bCs/>
                <w:sz w:val="20"/>
                <w:szCs w:val="20"/>
              </w:rPr>
              <w:br/>
            </w:r>
            <w:r w:rsidRPr="008D4BE2">
              <w:rPr>
                <w:sz w:val="20"/>
                <w:szCs w:val="20"/>
              </w:rPr>
              <w:t>(as indicated in the document)</w:t>
            </w:r>
          </w:p>
        </w:tc>
        <w:tc>
          <w:tcPr>
            <w:tcW w:w="2977" w:type="dxa"/>
            <w:tcBorders>
              <w:top w:val="single" w:sz="6" w:space="0" w:color="auto"/>
              <w:left w:val="single" w:sz="6" w:space="0" w:color="auto"/>
              <w:bottom w:val="single" w:sz="6" w:space="0" w:color="auto"/>
              <w:right w:val="single" w:sz="6" w:space="0" w:color="auto"/>
            </w:tcBorders>
            <w:shd w:val="clear" w:color="auto" w:fill="E7E6E6"/>
          </w:tcPr>
          <w:p w14:paraId="6A4F6A0A" w14:textId="1295D9A5" w:rsidR="000926EA" w:rsidRPr="008D4BE2" w:rsidRDefault="000926EA">
            <w:pPr>
              <w:keepLines/>
              <w:spacing w:before="40" w:after="40" w:line="190" w:lineRule="exact"/>
              <w:jc w:val="center"/>
              <w:rPr>
                <w:b/>
                <w:bCs/>
                <w:sz w:val="20"/>
                <w:szCs w:val="20"/>
              </w:rPr>
            </w:pPr>
            <w:r w:rsidRPr="008D4BE2">
              <w:rPr>
                <w:b/>
                <w:bCs/>
                <w:sz w:val="20"/>
                <w:szCs w:val="20"/>
              </w:rPr>
              <w:t>Paragraph/Table</w:t>
            </w:r>
            <w:r w:rsidR="005C5581" w:rsidRPr="008D4BE2">
              <w:rPr>
                <w:b/>
                <w:bCs/>
                <w:sz w:val="20"/>
                <w:szCs w:val="20"/>
              </w:rPr>
              <w:t xml:space="preserve">/Figure </w:t>
            </w:r>
            <w:r w:rsidRPr="008D4BE2">
              <w:rPr>
                <w:b/>
                <w:bCs/>
                <w:sz w:val="20"/>
                <w:szCs w:val="20"/>
              </w:rPr>
              <w:t xml:space="preserve">no. </w:t>
            </w:r>
            <w:r w:rsidRPr="008D4BE2">
              <w:rPr>
                <w:b/>
                <w:bCs/>
                <w:sz w:val="20"/>
                <w:szCs w:val="20"/>
              </w:rPr>
              <w:br/>
            </w:r>
            <w:r w:rsidRPr="008D4BE2">
              <w:rPr>
                <w:sz w:val="20"/>
                <w:szCs w:val="20"/>
              </w:rPr>
              <w:t>(as indicated in the document)</w:t>
            </w:r>
          </w:p>
        </w:tc>
        <w:tc>
          <w:tcPr>
            <w:tcW w:w="4536" w:type="dxa"/>
            <w:tcBorders>
              <w:top w:val="single" w:sz="6" w:space="0" w:color="auto"/>
              <w:left w:val="single" w:sz="6" w:space="0" w:color="auto"/>
              <w:bottom w:val="single" w:sz="6" w:space="0" w:color="auto"/>
              <w:right w:val="single" w:sz="6" w:space="0" w:color="auto"/>
            </w:tcBorders>
            <w:shd w:val="clear" w:color="auto" w:fill="E7E6E6"/>
          </w:tcPr>
          <w:p w14:paraId="4271E83F" w14:textId="6C7BBC29" w:rsidR="000926EA" w:rsidRPr="008D4BE2" w:rsidRDefault="000926EA" w:rsidP="008E3D67">
            <w:pPr>
              <w:keepLines/>
              <w:spacing w:before="40" w:after="40" w:line="190" w:lineRule="exact"/>
              <w:jc w:val="center"/>
              <w:rPr>
                <w:b/>
                <w:bCs/>
                <w:sz w:val="20"/>
                <w:szCs w:val="20"/>
              </w:rPr>
            </w:pPr>
            <w:r w:rsidRPr="008D4BE2">
              <w:rPr>
                <w:b/>
                <w:bCs/>
                <w:sz w:val="20"/>
                <w:szCs w:val="20"/>
              </w:rPr>
              <w:t>Comment</w:t>
            </w:r>
            <w:r w:rsidRPr="008D4BE2">
              <w:rPr>
                <w:b/>
                <w:bCs/>
                <w:sz w:val="20"/>
                <w:szCs w:val="20"/>
              </w:rPr>
              <w:br/>
            </w:r>
            <w:r w:rsidRPr="008D4BE2">
              <w:rPr>
                <w:sz w:val="20"/>
                <w:szCs w:val="20"/>
              </w:rPr>
              <w:t>(including justification for change)</w:t>
            </w:r>
            <w:r w:rsidRPr="008D4BE2">
              <w:rPr>
                <w:b/>
                <w:bCs/>
                <w:sz w:val="20"/>
                <w:szCs w:val="20"/>
              </w:rPr>
              <w:t xml:space="preserve"> </w:t>
            </w:r>
          </w:p>
        </w:tc>
        <w:tc>
          <w:tcPr>
            <w:tcW w:w="4856" w:type="dxa"/>
            <w:tcBorders>
              <w:top w:val="single" w:sz="6" w:space="0" w:color="auto"/>
              <w:left w:val="single" w:sz="6" w:space="0" w:color="auto"/>
              <w:bottom w:val="single" w:sz="6" w:space="0" w:color="auto"/>
              <w:right w:val="single" w:sz="6" w:space="0" w:color="auto"/>
            </w:tcBorders>
            <w:shd w:val="clear" w:color="auto" w:fill="E7E6E6"/>
          </w:tcPr>
          <w:p w14:paraId="26E79593" w14:textId="77777777" w:rsidR="000926EA" w:rsidRPr="008D4BE2" w:rsidRDefault="000926EA">
            <w:pPr>
              <w:keepLines/>
              <w:spacing w:before="40" w:after="40" w:line="190" w:lineRule="exact"/>
              <w:jc w:val="center"/>
              <w:rPr>
                <w:b/>
                <w:bCs/>
                <w:sz w:val="20"/>
                <w:szCs w:val="20"/>
              </w:rPr>
            </w:pPr>
            <w:r w:rsidRPr="008D4BE2">
              <w:rPr>
                <w:b/>
                <w:bCs/>
                <w:sz w:val="20"/>
                <w:szCs w:val="20"/>
              </w:rPr>
              <w:t>Proposed change</w:t>
            </w:r>
          </w:p>
          <w:p w14:paraId="1D61F655" w14:textId="6E428CDD" w:rsidR="000926EA" w:rsidRPr="008D4BE2" w:rsidRDefault="000926EA">
            <w:pPr>
              <w:keepLines/>
              <w:spacing w:before="40" w:after="40" w:line="190" w:lineRule="exact"/>
              <w:jc w:val="center"/>
              <w:rPr>
                <w:sz w:val="20"/>
                <w:szCs w:val="20"/>
              </w:rPr>
            </w:pPr>
            <w:r w:rsidRPr="008D4BE2">
              <w:rPr>
                <w:sz w:val="20"/>
                <w:szCs w:val="20"/>
              </w:rPr>
              <w:t>(including proposed text)</w:t>
            </w:r>
          </w:p>
        </w:tc>
      </w:tr>
      <w:tr w:rsidR="00B20EB3" w:rsidRPr="000926EA" w14:paraId="6FEF17B7" w14:textId="77777777" w:rsidTr="000C066F">
        <w:trPr>
          <w:cantSplit/>
          <w:jc w:val="center"/>
        </w:trPr>
        <w:tc>
          <w:tcPr>
            <w:tcW w:w="743" w:type="dxa"/>
            <w:tcBorders>
              <w:top w:val="single" w:sz="6" w:space="0" w:color="auto"/>
              <w:left w:val="single" w:sz="6" w:space="0" w:color="auto"/>
              <w:bottom w:val="single" w:sz="6" w:space="0" w:color="auto"/>
              <w:right w:val="single" w:sz="6" w:space="0" w:color="auto"/>
            </w:tcBorders>
            <w:vAlign w:val="center"/>
          </w:tcPr>
          <w:p w14:paraId="60D62EC9" w14:textId="63F039C6" w:rsidR="00B20EB3" w:rsidRPr="000926EA" w:rsidRDefault="00B20EB3" w:rsidP="00B20EB3">
            <w:pPr>
              <w:keepLines/>
              <w:spacing w:before="40" w:after="40" w:line="190" w:lineRule="exact"/>
              <w:jc w:val="center"/>
              <w:rPr>
                <w:sz w:val="20"/>
                <w:szCs w:val="20"/>
              </w:rPr>
            </w:pPr>
            <w:r w:rsidRPr="008F320E">
              <w:rPr>
                <w:sz w:val="18"/>
                <w:szCs w:val="18"/>
                <w:lang w:val="de-DE"/>
              </w:rPr>
              <w:t>1</w:t>
            </w:r>
          </w:p>
        </w:tc>
        <w:tc>
          <w:tcPr>
            <w:tcW w:w="2802" w:type="dxa"/>
            <w:tcBorders>
              <w:top w:val="single" w:sz="6" w:space="0" w:color="auto"/>
              <w:left w:val="single" w:sz="6" w:space="0" w:color="auto"/>
              <w:bottom w:val="single" w:sz="6" w:space="0" w:color="auto"/>
              <w:right w:val="single" w:sz="6" w:space="0" w:color="auto"/>
            </w:tcBorders>
            <w:vAlign w:val="center"/>
          </w:tcPr>
          <w:p w14:paraId="2F8BE693" w14:textId="26FD3056" w:rsidR="00B20EB3" w:rsidRPr="000926EA" w:rsidRDefault="00B20EB3" w:rsidP="00B20EB3">
            <w:pPr>
              <w:keepLines/>
              <w:spacing w:before="40" w:after="40" w:line="190" w:lineRule="exact"/>
              <w:jc w:val="left"/>
              <w:rPr>
                <w:sz w:val="20"/>
                <w:szCs w:val="20"/>
              </w:rPr>
            </w:pPr>
            <w:r w:rsidRPr="008F320E">
              <w:rPr>
                <w:sz w:val="18"/>
                <w:szCs w:val="18"/>
                <w:lang w:val="de-DE"/>
              </w:rPr>
              <w:t>General</w:t>
            </w:r>
          </w:p>
        </w:tc>
        <w:tc>
          <w:tcPr>
            <w:tcW w:w="2977" w:type="dxa"/>
            <w:tcBorders>
              <w:top w:val="single" w:sz="6" w:space="0" w:color="auto"/>
              <w:left w:val="single" w:sz="6" w:space="0" w:color="auto"/>
              <w:bottom w:val="single" w:sz="6" w:space="0" w:color="auto"/>
              <w:right w:val="single" w:sz="6" w:space="0" w:color="auto"/>
            </w:tcBorders>
            <w:vAlign w:val="center"/>
          </w:tcPr>
          <w:p w14:paraId="251951A6" w14:textId="1D1A22AB" w:rsidR="00B20EB3" w:rsidRPr="000926EA" w:rsidRDefault="00B20EB3" w:rsidP="00B20EB3">
            <w:pPr>
              <w:keepLines/>
              <w:spacing w:before="40" w:after="40" w:line="190" w:lineRule="exact"/>
              <w:jc w:val="left"/>
              <w:rPr>
                <w:sz w:val="20"/>
                <w:szCs w:val="20"/>
              </w:rPr>
            </w:pPr>
            <w:r w:rsidRPr="008F320E">
              <w:rPr>
                <w:sz w:val="18"/>
                <w:szCs w:val="18"/>
                <w:lang w:val="en-US"/>
              </w:rPr>
              <w:t xml:space="preserve">Cover Note, Purpose section, Paragraph 4 </w:t>
            </w:r>
          </w:p>
        </w:tc>
        <w:tc>
          <w:tcPr>
            <w:tcW w:w="4536" w:type="dxa"/>
            <w:tcBorders>
              <w:top w:val="single" w:sz="6" w:space="0" w:color="auto"/>
              <w:left w:val="single" w:sz="6" w:space="0" w:color="auto"/>
              <w:bottom w:val="single" w:sz="6" w:space="0" w:color="auto"/>
              <w:right w:val="single" w:sz="6" w:space="0" w:color="auto"/>
            </w:tcBorders>
            <w:vAlign w:val="center"/>
          </w:tcPr>
          <w:p w14:paraId="575E0247" w14:textId="2C650838" w:rsidR="00B20EB3" w:rsidRPr="000926EA" w:rsidRDefault="00B20EB3" w:rsidP="00B20EB3">
            <w:pPr>
              <w:keepLines/>
              <w:spacing w:before="40" w:after="40" w:line="190" w:lineRule="exact"/>
              <w:jc w:val="left"/>
              <w:rPr>
                <w:sz w:val="20"/>
                <w:szCs w:val="20"/>
              </w:rPr>
            </w:pPr>
            <w:r w:rsidRPr="008F320E">
              <w:rPr>
                <w:sz w:val="18"/>
                <w:szCs w:val="18"/>
                <w:lang w:val="en-US"/>
              </w:rPr>
              <w:t>We strongly commend the Supervisory Body's precedent-setting recognition that traditional baseline methodologies inadequately serve EMDE development realities. The suppressed demand standard represents crucial progress toward development-responsive carbon markets grounded in climate justice principles. We urge the Supervisory Body to consider developing complementary guidance that extends this same philosophical foundation to broader development-optimal scenarios beyond basic human needs.</w:t>
            </w:r>
          </w:p>
        </w:tc>
        <w:tc>
          <w:tcPr>
            <w:tcW w:w="4856" w:type="dxa"/>
            <w:tcBorders>
              <w:top w:val="single" w:sz="6" w:space="0" w:color="auto"/>
              <w:left w:val="single" w:sz="6" w:space="0" w:color="auto"/>
              <w:bottom w:val="single" w:sz="6" w:space="0" w:color="auto"/>
              <w:right w:val="single" w:sz="6" w:space="0" w:color="auto"/>
            </w:tcBorders>
            <w:vAlign w:val="center"/>
          </w:tcPr>
          <w:p w14:paraId="4C8A47BE" w14:textId="015200BC" w:rsidR="00B20EB3" w:rsidRPr="000926EA" w:rsidRDefault="00B20EB3" w:rsidP="00B20EB3">
            <w:pPr>
              <w:keepLines/>
              <w:spacing w:before="40" w:after="40" w:line="190" w:lineRule="exact"/>
              <w:jc w:val="left"/>
              <w:rPr>
                <w:sz w:val="20"/>
                <w:szCs w:val="20"/>
              </w:rPr>
            </w:pPr>
            <w:r w:rsidRPr="008F320E">
              <w:rPr>
                <w:sz w:val="18"/>
                <w:szCs w:val="18"/>
                <w:lang w:val="en-US"/>
              </w:rPr>
              <w:t>Add to purpose statement: "This standard establishes important precedent for development-responsive baselines that may be extended to complementary development-optimal baseline guidance for broader infrastructure investments that exceed basic human needs but remain essential for sustainable development pathways."</w:t>
            </w:r>
          </w:p>
        </w:tc>
      </w:tr>
      <w:tr w:rsidR="00B20EB3" w:rsidRPr="000926EA" w14:paraId="159BF62A" w14:textId="77777777" w:rsidTr="000C066F">
        <w:trPr>
          <w:cantSplit/>
          <w:jc w:val="center"/>
        </w:trPr>
        <w:tc>
          <w:tcPr>
            <w:tcW w:w="743" w:type="dxa"/>
            <w:tcBorders>
              <w:top w:val="single" w:sz="6" w:space="0" w:color="auto"/>
              <w:left w:val="single" w:sz="6" w:space="0" w:color="auto"/>
              <w:bottom w:val="single" w:sz="6" w:space="0" w:color="auto"/>
              <w:right w:val="single" w:sz="6" w:space="0" w:color="auto"/>
            </w:tcBorders>
            <w:vAlign w:val="center"/>
          </w:tcPr>
          <w:p w14:paraId="5854B614" w14:textId="1EEF700D" w:rsidR="00B20EB3" w:rsidRPr="000926EA" w:rsidRDefault="00B20EB3" w:rsidP="00B20EB3">
            <w:pPr>
              <w:keepLines/>
              <w:spacing w:before="40" w:after="40" w:line="190" w:lineRule="exact"/>
              <w:jc w:val="center"/>
              <w:rPr>
                <w:sz w:val="20"/>
                <w:szCs w:val="20"/>
              </w:rPr>
            </w:pPr>
            <w:r w:rsidRPr="008F320E">
              <w:rPr>
                <w:sz w:val="18"/>
                <w:szCs w:val="18"/>
                <w:lang w:val="de-DE"/>
              </w:rPr>
              <w:t>2</w:t>
            </w:r>
          </w:p>
        </w:tc>
        <w:tc>
          <w:tcPr>
            <w:tcW w:w="2802" w:type="dxa"/>
            <w:tcBorders>
              <w:top w:val="single" w:sz="6" w:space="0" w:color="auto"/>
              <w:left w:val="single" w:sz="6" w:space="0" w:color="auto"/>
              <w:bottom w:val="single" w:sz="6" w:space="0" w:color="auto"/>
              <w:right w:val="single" w:sz="6" w:space="0" w:color="auto"/>
            </w:tcBorders>
            <w:vAlign w:val="center"/>
          </w:tcPr>
          <w:p w14:paraId="07F43D5D" w14:textId="3ED030A3" w:rsidR="00B20EB3" w:rsidRPr="000926EA" w:rsidRDefault="00B20EB3" w:rsidP="00B20EB3">
            <w:pPr>
              <w:keepLines/>
              <w:spacing w:before="40" w:after="40" w:line="190" w:lineRule="exact"/>
              <w:jc w:val="left"/>
              <w:rPr>
                <w:sz w:val="20"/>
                <w:szCs w:val="20"/>
              </w:rPr>
            </w:pPr>
            <w:proofErr w:type="spellStart"/>
            <w:r w:rsidRPr="008F320E">
              <w:rPr>
                <w:sz w:val="18"/>
                <w:szCs w:val="18"/>
                <w:lang w:val="de-DE"/>
              </w:rPr>
              <w:t>Section</w:t>
            </w:r>
            <w:proofErr w:type="spellEnd"/>
            <w:r w:rsidRPr="008F320E">
              <w:rPr>
                <w:sz w:val="18"/>
                <w:szCs w:val="18"/>
                <w:lang w:val="de-DE"/>
              </w:rPr>
              <w:t xml:space="preserve"> 2</w:t>
            </w:r>
          </w:p>
        </w:tc>
        <w:tc>
          <w:tcPr>
            <w:tcW w:w="2977" w:type="dxa"/>
            <w:tcBorders>
              <w:top w:val="single" w:sz="6" w:space="0" w:color="auto"/>
              <w:left w:val="single" w:sz="6" w:space="0" w:color="auto"/>
              <w:bottom w:val="single" w:sz="6" w:space="0" w:color="auto"/>
              <w:right w:val="single" w:sz="6" w:space="0" w:color="auto"/>
            </w:tcBorders>
            <w:vAlign w:val="center"/>
          </w:tcPr>
          <w:p w14:paraId="3FE2C84A" w14:textId="51DBEA5B" w:rsidR="00B20EB3" w:rsidRPr="000926EA" w:rsidRDefault="00B20EB3" w:rsidP="00B20EB3">
            <w:pPr>
              <w:keepLines/>
              <w:spacing w:before="40" w:after="40" w:line="190" w:lineRule="exact"/>
              <w:jc w:val="left"/>
              <w:rPr>
                <w:sz w:val="20"/>
                <w:szCs w:val="20"/>
              </w:rPr>
            </w:pPr>
            <w:r w:rsidRPr="008F320E">
              <w:rPr>
                <w:sz w:val="18"/>
                <w:szCs w:val="18"/>
                <w:lang w:val="en-US"/>
              </w:rPr>
              <w:t>New definition after Paragraph 4(f)</w:t>
            </w:r>
          </w:p>
        </w:tc>
        <w:tc>
          <w:tcPr>
            <w:tcW w:w="4536" w:type="dxa"/>
            <w:tcBorders>
              <w:top w:val="single" w:sz="6" w:space="0" w:color="auto"/>
              <w:left w:val="single" w:sz="6" w:space="0" w:color="auto"/>
              <w:bottom w:val="single" w:sz="6" w:space="0" w:color="auto"/>
              <w:right w:val="single" w:sz="6" w:space="0" w:color="auto"/>
            </w:tcBorders>
            <w:vAlign w:val="center"/>
          </w:tcPr>
          <w:p w14:paraId="7A2A9EDD" w14:textId="1BDF157E" w:rsidR="00B20EB3" w:rsidRPr="000926EA" w:rsidRDefault="00B20EB3" w:rsidP="00B20EB3">
            <w:pPr>
              <w:keepLines/>
              <w:spacing w:before="40" w:after="40" w:line="190" w:lineRule="exact"/>
              <w:jc w:val="left"/>
              <w:rPr>
                <w:sz w:val="20"/>
                <w:szCs w:val="20"/>
              </w:rPr>
            </w:pPr>
            <w:r w:rsidRPr="008F320E">
              <w:rPr>
                <w:sz w:val="18"/>
                <w:szCs w:val="18"/>
                <w:lang w:val="en-US"/>
              </w:rPr>
              <w:t>The current definitions excellently address suppressed demand for basic human needs. However, the same climate justice rationale applies to development-optimal scenarios where financially viable carbon-intensive investments represent the realistic baseline, while green alternatives require additional financing. This extends the BHN philosophy to recognize that optimal development pathways may include transitional technologies that enable eventual clean deployment at viable carbon prices.</w:t>
            </w:r>
          </w:p>
        </w:tc>
        <w:tc>
          <w:tcPr>
            <w:tcW w:w="4856" w:type="dxa"/>
            <w:tcBorders>
              <w:top w:val="single" w:sz="6" w:space="0" w:color="auto"/>
              <w:left w:val="single" w:sz="6" w:space="0" w:color="auto"/>
              <w:bottom w:val="single" w:sz="6" w:space="0" w:color="auto"/>
              <w:right w:val="single" w:sz="6" w:space="0" w:color="auto"/>
            </w:tcBorders>
            <w:vAlign w:val="center"/>
          </w:tcPr>
          <w:p w14:paraId="501D7846" w14:textId="68DC9E50" w:rsidR="00B20EB3" w:rsidRPr="000926EA" w:rsidRDefault="00B20EB3" w:rsidP="00B20EB3">
            <w:pPr>
              <w:keepLines/>
              <w:spacing w:before="40" w:after="40" w:line="190" w:lineRule="exact"/>
              <w:jc w:val="left"/>
              <w:rPr>
                <w:sz w:val="20"/>
                <w:szCs w:val="20"/>
              </w:rPr>
            </w:pPr>
            <w:r w:rsidRPr="008F320E">
              <w:rPr>
                <w:sz w:val="18"/>
                <w:szCs w:val="18"/>
                <w:lang w:val="en-US"/>
              </w:rPr>
              <w:t xml:space="preserve">Add new definition: "(g) Development-optimal baseline: A crediting baseline established for financially viable carbon-intensive infrastructure investments that represent optimal development pathways under current economic constraints, where green alternatives require additional financing </w:t>
            </w:r>
            <w:r>
              <w:rPr>
                <w:sz w:val="18"/>
                <w:szCs w:val="18"/>
              </w:rPr>
              <w:t xml:space="preserve">or funding </w:t>
            </w:r>
            <w:r w:rsidRPr="008F320E">
              <w:rPr>
                <w:sz w:val="18"/>
                <w:szCs w:val="18"/>
                <w:lang w:val="en-US"/>
              </w:rPr>
              <w:t>support to achieve viability. Such baselines account for all societal costs including local environmental and social impacts, but exclude global climate costs associated with the project's emissions."</w:t>
            </w:r>
          </w:p>
        </w:tc>
      </w:tr>
      <w:tr w:rsidR="00B20EB3" w:rsidRPr="000926EA" w14:paraId="00C38433" w14:textId="77777777" w:rsidTr="000C066F">
        <w:trPr>
          <w:cantSplit/>
          <w:jc w:val="center"/>
        </w:trPr>
        <w:tc>
          <w:tcPr>
            <w:tcW w:w="743" w:type="dxa"/>
            <w:tcBorders>
              <w:top w:val="single" w:sz="6" w:space="0" w:color="auto"/>
              <w:left w:val="single" w:sz="6" w:space="0" w:color="auto"/>
              <w:bottom w:val="single" w:sz="6" w:space="0" w:color="auto"/>
              <w:right w:val="single" w:sz="6" w:space="0" w:color="auto"/>
            </w:tcBorders>
            <w:vAlign w:val="center"/>
          </w:tcPr>
          <w:p w14:paraId="7BD216FB" w14:textId="3C52AA85" w:rsidR="00B20EB3" w:rsidRPr="000926EA" w:rsidRDefault="00B20EB3" w:rsidP="00B20EB3">
            <w:pPr>
              <w:keepLines/>
              <w:spacing w:before="40" w:after="40" w:line="190" w:lineRule="exact"/>
              <w:jc w:val="center"/>
              <w:rPr>
                <w:sz w:val="20"/>
                <w:szCs w:val="20"/>
              </w:rPr>
            </w:pPr>
            <w:r w:rsidRPr="008F320E">
              <w:rPr>
                <w:sz w:val="18"/>
                <w:szCs w:val="18"/>
                <w:lang w:val="de-DE"/>
              </w:rPr>
              <w:lastRenderedPageBreak/>
              <w:t>3</w:t>
            </w:r>
          </w:p>
        </w:tc>
        <w:tc>
          <w:tcPr>
            <w:tcW w:w="2802" w:type="dxa"/>
            <w:tcBorders>
              <w:top w:val="single" w:sz="6" w:space="0" w:color="auto"/>
              <w:left w:val="single" w:sz="6" w:space="0" w:color="auto"/>
              <w:bottom w:val="single" w:sz="6" w:space="0" w:color="auto"/>
              <w:right w:val="single" w:sz="6" w:space="0" w:color="auto"/>
            </w:tcBorders>
            <w:vAlign w:val="center"/>
          </w:tcPr>
          <w:p w14:paraId="6BB268FD" w14:textId="4A6482F6" w:rsidR="00B20EB3" w:rsidRPr="000926EA" w:rsidRDefault="00B20EB3" w:rsidP="00B20EB3">
            <w:pPr>
              <w:keepLines/>
              <w:spacing w:before="40" w:after="40" w:line="190" w:lineRule="exact"/>
              <w:jc w:val="left"/>
              <w:rPr>
                <w:sz w:val="20"/>
                <w:szCs w:val="20"/>
              </w:rPr>
            </w:pPr>
            <w:proofErr w:type="spellStart"/>
            <w:r w:rsidRPr="008F320E">
              <w:rPr>
                <w:sz w:val="18"/>
                <w:szCs w:val="18"/>
                <w:lang w:val="de-DE"/>
              </w:rPr>
              <w:t>Section</w:t>
            </w:r>
            <w:proofErr w:type="spellEnd"/>
            <w:r w:rsidRPr="008F320E">
              <w:rPr>
                <w:sz w:val="18"/>
                <w:szCs w:val="18"/>
                <w:lang w:val="de-DE"/>
              </w:rPr>
              <w:t xml:space="preserve"> 3</w:t>
            </w:r>
          </w:p>
        </w:tc>
        <w:tc>
          <w:tcPr>
            <w:tcW w:w="2977" w:type="dxa"/>
            <w:tcBorders>
              <w:top w:val="single" w:sz="6" w:space="0" w:color="auto"/>
              <w:left w:val="single" w:sz="6" w:space="0" w:color="auto"/>
              <w:bottom w:val="single" w:sz="6" w:space="0" w:color="auto"/>
              <w:right w:val="single" w:sz="6" w:space="0" w:color="auto"/>
            </w:tcBorders>
            <w:vAlign w:val="center"/>
          </w:tcPr>
          <w:p w14:paraId="3672A29A" w14:textId="0D00FE9F" w:rsidR="00B20EB3" w:rsidRPr="000926EA" w:rsidRDefault="00B20EB3" w:rsidP="00B20EB3">
            <w:pPr>
              <w:keepLines/>
              <w:spacing w:before="40" w:after="40" w:line="190" w:lineRule="exact"/>
              <w:jc w:val="left"/>
              <w:rPr>
                <w:sz w:val="20"/>
                <w:szCs w:val="20"/>
              </w:rPr>
            </w:pPr>
            <w:r w:rsidRPr="008F320E">
              <w:rPr>
                <w:sz w:val="18"/>
                <w:szCs w:val="18"/>
                <w:lang w:val="de-DE"/>
              </w:rPr>
              <w:t xml:space="preserve">Paragraph 7 - </w:t>
            </w:r>
            <w:proofErr w:type="spellStart"/>
            <w:r w:rsidRPr="008F320E">
              <w:rPr>
                <w:sz w:val="18"/>
                <w:szCs w:val="18"/>
                <w:lang w:val="de-DE"/>
              </w:rPr>
              <w:t>Applicability</w:t>
            </w:r>
            <w:proofErr w:type="spellEnd"/>
            <w:r w:rsidRPr="008F320E">
              <w:rPr>
                <w:sz w:val="18"/>
                <w:szCs w:val="18"/>
                <w:lang w:val="de-DE"/>
              </w:rPr>
              <w:t xml:space="preserve"> </w:t>
            </w:r>
            <w:proofErr w:type="spellStart"/>
            <w:r w:rsidRPr="008F320E">
              <w:rPr>
                <w:sz w:val="18"/>
                <w:szCs w:val="18"/>
                <w:lang w:val="de-DE"/>
              </w:rPr>
              <w:t>conditions</w:t>
            </w:r>
            <w:proofErr w:type="spellEnd"/>
          </w:p>
        </w:tc>
        <w:tc>
          <w:tcPr>
            <w:tcW w:w="4536" w:type="dxa"/>
            <w:tcBorders>
              <w:top w:val="single" w:sz="6" w:space="0" w:color="auto"/>
              <w:left w:val="single" w:sz="6" w:space="0" w:color="auto"/>
              <w:bottom w:val="single" w:sz="6" w:space="0" w:color="auto"/>
              <w:right w:val="single" w:sz="6" w:space="0" w:color="auto"/>
            </w:tcBorders>
            <w:vAlign w:val="center"/>
          </w:tcPr>
          <w:p w14:paraId="66D4CEFA" w14:textId="7A34D8C6" w:rsidR="00B20EB3" w:rsidRPr="000926EA" w:rsidRDefault="00B20EB3" w:rsidP="00B20EB3">
            <w:pPr>
              <w:keepLines/>
              <w:spacing w:before="40" w:after="40" w:line="190" w:lineRule="exact"/>
              <w:jc w:val="left"/>
              <w:rPr>
                <w:sz w:val="20"/>
                <w:szCs w:val="20"/>
              </w:rPr>
            </w:pPr>
            <w:r w:rsidRPr="008F320E">
              <w:rPr>
                <w:sz w:val="18"/>
                <w:szCs w:val="18"/>
                <w:lang w:val="en-US"/>
              </w:rPr>
              <w:t>The standard correctly recognizes that suppressed demand occurs when BAU cannot realistically provide adequate service levels. This same logic applies to development-optimal scenarios where BAU scenarios fail to reflect financially viable</w:t>
            </w:r>
            <w:r>
              <w:rPr>
                <w:sz w:val="18"/>
                <w:szCs w:val="18"/>
              </w:rPr>
              <w:t xml:space="preserve"> (or development-optimal)</w:t>
            </w:r>
            <w:r w:rsidRPr="008F320E">
              <w:rPr>
                <w:sz w:val="18"/>
                <w:szCs w:val="18"/>
                <w:lang w:val="en-US"/>
              </w:rPr>
              <w:t xml:space="preserve"> </w:t>
            </w:r>
            <w:r>
              <w:rPr>
                <w:sz w:val="18"/>
                <w:szCs w:val="18"/>
              </w:rPr>
              <w:t xml:space="preserve">but potentially carbon-intensive </w:t>
            </w:r>
            <w:r w:rsidRPr="008F320E">
              <w:rPr>
                <w:sz w:val="18"/>
                <w:szCs w:val="18"/>
                <w:lang w:val="en-US"/>
              </w:rPr>
              <w:t xml:space="preserve">development pathways. The philosophical foundation of climate justice that underlies suppressed demand recognition equally supports acknowledging that developing countries may require transitional investments as optimal stepping stones </w:t>
            </w:r>
            <w:r>
              <w:rPr>
                <w:sz w:val="18"/>
                <w:szCs w:val="18"/>
              </w:rPr>
              <w:t xml:space="preserve">or baselines </w:t>
            </w:r>
            <w:r w:rsidRPr="008F320E">
              <w:rPr>
                <w:sz w:val="18"/>
                <w:szCs w:val="18"/>
                <w:lang w:val="en-US"/>
              </w:rPr>
              <w:t>to eventual clean development</w:t>
            </w:r>
            <w:r>
              <w:rPr>
                <w:sz w:val="18"/>
                <w:szCs w:val="18"/>
              </w:rPr>
              <w:t xml:space="preserve"> (and carbon credit generation)</w:t>
            </w:r>
            <w:r w:rsidRPr="008F320E">
              <w:rPr>
                <w:sz w:val="18"/>
                <w:szCs w:val="18"/>
                <w:lang w:val="en-US"/>
              </w:rPr>
              <w:t>.</w:t>
            </w:r>
          </w:p>
        </w:tc>
        <w:tc>
          <w:tcPr>
            <w:tcW w:w="4856" w:type="dxa"/>
            <w:tcBorders>
              <w:top w:val="single" w:sz="6" w:space="0" w:color="auto"/>
              <w:left w:val="single" w:sz="6" w:space="0" w:color="auto"/>
              <w:bottom w:val="single" w:sz="6" w:space="0" w:color="auto"/>
              <w:right w:val="single" w:sz="6" w:space="0" w:color="auto"/>
            </w:tcBorders>
            <w:vAlign w:val="center"/>
          </w:tcPr>
          <w:p w14:paraId="0D152F48" w14:textId="586D1AEA" w:rsidR="00B20EB3" w:rsidRPr="000926EA" w:rsidRDefault="00B20EB3" w:rsidP="00B20EB3">
            <w:pPr>
              <w:keepLines/>
              <w:spacing w:before="40" w:after="40" w:line="190" w:lineRule="exact"/>
              <w:jc w:val="left"/>
              <w:rPr>
                <w:sz w:val="20"/>
                <w:szCs w:val="20"/>
              </w:rPr>
            </w:pPr>
            <w:r w:rsidRPr="008F320E">
              <w:rPr>
                <w:sz w:val="18"/>
                <w:szCs w:val="18"/>
                <w:lang w:val="en-US"/>
              </w:rPr>
              <w:t>No change to existing text. Add complementary paragraph: "Complementary development-optimal baselines may be recognized where: (a) Carbon-intensive infrastructure investments are financially viable and represent optimal development pathways under current economic conditions; and (b) Green alternative investments require additional climate finance to achieve viability, with the carbon-intensive baseline providing a non-inflated reference point for quantifying incremental costs and emission reductions."</w:t>
            </w:r>
          </w:p>
        </w:tc>
      </w:tr>
      <w:tr w:rsidR="00B20EB3" w:rsidRPr="000926EA" w14:paraId="09C11D74" w14:textId="77777777" w:rsidTr="000C066F">
        <w:trPr>
          <w:cantSplit/>
          <w:jc w:val="center"/>
        </w:trPr>
        <w:tc>
          <w:tcPr>
            <w:tcW w:w="743" w:type="dxa"/>
            <w:tcBorders>
              <w:top w:val="single" w:sz="6" w:space="0" w:color="auto"/>
              <w:left w:val="single" w:sz="6" w:space="0" w:color="auto"/>
              <w:bottom w:val="single" w:sz="6" w:space="0" w:color="auto"/>
              <w:right w:val="single" w:sz="6" w:space="0" w:color="auto"/>
            </w:tcBorders>
            <w:vAlign w:val="center"/>
          </w:tcPr>
          <w:p w14:paraId="3CF24BA5" w14:textId="7ABC2504" w:rsidR="00B20EB3" w:rsidRPr="000926EA" w:rsidRDefault="00B20EB3" w:rsidP="00B20EB3">
            <w:pPr>
              <w:keepLines/>
              <w:spacing w:before="40" w:after="40" w:line="190" w:lineRule="exact"/>
              <w:jc w:val="center"/>
              <w:rPr>
                <w:sz w:val="20"/>
                <w:szCs w:val="20"/>
              </w:rPr>
            </w:pPr>
            <w:r w:rsidRPr="008F320E">
              <w:rPr>
                <w:sz w:val="18"/>
                <w:szCs w:val="18"/>
                <w:lang w:val="de-DE"/>
              </w:rPr>
              <w:t>4</w:t>
            </w:r>
          </w:p>
        </w:tc>
        <w:tc>
          <w:tcPr>
            <w:tcW w:w="2802" w:type="dxa"/>
            <w:tcBorders>
              <w:top w:val="single" w:sz="6" w:space="0" w:color="auto"/>
              <w:left w:val="single" w:sz="6" w:space="0" w:color="auto"/>
              <w:bottom w:val="single" w:sz="6" w:space="0" w:color="auto"/>
              <w:right w:val="single" w:sz="6" w:space="0" w:color="auto"/>
            </w:tcBorders>
            <w:vAlign w:val="center"/>
          </w:tcPr>
          <w:p w14:paraId="625E0C38" w14:textId="1EE4F77A" w:rsidR="00B20EB3" w:rsidRPr="000926EA" w:rsidRDefault="00B20EB3" w:rsidP="00B20EB3">
            <w:pPr>
              <w:keepLines/>
              <w:spacing w:before="40" w:after="40" w:line="190" w:lineRule="exact"/>
              <w:jc w:val="left"/>
              <w:rPr>
                <w:sz w:val="20"/>
                <w:szCs w:val="20"/>
              </w:rPr>
            </w:pPr>
            <w:proofErr w:type="spellStart"/>
            <w:r w:rsidRPr="008F320E">
              <w:rPr>
                <w:sz w:val="18"/>
                <w:szCs w:val="18"/>
                <w:lang w:val="de-DE"/>
              </w:rPr>
              <w:t>Section</w:t>
            </w:r>
            <w:proofErr w:type="spellEnd"/>
            <w:r w:rsidRPr="008F320E">
              <w:rPr>
                <w:sz w:val="18"/>
                <w:szCs w:val="18"/>
                <w:lang w:val="de-DE"/>
              </w:rPr>
              <w:t xml:space="preserve"> 4.1</w:t>
            </w:r>
          </w:p>
        </w:tc>
        <w:tc>
          <w:tcPr>
            <w:tcW w:w="2977" w:type="dxa"/>
            <w:tcBorders>
              <w:top w:val="single" w:sz="6" w:space="0" w:color="auto"/>
              <w:left w:val="single" w:sz="6" w:space="0" w:color="auto"/>
              <w:bottom w:val="single" w:sz="6" w:space="0" w:color="auto"/>
              <w:right w:val="single" w:sz="6" w:space="0" w:color="auto"/>
            </w:tcBorders>
            <w:vAlign w:val="center"/>
          </w:tcPr>
          <w:p w14:paraId="4D07A892" w14:textId="50F6C1E2" w:rsidR="00B20EB3" w:rsidRPr="000926EA" w:rsidRDefault="00B20EB3" w:rsidP="00B20EB3">
            <w:pPr>
              <w:keepLines/>
              <w:spacing w:before="40" w:after="40" w:line="190" w:lineRule="exact"/>
              <w:jc w:val="left"/>
              <w:rPr>
                <w:sz w:val="20"/>
                <w:szCs w:val="20"/>
              </w:rPr>
            </w:pPr>
            <w:r w:rsidRPr="008F320E">
              <w:rPr>
                <w:sz w:val="18"/>
                <w:szCs w:val="18"/>
                <w:lang w:val="de-DE"/>
              </w:rPr>
              <w:t xml:space="preserve">Paragraph 13 - </w:t>
            </w:r>
            <w:proofErr w:type="spellStart"/>
            <w:r w:rsidRPr="008F320E">
              <w:rPr>
                <w:sz w:val="18"/>
                <w:szCs w:val="18"/>
                <w:lang w:val="de-DE"/>
              </w:rPr>
              <w:t>Conservativeness</w:t>
            </w:r>
            <w:proofErr w:type="spellEnd"/>
          </w:p>
        </w:tc>
        <w:tc>
          <w:tcPr>
            <w:tcW w:w="4536" w:type="dxa"/>
            <w:tcBorders>
              <w:top w:val="single" w:sz="6" w:space="0" w:color="auto"/>
              <w:left w:val="single" w:sz="6" w:space="0" w:color="auto"/>
              <w:bottom w:val="single" w:sz="6" w:space="0" w:color="auto"/>
              <w:right w:val="single" w:sz="6" w:space="0" w:color="auto"/>
            </w:tcBorders>
            <w:vAlign w:val="center"/>
          </w:tcPr>
          <w:p w14:paraId="39DAB5EB" w14:textId="2578EEA5" w:rsidR="00B20EB3" w:rsidRPr="000926EA" w:rsidRDefault="00B20EB3" w:rsidP="00B20EB3">
            <w:pPr>
              <w:keepLines/>
              <w:spacing w:before="40" w:after="40" w:line="190" w:lineRule="exact"/>
              <w:jc w:val="left"/>
              <w:rPr>
                <w:sz w:val="20"/>
                <w:szCs w:val="20"/>
              </w:rPr>
            </w:pPr>
            <w:r w:rsidRPr="008F320E">
              <w:rPr>
                <w:sz w:val="18"/>
                <w:szCs w:val="18"/>
                <w:lang w:val="en-US"/>
              </w:rPr>
              <w:t>The redefinition of conservativeness for suppressed demand - ensuring "neither the baseline emissions nor the level of service for meeting basic human needs are overestimated" - establishes important precedent. This same principle applies to development-optimal baselines where conservativeness means using financially viable carbon-intensive investments as realistic baselines without artificial inflation, while ensuring green alternatives deliver genuine additionality.</w:t>
            </w:r>
          </w:p>
        </w:tc>
        <w:tc>
          <w:tcPr>
            <w:tcW w:w="4856" w:type="dxa"/>
            <w:tcBorders>
              <w:top w:val="single" w:sz="6" w:space="0" w:color="auto"/>
              <w:left w:val="single" w:sz="6" w:space="0" w:color="auto"/>
              <w:bottom w:val="single" w:sz="6" w:space="0" w:color="auto"/>
              <w:right w:val="single" w:sz="6" w:space="0" w:color="auto"/>
            </w:tcBorders>
            <w:vAlign w:val="center"/>
          </w:tcPr>
          <w:p w14:paraId="1681B9C9" w14:textId="2B67E6DE" w:rsidR="00B20EB3" w:rsidRPr="000926EA" w:rsidRDefault="00B20EB3" w:rsidP="00B20EB3">
            <w:pPr>
              <w:keepLines/>
              <w:spacing w:before="40" w:after="40" w:line="190" w:lineRule="exact"/>
              <w:jc w:val="left"/>
              <w:rPr>
                <w:sz w:val="20"/>
                <w:szCs w:val="20"/>
              </w:rPr>
            </w:pPr>
            <w:r w:rsidRPr="008F320E">
              <w:rPr>
                <w:sz w:val="18"/>
                <w:szCs w:val="18"/>
                <w:lang w:val="en-US"/>
              </w:rPr>
              <w:t>No change to existing paragraph 13. Add complementary paragraph: "For development-optimal baselines, conservativeness means ensuring that: (a) baseline technologies represent genuinely financially viable investments under current economic conditions, accounting for all societal costs including local environmental and social impacts but excluding global climate costs; (b) baseline emissions reflect actual performance of such investments without artificial inflation; and (c) green alternatives demonstrate genuine additionality and incremental emission reductions."</w:t>
            </w:r>
          </w:p>
        </w:tc>
      </w:tr>
      <w:tr w:rsidR="00B20EB3" w:rsidRPr="000926EA" w14:paraId="6D7EE0FA" w14:textId="77777777" w:rsidTr="000C066F">
        <w:trPr>
          <w:cantSplit/>
          <w:jc w:val="center"/>
        </w:trPr>
        <w:tc>
          <w:tcPr>
            <w:tcW w:w="743" w:type="dxa"/>
            <w:tcBorders>
              <w:top w:val="single" w:sz="6" w:space="0" w:color="auto"/>
              <w:left w:val="single" w:sz="6" w:space="0" w:color="auto"/>
              <w:bottom w:val="single" w:sz="6" w:space="0" w:color="auto"/>
              <w:right w:val="single" w:sz="6" w:space="0" w:color="auto"/>
            </w:tcBorders>
            <w:vAlign w:val="center"/>
          </w:tcPr>
          <w:p w14:paraId="3B6D3DC5" w14:textId="31C821DB" w:rsidR="00B20EB3" w:rsidRPr="000926EA" w:rsidRDefault="00B20EB3" w:rsidP="00B20EB3">
            <w:pPr>
              <w:keepLines/>
              <w:spacing w:before="40" w:after="40" w:line="190" w:lineRule="exact"/>
              <w:jc w:val="center"/>
              <w:rPr>
                <w:sz w:val="20"/>
                <w:szCs w:val="20"/>
              </w:rPr>
            </w:pPr>
            <w:r w:rsidRPr="008F320E">
              <w:rPr>
                <w:sz w:val="18"/>
                <w:szCs w:val="18"/>
                <w:lang w:val="de-DE"/>
              </w:rPr>
              <w:t>5</w:t>
            </w:r>
          </w:p>
        </w:tc>
        <w:tc>
          <w:tcPr>
            <w:tcW w:w="2802" w:type="dxa"/>
            <w:tcBorders>
              <w:top w:val="single" w:sz="6" w:space="0" w:color="auto"/>
              <w:left w:val="single" w:sz="6" w:space="0" w:color="auto"/>
              <w:bottom w:val="single" w:sz="6" w:space="0" w:color="auto"/>
              <w:right w:val="single" w:sz="6" w:space="0" w:color="auto"/>
            </w:tcBorders>
            <w:vAlign w:val="center"/>
          </w:tcPr>
          <w:p w14:paraId="4A44648D" w14:textId="65C7AE04" w:rsidR="00B20EB3" w:rsidRPr="000926EA" w:rsidRDefault="00B20EB3" w:rsidP="00B20EB3">
            <w:pPr>
              <w:keepLines/>
              <w:spacing w:before="40" w:after="40" w:line="190" w:lineRule="exact"/>
              <w:jc w:val="left"/>
              <w:rPr>
                <w:sz w:val="20"/>
                <w:szCs w:val="20"/>
              </w:rPr>
            </w:pPr>
            <w:proofErr w:type="spellStart"/>
            <w:r w:rsidRPr="008F320E">
              <w:rPr>
                <w:sz w:val="18"/>
                <w:szCs w:val="18"/>
                <w:lang w:val="de-DE"/>
              </w:rPr>
              <w:t>Section</w:t>
            </w:r>
            <w:proofErr w:type="spellEnd"/>
            <w:r w:rsidRPr="008F320E">
              <w:rPr>
                <w:sz w:val="18"/>
                <w:szCs w:val="18"/>
                <w:lang w:val="de-DE"/>
              </w:rPr>
              <w:t xml:space="preserve"> 5.2</w:t>
            </w:r>
          </w:p>
        </w:tc>
        <w:tc>
          <w:tcPr>
            <w:tcW w:w="2977" w:type="dxa"/>
            <w:tcBorders>
              <w:top w:val="single" w:sz="6" w:space="0" w:color="auto"/>
              <w:left w:val="single" w:sz="6" w:space="0" w:color="auto"/>
              <w:bottom w:val="single" w:sz="6" w:space="0" w:color="auto"/>
              <w:right w:val="single" w:sz="6" w:space="0" w:color="auto"/>
            </w:tcBorders>
            <w:vAlign w:val="center"/>
          </w:tcPr>
          <w:p w14:paraId="3CD2647E" w14:textId="386BB907" w:rsidR="00B20EB3" w:rsidRPr="000926EA" w:rsidRDefault="00B20EB3" w:rsidP="00B20EB3">
            <w:pPr>
              <w:keepLines/>
              <w:spacing w:before="40" w:after="40" w:line="190" w:lineRule="exact"/>
              <w:jc w:val="left"/>
              <w:rPr>
                <w:sz w:val="20"/>
                <w:szCs w:val="20"/>
              </w:rPr>
            </w:pPr>
            <w:r w:rsidRPr="008F320E">
              <w:rPr>
                <w:sz w:val="18"/>
                <w:szCs w:val="18"/>
                <w:lang w:val="en-US"/>
              </w:rPr>
              <w:t>After Paragraph 22 - Level of service</w:t>
            </w:r>
          </w:p>
        </w:tc>
        <w:tc>
          <w:tcPr>
            <w:tcW w:w="4536" w:type="dxa"/>
            <w:tcBorders>
              <w:top w:val="single" w:sz="6" w:space="0" w:color="auto"/>
              <w:left w:val="single" w:sz="6" w:space="0" w:color="auto"/>
              <w:bottom w:val="single" w:sz="6" w:space="0" w:color="auto"/>
              <w:right w:val="single" w:sz="6" w:space="0" w:color="auto"/>
            </w:tcBorders>
            <w:vAlign w:val="center"/>
          </w:tcPr>
          <w:p w14:paraId="6E66057F" w14:textId="17A618C3" w:rsidR="00B20EB3" w:rsidRPr="000926EA" w:rsidRDefault="00B20EB3" w:rsidP="00B20EB3">
            <w:pPr>
              <w:keepLines/>
              <w:spacing w:before="40" w:after="40" w:line="190" w:lineRule="exact"/>
              <w:jc w:val="left"/>
              <w:rPr>
                <w:sz w:val="20"/>
                <w:szCs w:val="20"/>
              </w:rPr>
            </w:pPr>
            <w:r w:rsidRPr="008F320E">
              <w:rPr>
                <w:sz w:val="18"/>
                <w:szCs w:val="18"/>
                <w:lang w:val="en-US"/>
              </w:rPr>
              <w:t>The standard's approach to establishing service level thresholds for basic human needs provides excellent methodology. Development-optimal baselines could apply similar rigor to establish financially viable technology thresholds for broader infrastructure categories, maintaining the same climate justice foundation while addressing the full spectrum of development needs beyond basic human subsistence.</w:t>
            </w:r>
          </w:p>
        </w:tc>
        <w:tc>
          <w:tcPr>
            <w:tcW w:w="4856" w:type="dxa"/>
            <w:tcBorders>
              <w:top w:val="single" w:sz="6" w:space="0" w:color="auto"/>
              <w:left w:val="single" w:sz="6" w:space="0" w:color="auto"/>
              <w:bottom w:val="single" w:sz="6" w:space="0" w:color="auto"/>
              <w:right w:val="single" w:sz="6" w:space="0" w:color="auto"/>
            </w:tcBorders>
            <w:vAlign w:val="center"/>
          </w:tcPr>
          <w:p w14:paraId="5AEDBD2A" w14:textId="5A10B4CC" w:rsidR="00B20EB3" w:rsidRPr="000926EA" w:rsidRDefault="00B20EB3" w:rsidP="00B20EB3">
            <w:pPr>
              <w:keepLines/>
              <w:spacing w:before="40" w:after="40" w:line="190" w:lineRule="exact"/>
              <w:jc w:val="left"/>
              <w:rPr>
                <w:sz w:val="20"/>
                <w:szCs w:val="20"/>
              </w:rPr>
            </w:pPr>
            <w:r w:rsidRPr="008F320E">
              <w:rPr>
                <w:sz w:val="18"/>
                <w:szCs w:val="18"/>
                <w:lang w:val="en-US"/>
              </w:rPr>
              <w:t xml:space="preserve">Add new section after paragraph 22: "Complementary Development-Optimal Service Levels: For infrastructure investments exceeding basic human needs thresholds, development-optimal baselines may establish financially viable technology standards for different infrastructure categories, provided such standards: (a) reflect genuine financial viability under current economic conditions, including all societal costs except global climate costs; (b) represent optimal development pathways considering country-specific constraints and local environmental impacts; and (c) are validated by multilateral development banks or equivalent development finance </w:t>
            </w:r>
            <w:r>
              <w:rPr>
                <w:sz w:val="18"/>
                <w:szCs w:val="18"/>
              </w:rPr>
              <w:t xml:space="preserve">or verification </w:t>
            </w:r>
            <w:r w:rsidRPr="008F320E">
              <w:rPr>
                <w:sz w:val="18"/>
                <w:szCs w:val="18"/>
                <w:lang w:val="en-US"/>
              </w:rPr>
              <w:t>institutions</w:t>
            </w:r>
            <w:r>
              <w:rPr>
                <w:sz w:val="18"/>
                <w:szCs w:val="18"/>
              </w:rPr>
              <w:t xml:space="preserve"> deemed as neutral agents to determine development-optimal baselines</w:t>
            </w:r>
            <w:r w:rsidRPr="008F320E">
              <w:rPr>
                <w:sz w:val="18"/>
                <w:szCs w:val="18"/>
                <w:lang w:val="en-US"/>
              </w:rPr>
              <w:t>."</w:t>
            </w:r>
          </w:p>
        </w:tc>
      </w:tr>
      <w:tr w:rsidR="00B20EB3" w:rsidRPr="000926EA" w14:paraId="19554E5A" w14:textId="77777777" w:rsidTr="000C066F">
        <w:trPr>
          <w:cantSplit/>
          <w:jc w:val="center"/>
        </w:trPr>
        <w:tc>
          <w:tcPr>
            <w:tcW w:w="743" w:type="dxa"/>
            <w:tcBorders>
              <w:top w:val="single" w:sz="6" w:space="0" w:color="auto"/>
              <w:left w:val="single" w:sz="6" w:space="0" w:color="auto"/>
              <w:bottom w:val="single" w:sz="6" w:space="0" w:color="auto"/>
              <w:right w:val="single" w:sz="6" w:space="0" w:color="auto"/>
            </w:tcBorders>
            <w:vAlign w:val="center"/>
          </w:tcPr>
          <w:p w14:paraId="146EBAB5" w14:textId="4DF4ECA5" w:rsidR="00B20EB3" w:rsidRPr="000926EA" w:rsidRDefault="00B20EB3" w:rsidP="00B20EB3">
            <w:pPr>
              <w:keepLines/>
              <w:spacing w:before="40" w:after="40" w:line="190" w:lineRule="exact"/>
              <w:jc w:val="center"/>
              <w:rPr>
                <w:sz w:val="20"/>
                <w:szCs w:val="20"/>
              </w:rPr>
            </w:pPr>
            <w:r w:rsidRPr="008F320E">
              <w:rPr>
                <w:sz w:val="18"/>
                <w:szCs w:val="18"/>
                <w:lang w:val="de-DE"/>
              </w:rPr>
              <w:lastRenderedPageBreak/>
              <w:t>6</w:t>
            </w:r>
          </w:p>
        </w:tc>
        <w:tc>
          <w:tcPr>
            <w:tcW w:w="2802" w:type="dxa"/>
            <w:tcBorders>
              <w:top w:val="single" w:sz="6" w:space="0" w:color="auto"/>
              <w:left w:val="single" w:sz="6" w:space="0" w:color="auto"/>
              <w:bottom w:val="single" w:sz="6" w:space="0" w:color="auto"/>
              <w:right w:val="single" w:sz="6" w:space="0" w:color="auto"/>
            </w:tcBorders>
            <w:vAlign w:val="center"/>
          </w:tcPr>
          <w:p w14:paraId="3B84101A" w14:textId="48275D6B" w:rsidR="00B20EB3" w:rsidRPr="000926EA" w:rsidRDefault="00B20EB3" w:rsidP="00B20EB3">
            <w:pPr>
              <w:keepLines/>
              <w:spacing w:before="40" w:after="40" w:line="190" w:lineRule="exact"/>
              <w:jc w:val="left"/>
              <w:rPr>
                <w:sz w:val="20"/>
                <w:szCs w:val="20"/>
              </w:rPr>
            </w:pPr>
            <w:proofErr w:type="spellStart"/>
            <w:r w:rsidRPr="008F320E">
              <w:rPr>
                <w:sz w:val="18"/>
                <w:szCs w:val="18"/>
                <w:lang w:val="de-DE"/>
              </w:rPr>
              <w:t>Section</w:t>
            </w:r>
            <w:proofErr w:type="spellEnd"/>
            <w:r w:rsidRPr="008F320E">
              <w:rPr>
                <w:sz w:val="18"/>
                <w:szCs w:val="18"/>
                <w:lang w:val="de-DE"/>
              </w:rPr>
              <w:t xml:space="preserve"> 5.3</w:t>
            </w:r>
          </w:p>
        </w:tc>
        <w:tc>
          <w:tcPr>
            <w:tcW w:w="2977" w:type="dxa"/>
            <w:tcBorders>
              <w:top w:val="single" w:sz="6" w:space="0" w:color="auto"/>
              <w:left w:val="single" w:sz="6" w:space="0" w:color="auto"/>
              <w:bottom w:val="single" w:sz="6" w:space="0" w:color="auto"/>
              <w:right w:val="single" w:sz="6" w:space="0" w:color="auto"/>
            </w:tcBorders>
            <w:vAlign w:val="center"/>
          </w:tcPr>
          <w:p w14:paraId="546A7CED" w14:textId="2937A5CB" w:rsidR="00B20EB3" w:rsidRPr="000926EA" w:rsidRDefault="00B20EB3" w:rsidP="00B20EB3">
            <w:pPr>
              <w:keepLines/>
              <w:spacing w:before="40" w:after="40" w:line="190" w:lineRule="exact"/>
              <w:jc w:val="left"/>
              <w:rPr>
                <w:sz w:val="20"/>
                <w:szCs w:val="20"/>
              </w:rPr>
            </w:pPr>
            <w:r w:rsidRPr="008F320E">
              <w:rPr>
                <w:sz w:val="18"/>
                <w:szCs w:val="18"/>
                <w:lang w:val="de-DE"/>
              </w:rPr>
              <w:t xml:space="preserve">Paragraph 31(d) - Alternative </w:t>
            </w:r>
            <w:proofErr w:type="spellStart"/>
            <w:r w:rsidRPr="008F320E">
              <w:rPr>
                <w:sz w:val="18"/>
                <w:szCs w:val="18"/>
                <w:lang w:val="de-DE"/>
              </w:rPr>
              <w:t>evidence</w:t>
            </w:r>
            <w:proofErr w:type="spellEnd"/>
          </w:p>
        </w:tc>
        <w:tc>
          <w:tcPr>
            <w:tcW w:w="4536" w:type="dxa"/>
            <w:tcBorders>
              <w:top w:val="single" w:sz="6" w:space="0" w:color="auto"/>
              <w:left w:val="single" w:sz="6" w:space="0" w:color="auto"/>
              <w:bottom w:val="single" w:sz="6" w:space="0" w:color="auto"/>
              <w:right w:val="single" w:sz="6" w:space="0" w:color="auto"/>
            </w:tcBorders>
            <w:vAlign w:val="center"/>
          </w:tcPr>
          <w:p w14:paraId="144774E1" w14:textId="56E02101" w:rsidR="00B20EB3" w:rsidRPr="000926EA" w:rsidRDefault="00B20EB3" w:rsidP="00B20EB3">
            <w:pPr>
              <w:keepLines/>
              <w:spacing w:before="40" w:after="40" w:line="190" w:lineRule="exact"/>
              <w:jc w:val="left"/>
              <w:rPr>
                <w:sz w:val="20"/>
                <w:szCs w:val="20"/>
              </w:rPr>
            </w:pPr>
            <w:r w:rsidRPr="008F320E">
              <w:rPr>
                <w:sz w:val="18"/>
                <w:szCs w:val="18"/>
                <w:lang w:val="en-US"/>
              </w:rPr>
              <w:t>The flexibility allowing baselines based on "technology and/or practice that can be demonstrated through studies, documents, or third-party records" creates valuable precedent for development-responsive approaches. This same flexibility should extend to development-optimal baselines where multilateral development banks can validate financially viable carbon-intensive technologies as appropriate baselines, even when such assessments aren't reflected in official government records.</w:t>
            </w:r>
          </w:p>
        </w:tc>
        <w:tc>
          <w:tcPr>
            <w:tcW w:w="4856" w:type="dxa"/>
            <w:tcBorders>
              <w:top w:val="single" w:sz="6" w:space="0" w:color="auto"/>
              <w:left w:val="single" w:sz="6" w:space="0" w:color="auto"/>
              <w:bottom w:val="single" w:sz="6" w:space="0" w:color="auto"/>
              <w:right w:val="single" w:sz="6" w:space="0" w:color="auto"/>
            </w:tcBorders>
            <w:vAlign w:val="center"/>
          </w:tcPr>
          <w:p w14:paraId="145B9AFB" w14:textId="6F5F0F68" w:rsidR="00B20EB3" w:rsidRPr="000926EA" w:rsidRDefault="00B20EB3" w:rsidP="00B20EB3">
            <w:pPr>
              <w:keepLines/>
              <w:spacing w:before="40" w:after="40" w:line="190" w:lineRule="exact"/>
              <w:jc w:val="left"/>
              <w:rPr>
                <w:sz w:val="20"/>
                <w:szCs w:val="20"/>
              </w:rPr>
            </w:pPr>
            <w:r w:rsidRPr="008F320E">
              <w:rPr>
                <w:sz w:val="18"/>
                <w:szCs w:val="18"/>
                <w:lang w:val="en-US"/>
              </w:rPr>
              <w:t>No change to existing 31(d). Add complementary provision: "Development-optimal baselines may similarly be based on financially viable carbon-intensive technologies validated by multilateral development banks through feasibility studies, economic assessments, or development strategy documents, whereby such validation may serve as sufficient evidence of baseline appropriateness even when not documented in official national records."</w:t>
            </w:r>
          </w:p>
        </w:tc>
      </w:tr>
      <w:tr w:rsidR="00B20EB3" w:rsidRPr="000926EA" w14:paraId="611D5900" w14:textId="77777777" w:rsidTr="000C066F">
        <w:trPr>
          <w:cantSplit/>
          <w:jc w:val="center"/>
        </w:trPr>
        <w:tc>
          <w:tcPr>
            <w:tcW w:w="743" w:type="dxa"/>
            <w:tcBorders>
              <w:top w:val="single" w:sz="6" w:space="0" w:color="auto"/>
              <w:left w:val="single" w:sz="6" w:space="0" w:color="auto"/>
              <w:bottom w:val="single" w:sz="6" w:space="0" w:color="auto"/>
              <w:right w:val="single" w:sz="6" w:space="0" w:color="auto"/>
            </w:tcBorders>
            <w:vAlign w:val="center"/>
          </w:tcPr>
          <w:p w14:paraId="149DB787" w14:textId="3DEC4000" w:rsidR="00B20EB3" w:rsidRPr="008F320E" w:rsidRDefault="00B20EB3" w:rsidP="00B20EB3">
            <w:pPr>
              <w:keepLines/>
              <w:spacing w:before="40" w:after="40" w:line="190" w:lineRule="exact"/>
              <w:jc w:val="center"/>
              <w:rPr>
                <w:sz w:val="18"/>
                <w:szCs w:val="18"/>
                <w:lang w:val="de-DE"/>
              </w:rPr>
            </w:pPr>
            <w:r w:rsidRPr="008F320E">
              <w:rPr>
                <w:sz w:val="18"/>
                <w:szCs w:val="18"/>
                <w:lang w:val="de-DE"/>
              </w:rPr>
              <w:t>7</w:t>
            </w:r>
          </w:p>
        </w:tc>
        <w:tc>
          <w:tcPr>
            <w:tcW w:w="2802" w:type="dxa"/>
            <w:tcBorders>
              <w:top w:val="single" w:sz="6" w:space="0" w:color="auto"/>
              <w:left w:val="single" w:sz="6" w:space="0" w:color="auto"/>
              <w:bottom w:val="single" w:sz="6" w:space="0" w:color="auto"/>
              <w:right w:val="single" w:sz="6" w:space="0" w:color="auto"/>
            </w:tcBorders>
            <w:vAlign w:val="center"/>
          </w:tcPr>
          <w:p w14:paraId="01966254" w14:textId="2B60022A" w:rsidR="00B20EB3" w:rsidRPr="008F320E" w:rsidRDefault="00B20EB3" w:rsidP="00B20EB3">
            <w:pPr>
              <w:keepLines/>
              <w:spacing w:before="40" w:after="40" w:line="190" w:lineRule="exact"/>
              <w:jc w:val="left"/>
              <w:rPr>
                <w:sz w:val="18"/>
                <w:szCs w:val="18"/>
                <w:lang w:val="de-DE"/>
              </w:rPr>
            </w:pPr>
            <w:proofErr w:type="spellStart"/>
            <w:r w:rsidRPr="008F320E">
              <w:rPr>
                <w:sz w:val="18"/>
                <w:szCs w:val="18"/>
                <w:lang w:val="de-DE"/>
              </w:rPr>
              <w:t>Section</w:t>
            </w:r>
            <w:proofErr w:type="spellEnd"/>
            <w:r w:rsidRPr="008F320E">
              <w:rPr>
                <w:sz w:val="18"/>
                <w:szCs w:val="18"/>
                <w:lang w:val="de-DE"/>
              </w:rPr>
              <w:t xml:space="preserve"> 5.4</w:t>
            </w:r>
          </w:p>
        </w:tc>
        <w:tc>
          <w:tcPr>
            <w:tcW w:w="2977" w:type="dxa"/>
            <w:tcBorders>
              <w:top w:val="single" w:sz="6" w:space="0" w:color="auto"/>
              <w:left w:val="single" w:sz="6" w:space="0" w:color="auto"/>
              <w:bottom w:val="single" w:sz="6" w:space="0" w:color="auto"/>
              <w:right w:val="single" w:sz="6" w:space="0" w:color="auto"/>
            </w:tcBorders>
            <w:vAlign w:val="center"/>
          </w:tcPr>
          <w:p w14:paraId="0146F168" w14:textId="1D3FC7A6" w:rsidR="00B20EB3" w:rsidRPr="008F320E" w:rsidRDefault="00B20EB3" w:rsidP="00B20EB3">
            <w:pPr>
              <w:keepLines/>
              <w:spacing w:before="40" w:after="40" w:line="190" w:lineRule="exact"/>
              <w:jc w:val="left"/>
              <w:rPr>
                <w:sz w:val="18"/>
                <w:szCs w:val="18"/>
                <w:lang w:val="de-DE"/>
              </w:rPr>
            </w:pPr>
            <w:r w:rsidRPr="008F320E">
              <w:rPr>
                <w:sz w:val="18"/>
                <w:szCs w:val="18"/>
                <w:lang w:val="de-DE"/>
              </w:rPr>
              <w:t xml:space="preserve">Paragraph 33 - Monitoring </w:t>
            </w:r>
            <w:proofErr w:type="spellStart"/>
            <w:r w:rsidRPr="008F320E">
              <w:rPr>
                <w:sz w:val="18"/>
                <w:szCs w:val="18"/>
                <w:lang w:val="de-DE"/>
              </w:rPr>
              <w:t>approach</w:t>
            </w:r>
            <w:proofErr w:type="spellEnd"/>
          </w:p>
        </w:tc>
        <w:tc>
          <w:tcPr>
            <w:tcW w:w="4536" w:type="dxa"/>
            <w:tcBorders>
              <w:top w:val="single" w:sz="6" w:space="0" w:color="auto"/>
              <w:left w:val="single" w:sz="6" w:space="0" w:color="auto"/>
              <w:bottom w:val="single" w:sz="6" w:space="0" w:color="auto"/>
              <w:right w:val="single" w:sz="6" w:space="0" w:color="auto"/>
            </w:tcBorders>
            <w:vAlign w:val="center"/>
          </w:tcPr>
          <w:p w14:paraId="19A7E1CD" w14:textId="32DADC3C" w:rsidR="00B20EB3" w:rsidRPr="008F320E" w:rsidRDefault="00B20EB3" w:rsidP="00B20EB3">
            <w:pPr>
              <w:keepLines/>
              <w:spacing w:before="40" w:after="40" w:line="190" w:lineRule="exact"/>
              <w:jc w:val="left"/>
              <w:rPr>
                <w:sz w:val="18"/>
                <w:szCs w:val="18"/>
                <w:lang w:val="en-US"/>
              </w:rPr>
            </w:pPr>
            <w:r w:rsidRPr="008F320E">
              <w:rPr>
                <w:sz w:val="18"/>
                <w:szCs w:val="18"/>
                <w:lang w:val="en-US"/>
              </w:rPr>
              <w:t>The monitoring framework for suppressed demand conditions provides excellent methodology for ensuring ongoing appropriateness. Development-optimal baselines should apply similar monitoring to verify that: (a) carbon-intensive baseline technologies remain financially viable; (b) green alternatives continue to require additional climate finance</w:t>
            </w:r>
            <w:r>
              <w:rPr>
                <w:sz w:val="18"/>
                <w:szCs w:val="18"/>
              </w:rPr>
              <w:t xml:space="preserve"> to achieve at least the same overall development impact</w:t>
            </w:r>
            <w:r w:rsidRPr="008F320E">
              <w:rPr>
                <w:sz w:val="18"/>
                <w:szCs w:val="18"/>
                <w:lang w:val="en-US"/>
              </w:rPr>
              <w:t>; and (c) the baseline continues to represent optimal development pathways under evolving economic conditions.</w:t>
            </w:r>
          </w:p>
        </w:tc>
        <w:tc>
          <w:tcPr>
            <w:tcW w:w="4856" w:type="dxa"/>
            <w:tcBorders>
              <w:top w:val="single" w:sz="6" w:space="0" w:color="auto"/>
              <w:left w:val="single" w:sz="6" w:space="0" w:color="auto"/>
              <w:bottom w:val="single" w:sz="6" w:space="0" w:color="auto"/>
              <w:right w:val="single" w:sz="6" w:space="0" w:color="auto"/>
            </w:tcBorders>
            <w:vAlign w:val="center"/>
          </w:tcPr>
          <w:p w14:paraId="588E2B3B" w14:textId="113FB4BA" w:rsidR="00B20EB3" w:rsidRPr="008F320E" w:rsidRDefault="00B20EB3" w:rsidP="00B20EB3">
            <w:pPr>
              <w:keepLines/>
              <w:spacing w:before="40" w:after="40" w:line="190" w:lineRule="exact"/>
              <w:jc w:val="left"/>
              <w:rPr>
                <w:sz w:val="18"/>
                <w:szCs w:val="18"/>
                <w:lang w:val="en-US"/>
              </w:rPr>
            </w:pPr>
            <w:r w:rsidRPr="008F320E">
              <w:rPr>
                <w:sz w:val="18"/>
                <w:szCs w:val="18"/>
                <w:lang w:val="en-US"/>
              </w:rPr>
              <w:t>No change to existing monitoring provisions. Add complementary paragraph: "Development-optimal baseline conditions shall be monitored using indicators such as: (a) continued financial viability of baseline carbon-intensive technologies; (b) financing gaps for green alternative technologies</w:t>
            </w:r>
            <w:r>
              <w:rPr>
                <w:sz w:val="18"/>
                <w:szCs w:val="18"/>
              </w:rPr>
              <w:t xml:space="preserve"> to achieve at least the same overall development impact</w:t>
            </w:r>
            <w:r w:rsidRPr="008F320E">
              <w:rPr>
                <w:sz w:val="18"/>
                <w:szCs w:val="18"/>
                <w:lang w:val="en-US"/>
              </w:rPr>
              <w:t>; (c) evolution of country-specific development priorities and economic constraints; and (d) availability and cost of climate finance for green alternatives."</w:t>
            </w:r>
          </w:p>
        </w:tc>
      </w:tr>
      <w:tr w:rsidR="00B20EB3" w:rsidRPr="000926EA" w14:paraId="06170CC7" w14:textId="77777777" w:rsidTr="000C066F">
        <w:trPr>
          <w:cantSplit/>
          <w:jc w:val="center"/>
        </w:trPr>
        <w:tc>
          <w:tcPr>
            <w:tcW w:w="743" w:type="dxa"/>
            <w:tcBorders>
              <w:top w:val="single" w:sz="6" w:space="0" w:color="auto"/>
              <w:left w:val="single" w:sz="6" w:space="0" w:color="auto"/>
              <w:bottom w:val="single" w:sz="6" w:space="0" w:color="auto"/>
              <w:right w:val="single" w:sz="6" w:space="0" w:color="auto"/>
            </w:tcBorders>
            <w:vAlign w:val="center"/>
          </w:tcPr>
          <w:p w14:paraId="048F346E" w14:textId="3D51DC26" w:rsidR="00B20EB3" w:rsidRPr="008F320E" w:rsidRDefault="00B20EB3" w:rsidP="00B20EB3">
            <w:pPr>
              <w:keepLines/>
              <w:spacing w:before="40" w:after="40" w:line="190" w:lineRule="exact"/>
              <w:jc w:val="center"/>
              <w:rPr>
                <w:sz w:val="18"/>
                <w:szCs w:val="18"/>
                <w:lang w:val="de-DE"/>
              </w:rPr>
            </w:pPr>
            <w:r w:rsidRPr="008F320E">
              <w:rPr>
                <w:sz w:val="18"/>
                <w:szCs w:val="18"/>
                <w:lang w:val="de-DE"/>
              </w:rPr>
              <w:t>8</w:t>
            </w:r>
          </w:p>
        </w:tc>
        <w:tc>
          <w:tcPr>
            <w:tcW w:w="2802" w:type="dxa"/>
            <w:tcBorders>
              <w:top w:val="single" w:sz="6" w:space="0" w:color="auto"/>
              <w:left w:val="single" w:sz="6" w:space="0" w:color="auto"/>
              <w:bottom w:val="single" w:sz="6" w:space="0" w:color="auto"/>
              <w:right w:val="single" w:sz="6" w:space="0" w:color="auto"/>
            </w:tcBorders>
            <w:vAlign w:val="center"/>
          </w:tcPr>
          <w:p w14:paraId="04DB1B15" w14:textId="08777DF1" w:rsidR="00B20EB3" w:rsidRPr="008F320E" w:rsidRDefault="00B20EB3" w:rsidP="00B20EB3">
            <w:pPr>
              <w:keepLines/>
              <w:spacing w:before="40" w:after="40" w:line="190" w:lineRule="exact"/>
              <w:jc w:val="left"/>
              <w:rPr>
                <w:sz w:val="18"/>
                <w:szCs w:val="18"/>
                <w:lang w:val="de-DE"/>
              </w:rPr>
            </w:pPr>
            <w:r w:rsidRPr="008F320E">
              <w:rPr>
                <w:sz w:val="18"/>
                <w:szCs w:val="18"/>
                <w:lang w:val="de-DE"/>
              </w:rPr>
              <w:t xml:space="preserve">New </w:t>
            </w:r>
            <w:proofErr w:type="spellStart"/>
            <w:r w:rsidRPr="008F320E">
              <w:rPr>
                <w:sz w:val="18"/>
                <w:szCs w:val="18"/>
                <w:lang w:val="de-DE"/>
              </w:rPr>
              <w:t>Section</w:t>
            </w:r>
            <w:proofErr w:type="spellEnd"/>
          </w:p>
        </w:tc>
        <w:tc>
          <w:tcPr>
            <w:tcW w:w="2977" w:type="dxa"/>
            <w:tcBorders>
              <w:top w:val="single" w:sz="6" w:space="0" w:color="auto"/>
              <w:left w:val="single" w:sz="6" w:space="0" w:color="auto"/>
              <w:bottom w:val="single" w:sz="6" w:space="0" w:color="auto"/>
              <w:right w:val="single" w:sz="6" w:space="0" w:color="auto"/>
            </w:tcBorders>
            <w:vAlign w:val="center"/>
          </w:tcPr>
          <w:p w14:paraId="64AAB42B" w14:textId="6B273BBF" w:rsidR="00B20EB3" w:rsidRPr="008F320E" w:rsidRDefault="00B20EB3" w:rsidP="00B20EB3">
            <w:pPr>
              <w:keepLines/>
              <w:spacing w:before="40" w:after="40" w:line="190" w:lineRule="exact"/>
              <w:jc w:val="left"/>
              <w:rPr>
                <w:sz w:val="18"/>
                <w:szCs w:val="18"/>
                <w:lang w:val="de-DE"/>
              </w:rPr>
            </w:pPr>
            <w:r w:rsidRPr="008F320E">
              <w:rPr>
                <w:sz w:val="18"/>
                <w:szCs w:val="18"/>
                <w:lang w:val="de-DE"/>
              </w:rPr>
              <w:t xml:space="preserve">After </w:t>
            </w:r>
            <w:proofErr w:type="spellStart"/>
            <w:r w:rsidRPr="008F320E">
              <w:rPr>
                <w:sz w:val="18"/>
                <w:szCs w:val="18"/>
                <w:lang w:val="de-DE"/>
              </w:rPr>
              <w:t>Section</w:t>
            </w:r>
            <w:proofErr w:type="spellEnd"/>
            <w:r w:rsidRPr="008F320E">
              <w:rPr>
                <w:sz w:val="18"/>
                <w:szCs w:val="18"/>
                <w:lang w:val="de-DE"/>
              </w:rPr>
              <w:t xml:space="preserve"> 5.4</w:t>
            </w:r>
          </w:p>
        </w:tc>
        <w:tc>
          <w:tcPr>
            <w:tcW w:w="4536" w:type="dxa"/>
            <w:tcBorders>
              <w:top w:val="single" w:sz="6" w:space="0" w:color="auto"/>
              <w:left w:val="single" w:sz="6" w:space="0" w:color="auto"/>
              <w:bottom w:val="single" w:sz="6" w:space="0" w:color="auto"/>
              <w:right w:val="single" w:sz="6" w:space="0" w:color="auto"/>
            </w:tcBorders>
            <w:vAlign w:val="center"/>
          </w:tcPr>
          <w:p w14:paraId="03CEB0AA" w14:textId="5B2C0D3D" w:rsidR="00B20EB3" w:rsidRPr="008F320E" w:rsidRDefault="00B20EB3" w:rsidP="00B20EB3">
            <w:pPr>
              <w:keepLines/>
              <w:spacing w:before="40" w:after="40" w:line="190" w:lineRule="exact"/>
              <w:jc w:val="left"/>
              <w:rPr>
                <w:sz w:val="18"/>
                <w:szCs w:val="18"/>
                <w:lang w:val="en-US"/>
              </w:rPr>
            </w:pPr>
            <w:r w:rsidRPr="008F320E">
              <w:rPr>
                <w:sz w:val="18"/>
                <w:szCs w:val="18"/>
                <w:lang w:val="en-US"/>
              </w:rPr>
              <w:t xml:space="preserve">The suppressed demand standard establishes crucial precedent for development-responsive carbon markets. A complementary framework for development-optimal baselines would extend this climate justice foundation to address the full $1.3T </w:t>
            </w:r>
            <w:r>
              <w:rPr>
                <w:sz w:val="18"/>
                <w:szCs w:val="18"/>
              </w:rPr>
              <w:t xml:space="preserve">climate-positive infrastructure finance </w:t>
            </w:r>
            <w:r w:rsidRPr="008F320E">
              <w:rPr>
                <w:sz w:val="18"/>
                <w:szCs w:val="18"/>
                <w:lang w:val="en-US"/>
              </w:rPr>
              <w:t>gap</w:t>
            </w:r>
            <w:r>
              <w:rPr>
                <w:sz w:val="18"/>
                <w:szCs w:val="18"/>
              </w:rPr>
              <w:t xml:space="preserve"> that needs to come from international sources (outside of EMDEs)</w:t>
            </w:r>
            <w:r w:rsidRPr="008F320E">
              <w:rPr>
                <w:sz w:val="18"/>
                <w:szCs w:val="18"/>
                <w:lang w:val="en-US"/>
              </w:rPr>
              <w:t>. This approach recognizes that optimal development pathways may include transitional technologies that enable eventual clean deployment, provided such baselines reflect genuine financial viability without artificial inflation.</w:t>
            </w:r>
          </w:p>
        </w:tc>
        <w:tc>
          <w:tcPr>
            <w:tcW w:w="4856" w:type="dxa"/>
            <w:tcBorders>
              <w:top w:val="single" w:sz="6" w:space="0" w:color="auto"/>
              <w:left w:val="single" w:sz="6" w:space="0" w:color="auto"/>
              <w:bottom w:val="single" w:sz="6" w:space="0" w:color="auto"/>
              <w:right w:val="single" w:sz="6" w:space="0" w:color="auto"/>
            </w:tcBorders>
            <w:vAlign w:val="center"/>
          </w:tcPr>
          <w:p w14:paraId="2B5C1179" w14:textId="4404CAEE" w:rsidR="00B20EB3" w:rsidRPr="008F320E" w:rsidRDefault="00B20EB3" w:rsidP="00B20EB3">
            <w:pPr>
              <w:keepLines/>
              <w:spacing w:before="40" w:after="40" w:line="190" w:lineRule="exact"/>
              <w:jc w:val="left"/>
              <w:rPr>
                <w:sz w:val="18"/>
                <w:szCs w:val="18"/>
                <w:lang w:val="en-US"/>
              </w:rPr>
            </w:pPr>
            <w:r w:rsidRPr="008F320E">
              <w:rPr>
                <w:sz w:val="18"/>
                <w:szCs w:val="18"/>
                <w:lang w:val="en-US"/>
              </w:rPr>
              <w:t>Add new section: "Section 6. Complementary Development-Optimal Baseline Framework: 6.1 Mechanism methodologies may establish development-optimal baselines for infrastructure investments that exceed basic human needs thresholds, provided such investments: (a) represent financially viable carbon-intensive technologies under current economic conditions, accounting for all societal costs including local environmental and social impacts but excluding global climate costs; (b) serve as non-inflated baselines for quantifying incremental costs of green alternatives; (c) are validated by multilateral development banks as representing optimal development pathways considering local environmental and social impacts; and (d) demonstrate that green alternatives require additional climate finance to achieve viability</w:t>
            </w:r>
            <w:r>
              <w:rPr>
                <w:sz w:val="18"/>
                <w:szCs w:val="18"/>
              </w:rPr>
              <w:t xml:space="preserve"> and achieve at least the same level of development benefits as the development-optimal baseline</w:t>
            </w:r>
            <w:r w:rsidRPr="008F320E">
              <w:rPr>
                <w:sz w:val="18"/>
                <w:szCs w:val="18"/>
                <w:lang w:val="en-US"/>
              </w:rPr>
              <w:t>. 6.2 This framework complements suppressed demand provisions by extending the same climate justice principles to broader development finance challenges while maintaining baseline integrity through comprehensive cost accounting that excludes global climate externalities."</w:t>
            </w:r>
          </w:p>
        </w:tc>
      </w:tr>
    </w:tbl>
    <w:p w14:paraId="2049EFB2" w14:textId="7D5B961F" w:rsidR="00DF4F6B" w:rsidRPr="000926EA" w:rsidRDefault="00FE65CB" w:rsidP="00FE65CB">
      <w:pPr>
        <w:spacing w:line="240" w:lineRule="exact"/>
      </w:pPr>
      <w:r>
        <w:t xml:space="preserve">-- </w:t>
      </w:r>
      <w:r w:rsidR="000926EA">
        <w:t>(</w:t>
      </w:r>
      <w:r w:rsidR="000926EA" w:rsidRPr="000926EA">
        <w:rPr>
          <w:i/>
          <w:iCs/>
        </w:rPr>
        <w:t>Please add rows as required</w:t>
      </w:r>
      <w:r w:rsidR="000926EA">
        <w:t xml:space="preserve">) </w:t>
      </w:r>
      <w:r>
        <w:t>-</w:t>
      </w:r>
    </w:p>
    <w:sectPr w:rsidR="00DF4F6B" w:rsidRPr="000926EA" w:rsidSect="007B1DB4">
      <w:footerReference w:type="even" r:id="rId13"/>
      <w:footerReference w:type="default" r:id="rId14"/>
      <w:type w:val="continuous"/>
      <w:pgSz w:w="16840" w:h="11907" w:orient="landscape" w:code="9"/>
      <w:pgMar w:top="576" w:right="994" w:bottom="850" w:left="850" w:header="563" w:footer="205"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09FA8" w14:textId="77777777" w:rsidR="00C6623C" w:rsidRDefault="00C6623C" w:rsidP="00DF4F6B">
      <w:r>
        <w:separator/>
      </w:r>
    </w:p>
  </w:endnote>
  <w:endnote w:type="continuationSeparator" w:id="0">
    <w:p w14:paraId="1E45E026" w14:textId="77777777" w:rsidR="00C6623C" w:rsidRDefault="00C6623C" w:rsidP="00DF4F6B">
      <w:r>
        <w:continuationSeparator/>
      </w:r>
    </w:p>
  </w:endnote>
  <w:endnote w:type="continuationNotice" w:id="1">
    <w:p w14:paraId="2C061305" w14:textId="77777777" w:rsidR="00C6623C" w:rsidRDefault="00C66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0458" w14:textId="0B1F2ABF" w:rsidR="00E976DA" w:rsidRDefault="00E976DA"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1DB4">
      <w:rPr>
        <w:rStyle w:val="PageNumber"/>
        <w:noProof/>
      </w:rPr>
      <w:t>1</w:t>
    </w:r>
    <w:r>
      <w:rPr>
        <w:rStyle w:val="PageNumber"/>
      </w:rPr>
      <w:fldChar w:fldCharType="end"/>
    </w:r>
  </w:p>
  <w:p w14:paraId="3C5B7471" w14:textId="77777777" w:rsidR="00E976DA" w:rsidRDefault="00E976DA"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E27D5" w14:textId="77777777" w:rsidR="007B1DB4" w:rsidRPr="007B1DB4" w:rsidRDefault="007B1DB4">
    <w:pPr>
      <w:tabs>
        <w:tab w:val="center" w:pos="4550"/>
        <w:tab w:val="left" w:pos="5818"/>
      </w:tabs>
      <w:ind w:right="260"/>
      <w:jc w:val="right"/>
      <w:rPr>
        <w:color w:val="222A35"/>
        <w:sz w:val="20"/>
        <w:szCs w:val="20"/>
      </w:rPr>
    </w:pPr>
    <w:r w:rsidRPr="007B1DB4">
      <w:rPr>
        <w:color w:val="8496B0"/>
        <w:spacing w:val="60"/>
        <w:sz w:val="20"/>
        <w:szCs w:val="20"/>
      </w:rPr>
      <w:t>Page</w:t>
    </w:r>
    <w:r w:rsidRPr="007B1DB4">
      <w:rPr>
        <w:color w:val="8496B0"/>
        <w:sz w:val="20"/>
        <w:szCs w:val="20"/>
      </w:rPr>
      <w:t xml:space="preserve"> </w:t>
    </w:r>
    <w:r w:rsidRPr="007B1DB4">
      <w:rPr>
        <w:color w:val="323E4F"/>
        <w:sz w:val="20"/>
        <w:szCs w:val="20"/>
      </w:rPr>
      <w:fldChar w:fldCharType="begin"/>
    </w:r>
    <w:r w:rsidRPr="007B1DB4">
      <w:rPr>
        <w:color w:val="323E4F"/>
        <w:sz w:val="20"/>
        <w:szCs w:val="20"/>
      </w:rPr>
      <w:instrText xml:space="preserve"> PAGE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r w:rsidRPr="007B1DB4">
      <w:rPr>
        <w:color w:val="323E4F"/>
        <w:sz w:val="20"/>
        <w:szCs w:val="20"/>
      </w:rPr>
      <w:t xml:space="preserve"> | </w:t>
    </w:r>
    <w:r w:rsidRPr="007B1DB4">
      <w:rPr>
        <w:color w:val="323E4F"/>
        <w:sz w:val="20"/>
        <w:szCs w:val="20"/>
      </w:rPr>
      <w:fldChar w:fldCharType="begin"/>
    </w:r>
    <w:r w:rsidRPr="007B1DB4">
      <w:rPr>
        <w:color w:val="323E4F"/>
        <w:sz w:val="20"/>
        <w:szCs w:val="20"/>
      </w:rPr>
      <w:instrText xml:space="preserve"> NUMPAGES  \* Arabic  \* MERGEFORMAT </w:instrText>
    </w:r>
    <w:r w:rsidRPr="007B1DB4">
      <w:rPr>
        <w:color w:val="323E4F"/>
        <w:sz w:val="20"/>
        <w:szCs w:val="20"/>
      </w:rPr>
      <w:fldChar w:fldCharType="separate"/>
    </w:r>
    <w:r w:rsidRPr="007B1DB4">
      <w:rPr>
        <w:noProof/>
        <w:color w:val="323E4F"/>
        <w:sz w:val="20"/>
        <w:szCs w:val="20"/>
      </w:rPr>
      <w:t>1</w:t>
    </w:r>
    <w:r w:rsidRPr="007B1DB4">
      <w:rPr>
        <w:color w:val="323E4F"/>
        <w:sz w:val="20"/>
        <w:szCs w:val="20"/>
      </w:rPr>
      <w:fldChar w:fldCharType="end"/>
    </w:r>
  </w:p>
  <w:p w14:paraId="479A3F4C" w14:textId="77777777" w:rsidR="00E976DA" w:rsidRDefault="00E976DA"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BC307" w14:textId="77777777" w:rsidR="00C6623C" w:rsidRDefault="00C6623C" w:rsidP="00DF4F6B">
      <w:r>
        <w:separator/>
      </w:r>
    </w:p>
  </w:footnote>
  <w:footnote w:type="continuationSeparator" w:id="0">
    <w:p w14:paraId="1D5115A4" w14:textId="77777777" w:rsidR="00C6623C" w:rsidRDefault="00C6623C" w:rsidP="00DF4F6B">
      <w:r>
        <w:continuationSeparator/>
      </w:r>
    </w:p>
  </w:footnote>
  <w:footnote w:type="continuationNotice" w:id="1">
    <w:p w14:paraId="0DD8010B" w14:textId="77777777" w:rsidR="00C6623C" w:rsidRDefault="00C662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61FB6"/>
    <w:multiLevelType w:val="hybridMultilevel"/>
    <w:tmpl w:val="CFBE31E6"/>
    <w:lvl w:ilvl="0" w:tplc="7F066FA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855079557">
    <w:abstractNumId w:val="1"/>
  </w:num>
  <w:num w:numId="2" w16cid:durableId="214206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119C6"/>
    <w:rsid w:val="0002698E"/>
    <w:rsid w:val="000372B5"/>
    <w:rsid w:val="00044598"/>
    <w:rsid w:val="00047EFF"/>
    <w:rsid w:val="000808F1"/>
    <w:rsid w:val="000926EA"/>
    <w:rsid w:val="00093883"/>
    <w:rsid w:val="00097411"/>
    <w:rsid w:val="00101860"/>
    <w:rsid w:val="00114F43"/>
    <w:rsid w:val="00115969"/>
    <w:rsid w:val="001374D5"/>
    <w:rsid w:val="00142693"/>
    <w:rsid w:val="001D0F91"/>
    <w:rsid w:val="001E3876"/>
    <w:rsid w:val="00266024"/>
    <w:rsid w:val="00276A82"/>
    <w:rsid w:val="002F135C"/>
    <w:rsid w:val="002F684D"/>
    <w:rsid w:val="00302395"/>
    <w:rsid w:val="003106A1"/>
    <w:rsid w:val="00343E39"/>
    <w:rsid w:val="0034660C"/>
    <w:rsid w:val="00356C44"/>
    <w:rsid w:val="00366FD7"/>
    <w:rsid w:val="003706ED"/>
    <w:rsid w:val="003A59D7"/>
    <w:rsid w:val="003D0FC3"/>
    <w:rsid w:val="003D6FCA"/>
    <w:rsid w:val="00405FB3"/>
    <w:rsid w:val="004248BD"/>
    <w:rsid w:val="00426673"/>
    <w:rsid w:val="00450EEA"/>
    <w:rsid w:val="00463861"/>
    <w:rsid w:val="00472C3C"/>
    <w:rsid w:val="0048326B"/>
    <w:rsid w:val="00492958"/>
    <w:rsid w:val="004D6F8C"/>
    <w:rsid w:val="005242C9"/>
    <w:rsid w:val="00592402"/>
    <w:rsid w:val="005A256D"/>
    <w:rsid w:val="005B1074"/>
    <w:rsid w:val="005C1FCA"/>
    <w:rsid w:val="005C5581"/>
    <w:rsid w:val="005E1D5D"/>
    <w:rsid w:val="005F5267"/>
    <w:rsid w:val="005F704C"/>
    <w:rsid w:val="006740C2"/>
    <w:rsid w:val="006A4FBE"/>
    <w:rsid w:val="006B0672"/>
    <w:rsid w:val="006D0849"/>
    <w:rsid w:val="006F32C1"/>
    <w:rsid w:val="007014A2"/>
    <w:rsid w:val="00777AC5"/>
    <w:rsid w:val="007B1DB4"/>
    <w:rsid w:val="007D498B"/>
    <w:rsid w:val="007D6248"/>
    <w:rsid w:val="007E1C1E"/>
    <w:rsid w:val="008066DE"/>
    <w:rsid w:val="0081744B"/>
    <w:rsid w:val="008337AE"/>
    <w:rsid w:val="008351B7"/>
    <w:rsid w:val="00840C5C"/>
    <w:rsid w:val="00841D26"/>
    <w:rsid w:val="00842079"/>
    <w:rsid w:val="00863150"/>
    <w:rsid w:val="008D2B67"/>
    <w:rsid w:val="008D4BE2"/>
    <w:rsid w:val="008D5DDB"/>
    <w:rsid w:val="008E3D67"/>
    <w:rsid w:val="009177A1"/>
    <w:rsid w:val="009336FE"/>
    <w:rsid w:val="00972085"/>
    <w:rsid w:val="00981D31"/>
    <w:rsid w:val="009832E0"/>
    <w:rsid w:val="009B43AE"/>
    <w:rsid w:val="009C291B"/>
    <w:rsid w:val="009D0F11"/>
    <w:rsid w:val="009E2FBD"/>
    <w:rsid w:val="009F49C2"/>
    <w:rsid w:val="009F61CD"/>
    <w:rsid w:val="00A13B92"/>
    <w:rsid w:val="00A21F31"/>
    <w:rsid w:val="00A47E47"/>
    <w:rsid w:val="00A52FA2"/>
    <w:rsid w:val="00A54BC5"/>
    <w:rsid w:val="00A82959"/>
    <w:rsid w:val="00A96FCD"/>
    <w:rsid w:val="00AD2612"/>
    <w:rsid w:val="00AE4048"/>
    <w:rsid w:val="00B0713C"/>
    <w:rsid w:val="00B20EB3"/>
    <w:rsid w:val="00B344E5"/>
    <w:rsid w:val="00B3792D"/>
    <w:rsid w:val="00B426BF"/>
    <w:rsid w:val="00B47092"/>
    <w:rsid w:val="00BC1FE5"/>
    <w:rsid w:val="00BE7935"/>
    <w:rsid w:val="00BF2B1A"/>
    <w:rsid w:val="00C02B84"/>
    <w:rsid w:val="00C21CBA"/>
    <w:rsid w:val="00C33E85"/>
    <w:rsid w:val="00C408D1"/>
    <w:rsid w:val="00C466E7"/>
    <w:rsid w:val="00C47DE0"/>
    <w:rsid w:val="00C5298E"/>
    <w:rsid w:val="00C630BD"/>
    <w:rsid w:val="00C6623C"/>
    <w:rsid w:val="00CA1E76"/>
    <w:rsid w:val="00CB0732"/>
    <w:rsid w:val="00CC0EB7"/>
    <w:rsid w:val="00CC1077"/>
    <w:rsid w:val="00CD2172"/>
    <w:rsid w:val="00CD791E"/>
    <w:rsid w:val="00CE573A"/>
    <w:rsid w:val="00CF5637"/>
    <w:rsid w:val="00D131BD"/>
    <w:rsid w:val="00D36C4F"/>
    <w:rsid w:val="00D6268F"/>
    <w:rsid w:val="00D70A95"/>
    <w:rsid w:val="00D772DA"/>
    <w:rsid w:val="00DB0167"/>
    <w:rsid w:val="00DB29C0"/>
    <w:rsid w:val="00DB55C8"/>
    <w:rsid w:val="00DD7155"/>
    <w:rsid w:val="00DF4E03"/>
    <w:rsid w:val="00DF4F6B"/>
    <w:rsid w:val="00E50939"/>
    <w:rsid w:val="00E60C4A"/>
    <w:rsid w:val="00E8042B"/>
    <w:rsid w:val="00E914E2"/>
    <w:rsid w:val="00E976DA"/>
    <w:rsid w:val="00EA18C6"/>
    <w:rsid w:val="00EA769E"/>
    <w:rsid w:val="00EC78F1"/>
    <w:rsid w:val="00EE5FD1"/>
    <w:rsid w:val="00EF310B"/>
    <w:rsid w:val="00F0508D"/>
    <w:rsid w:val="00F11AD8"/>
    <w:rsid w:val="00F27817"/>
    <w:rsid w:val="00F327FF"/>
    <w:rsid w:val="00F37030"/>
    <w:rsid w:val="00F414D9"/>
    <w:rsid w:val="00F65050"/>
    <w:rsid w:val="00FC5840"/>
    <w:rsid w:val="00FD50A9"/>
    <w:rsid w:val="00FE6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06F71"/>
  <w15:docId w15:val="{61800DFB-B100-4B94-8C23-90E90346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link w:val="FooterChar"/>
    <w:uiPriority w:val="99"/>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rPr>
      <w:color w:val="FF0000"/>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customStyle="1" w:styleId="AtxtHdgs">
    <w:name w:val="Atxt_Hdgs"/>
    <w:basedOn w:val="Normal"/>
    <w:rsid w:val="00C02B84"/>
    <w:pPr>
      <w:jc w:val="center"/>
    </w:pPr>
    <w:rPr>
      <w:rFonts w:ascii="Times New Roman" w:hAnsi="Times New Roman" w:cs="Times New Roman"/>
      <w:sz w:val="24"/>
      <w:szCs w:val="20"/>
    </w:rPr>
  </w:style>
  <w:style w:type="character" w:styleId="Hyperlink">
    <w:name w:val="Hyperlink"/>
    <w:rsid w:val="00AD2612"/>
    <w:rPr>
      <w:color w:val="0563C1"/>
      <w:u w:val="single"/>
    </w:rPr>
  </w:style>
  <w:style w:type="character" w:styleId="UnresolvedMention">
    <w:name w:val="Unresolved Mention"/>
    <w:uiPriority w:val="99"/>
    <w:semiHidden/>
    <w:unhideWhenUsed/>
    <w:rsid w:val="00AD2612"/>
    <w:rPr>
      <w:color w:val="605E5C"/>
      <w:shd w:val="clear" w:color="auto" w:fill="E1DFDD"/>
    </w:rPr>
  </w:style>
  <w:style w:type="character" w:customStyle="1" w:styleId="FooterChar">
    <w:name w:val="Footer Char"/>
    <w:link w:val="Footer"/>
    <w:uiPriority w:val="99"/>
    <w:rsid w:val="000808F1"/>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kash_deep@hks.harvar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usbeer@hks.harvard.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4559c4-8463-4985-927f-f0d558bff8f0" xsi:nil="true"/>
    <Document_x0020_Symbol xmlns="13d80b15-5f07-43ab-b435-85767a7dac08">template_A6.4-MEP002-A01_callforinput</Document_x0020_Symbol>
    <lcf76f155ced4ddcb4097134ff3c332f xmlns="819ae873-75e1-413b-9d00-7af9258cf281">
      <Terms xmlns="http://schemas.microsoft.com/office/infopath/2007/PartnerControls"/>
    </lcf76f155ced4ddcb4097134ff3c332f>
    <Comments xmlns="819ae873-75e1-413b-9d00-7af9258cf281" xsi:nil="true"/>
    <Doc_x002e_SymbolNumber xmlns="819ae873-75e1-413b-9d00-7af9258cf2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9" ma:contentTypeDescription="Create a new document." ma:contentTypeScope="" ma:versionID="d7da099e5086f45020d60f3fef19023e">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26d0ce5e49ef4a7433c72751346a7a42"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mments" ma:index="27"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9A2C3-E5A4-4B1D-83FF-96975877A37F}">
  <ds:schemaRefs>
    <ds:schemaRef ds:uri="http://schemas.microsoft.com/office/2006/metadata/properties"/>
    <ds:schemaRef ds:uri="http://schemas.microsoft.com/office/infopath/2007/PartnerControls"/>
    <ds:schemaRef ds:uri="eb4559c4-8463-4985-927f-f0d558bff8f0"/>
    <ds:schemaRef ds:uri="13d80b15-5f07-43ab-b435-85767a7dac08"/>
    <ds:schemaRef ds:uri="b819522c-9de1-4f2d-ac58-6f2cdd8b04ea"/>
  </ds:schemaRefs>
</ds:datastoreItem>
</file>

<file path=customXml/itemProps2.xml><?xml version="1.0" encoding="utf-8"?>
<ds:datastoreItem xmlns:ds="http://schemas.openxmlformats.org/officeDocument/2006/customXml" ds:itemID="{D843928E-68DB-4886-BD62-CE60E624DE53}">
  <ds:schemaRefs>
    <ds:schemaRef ds:uri="http://schemas.microsoft.com/sharepoint/v3/contenttype/forms"/>
  </ds:schemaRefs>
</ds:datastoreItem>
</file>

<file path=customXml/itemProps3.xml><?xml version="1.0" encoding="utf-8"?>
<ds:datastoreItem xmlns:ds="http://schemas.openxmlformats.org/officeDocument/2006/customXml" ds:itemID="{D5F6F37D-427D-48DD-8B56-DDB288B689C1}"/>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8717</Characters>
  <Application>Microsoft Office Word</Application>
  <DocSecurity>0</DocSecurity>
  <Lines>130</Lines>
  <Paragraphs>30</Paragraphs>
  <ScaleCrop>false</ScaleCrop>
  <HeadingPairs>
    <vt:vector size="2" baseType="variant">
      <vt:variant>
        <vt:lpstr>Title</vt:lpstr>
      </vt:variant>
      <vt:variant>
        <vt:i4>1</vt:i4>
      </vt:variant>
    </vt:vector>
  </HeadingPairs>
  <TitlesOfParts>
    <vt:vector size="1" baseType="lpstr">
      <vt:lpstr>A6.4-MEP006-A01-CallForInput-Template</vt:lpstr>
    </vt:vector>
  </TitlesOfParts>
  <Company>ISO</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A6.4-MEP006-A01-CallForInput-Template</dc:title>
  <dc:subject/>
  <dc:creator>dow</dc:creator>
  <cp:keywords>A6.4-MEP006-A01-CallForInput-Template</cp:keywords>
  <dc:description/>
  <cp:lastModifiedBy>Beer, Linus</cp:lastModifiedBy>
  <cp:revision>3</cp:revision>
  <cp:lastPrinted>2001-10-25T12:04:00Z</cp:lastPrinted>
  <dcterms:created xsi:type="dcterms:W3CDTF">2025-06-23T11:26:00Z</dcterms:created>
  <dcterms:modified xsi:type="dcterms:W3CDTF">2025-06-23T14:46:00Z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0x0101008FB6730B0802B54A9F00C78B857E1443</vt:lpwstr>
  </property>
  <property fmtid="{D5CDD505-2E9C-101B-9397-08002B2CF9AE}" pid="4" name="MediaServiceImageTags">
    <vt:lpwstr/>
  </property>
  <property fmtid="{D5CDD505-2E9C-101B-9397-08002B2CF9AE}" pid="5" name="GrammarlyDocumentId">
    <vt:lpwstr>6316bab3-fa85-46f5-aedf-8a0ede159cde</vt:lpwstr>
  </property>
</Properties>
</file>