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1927" w14:textId="77777777" w:rsidR="0051654A" w:rsidRDefault="0051654A">
      <w:pPr>
        <w:pBdr>
          <w:top w:val="nil"/>
          <w:left w:val="nil"/>
          <w:bottom w:val="nil"/>
          <w:right w:val="nil"/>
          <w:between w:val="nil"/>
        </w:pBdr>
        <w:tabs>
          <w:tab w:val="center" w:pos="4820"/>
          <w:tab w:val="right" w:pos="9639"/>
        </w:tabs>
        <w:rPr>
          <w:color w:val="000000"/>
          <w:sz w:val="2"/>
          <w:szCs w:val="2"/>
        </w:rPr>
      </w:pPr>
    </w:p>
    <w:p w14:paraId="0FF3A37F" w14:textId="77777777" w:rsidR="0051654A" w:rsidRDefault="0051654A">
      <w:pPr>
        <w:pBdr>
          <w:top w:val="nil"/>
          <w:left w:val="nil"/>
          <w:bottom w:val="nil"/>
          <w:right w:val="nil"/>
          <w:between w:val="nil"/>
        </w:pBdr>
        <w:tabs>
          <w:tab w:val="center" w:pos="4820"/>
          <w:tab w:val="right" w:pos="9639"/>
        </w:tabs>
        <w:spacing w:line="14" w:lineRule="auto"/>
        <w:rPr>
          <w:color w:val="000000"/>
          <w:sz w:val="4"/>
          <w:szCs w:val="4"/>
        </w:rPr>
      </w:pPr>
    </w:p>
    <w:tbl>
      <w:tblPr>
        <w:tblStyle w:val="a"/>
        <w:tblW w:w="15876" w:type="dxa"/>
        <w:tblInd w:w="-370" w:type="dxa"/>
        <w:tblLayout w:type="fixed"/>
        <w:tblLook w:val="0000" w:firstRow="0" w:lastRow="0" w:firstColumn="0" w:lastColumn="0" w:noHBand="0" w:noVBand="0"/>
      </w:tblPr>
      <w:tblGrid>
        <w:gridCol w:w="4821"/>
        <w:gridCol w:w="11055"/>
      </w:tblGrid>
      <w:tr w:rsidR="0051654A" w14:paraId="1CC32E88" w14:textId="77777777">
        <w:trPr>
          <w:cantSplit/>
          <w:trHeight w:val="953"/>
        </w:trPr>
        <w:tc>
          <w:tcPr>
            <w:tcW w:w="15877" w:type="dxa"/>
            <w:gridSpan w:val="2"/>
            <w:tcBorders>
              <w:top w:val="single" w:sz="4" w:space="0" w:color="000000"/>
              <w:left w:val="single" w:sz="4" w:space="0" w:color="000000"/>
              <w:bottom w:val="single" w:sz="4" w:space="0" w:color="000000"/>
              <w:right w:val="single" w:sz="4" w:space="0" w:color="000000"/>
            </w:tcBorders>
            <w:vAlign w:val="center"/>
          </w:tcPr>
          <w:p w14:paraId="10D3E6B4" w14:textId="77777777" w:rsidR="0051654A" w:rsidRDefault="00716C53">
            <w:pPr>
              <w:ind w:left="86"/>
              <w:jc w:val="left"/>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8240" behindDoc="0" locked="0" layoutInCell="1" hidden="0" allowOverlap="1" wp14:anchorId="34F86E8F" wp14:editId="39B6255D">
                      <wp:simplePos x="0" y="0"/>
                      <wp:positionH relativeFrom="column">
                        <wp:posOffset>3314700</wp:posOffset>
                      </wp:positionH>
                      <wp:positionV relativeFrom="paragraph">
                        <wp:posOffset>76200</wp:posOffset>
                      </wp:positionV>
                      <wp:extent cx="4688205" cy="487680"/>
                      <wp:effectExtent l="0" t="0" r="0" b="0"/>
                      <wp:wrapNone/>
                      <wp:docPr id="6" name="Rectangle 6"/>
                      <wp:cNvGraphicFramePr/>
                      <a:graphic xmlns:a="http://schemas.openxmlformats.org/drawingml/2006/main">
                        <a:graphicData uri="http://schemas.microsoft.com/office/word/2010/wordprocessingShape">
                          <wps:wsp>
                            <wps:cNvSpPr/>
                            <wps:spPr>
                              <a:xfrm>
                                <a:off x="3006660" y="3540923"/>
                                <a:ext cx="4678680" cy="478155"/>
                              </a:xfrm>
                              <a:prstGeom prst="rect">
                                <a:avLst/>
                              </a:prstGeom>
                              <a:noFill/>
                              <a:ln>
                                <a:noFill/>
                              </a:ln>
                            </wps:spPr>
                            <wps:txbx>
                              <w:txbxContent>
                                <w:p w14:paraId="360587B5" w14:textId="77777777" w:rsidR="0051654A" w:rsidRDefault="00716C53">
                                  <w:pPr>
                                    <w:jc w:val="center"/>
                                    <w:textDirection w:val="btLr"/>
                                  </w:pPr>
                                  <w:r>
                                    <w:rPr>
                                      <w:b/>
                                      <w:color w:val="000000"/>
                                    </w:rPr>
                                    <w:t xml:space="preserve"> CALL FOR INPUT</w:t>
                                  </w:r>
                                  <w:r>
                                    <w:rPr>
                                      <w:b/>
                                      <w:color w:val="000000"/>
                                    </w:rPr>
                                    <w:br/>
                                  </w:r>
                                </w:p>
                                <w:p w14:paraId="0D3406B2" w14:textId="77777777" w:rsidR="0051654A" w:rsidRDefault="0051654A">
                                  <w:pPr>
                                    <w:jc w:val="center"/>
                                    <w:textDirection w:val="btLr"/>
                                  </w:pPr>
                                </w:p>
                                <w:p w14:paraId="1FF18946" w14:textId="77777777" w:rsidR="0051654A" w:rsidRDefault="0051654A">
                                  <w:pPr>
                                    <w:jc w:val="right"/>
                                    <w:textDirection w:val="btLr"/>
                                  </w:pPr>
                                </w:p>
                                <w:p w14:paraId="102BF529" w14:textId="77777777" w:rsidR="0051654A" w:rsidRDefault="00716C53">
                                  <w:pPr>
                                    <w:jc w:val="center"/>
                                    <w:textDirection w:val="btLr"/>
                                  </w:pPr>
                                  <w:r>
                                    <w:rPr>
                                      <w:b/>
                                      <w:color w:val="000000"/>
                                    </w:rPr>
                                    <w:t xml:space="preserve"> </w:t>
                                  </w:r>
                                </w:p>
                                <w:p w14:paraId="0168D840" w14:textId="77777777" w:rsidR="0051654A" w:rsidRDefault="0051654A">
                                  <w:pPr>
                                    <w:textDirection w:val="btLr"/>
                                  </w:pPr>
                                </w:p>
                              </w:txbxContent>
                            </wps:txbx>
                            <wps:bodyPr spcFirstLastPara="1" wrap="square" lIns="91425" tIns="45700" rIns="91425" bIns="45700" anchor="t" anchorCtr="0">
                              <a:noAutofit/>
                            </wps:bodyPr>
                          </wps:wsp>
                        </a:graphicData>
                      </a:graphic>
                    </wp:anchor>
                  </w:drawing>
                </mc:Choice>
                <mc:Fallback>
                  <w:pict>
                    <v:rect w14:anchorId="34F86E8F" id="Rectangle 6" o:spid="_x0000_s1026" style="position:absolute;left:0;text-align:left;margin-left:261pt;margin-top:6pt;width:369.15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" filled="f" stroked="f">
                      <v:textbox inset="2.53958mm,1.2694mm,2.53958mm,1.2694mm">
                        <w:txbxContent>
                          <w:p w14:paraId="360587B5" w14:textId="77777777" w:rsidR="0051654A" w:rsidRDefault="00716C53">
                            <w:pPr>
                              <w:jc w:val="center"/>
                              <w:textDirection w:val="btLr"/>
                            </w:pPr>
                            <w:r>
                              <w:rPr>
                                <w:b/>
                                <w:color w:val="000000"/>
                              </w:rPr>
                              <w:t xml:space="preserve"> CALL FOR INPUT</w:t>
                            </w:r>
                            <w:r>
                              <w:rPr>
                                <w:b/>
                                <w:color w:val="000000"/>
                              </w:rPr>
                              <w:br/>
                            </w:r>
                          </w:p>
                          <w:p w14:paraId="0D3406B2" w14:textId="77777777" w:rsidR="0051654A" w:rsidRDefault="0051654A">
                            <w:pPr>
                              <w:jc w:val="center"/>
                              <w:textDirection w:val="btLr"/>
                            </w:pPr>
                          </w:p>
                          <w:p w14:paraId="1FF18946" w14:textId="77777777" w:rsidR="0051654A" w:rsidRDefault="0051654A">
                            <w:pPr>
                              <w:jc w:val="right"/>
                              <w:textDirection w:val="btLr"/>
                            </w:pPr>
                          </w:p>
                          <w:p w14:paraId="102BF529" w14:textId="77777777" w:rsidR="0051654A" w:rsidRDefault="00716C53">
                            <w:pPr>
                              <w:jc w:val="center"/>
                              <w:textDirection w:val="btLr"/>
                            </w:pPr>
                            <w:r>
                              <w:rPr>
                                <w:b/>
                                <w:color w:val="000000"/>
                              </w:rPr>
                              <w:t xml:space="preserve"> </w:t>
                            </w:r>
                          </w:p>
                          <w:p w14:paraId="0168D840" w14:textId="77777777" w:rsidR="0051654A" w:rsidRDefault="0051654A">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BC42A38" wp14:editId="4F945A1E">
                  <wp:simplePos x="0" y="0"/>
                  <wp:positionH relativeFrom="column">
                    <wp:posOffset>223520</wp:posOffset>
                  </wp:positionH>
                  <wp:positionV relativeFrom="paragraph">
                    <wp:posOffset>62865</wp:posOffset>
                  </wp:positionV>
                  <wp:extent cx="571500" cy="4572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1500" cy="457200"/>
                          </a:xfrm>
                          <a:prstGeom prst="rect">
                            <a:avLst/>
                          </a:prstGeom>
                          <a:ln/>
                        </pic:spPr>
                      </pic:pic>
                    </a:graphicData>
                  </a:graphic>
                </wp:anchor>
              </w:drawing>
            </w:r>
          </w:p>
          <w:p w14:paraId="2C463745" w14:textId="77777777" w:rsidR="0051654A" w:rsidRDefault="0051654A">
            <w:pPr>
              <w:ind w:left="86"/>
              <w:jc w:val="left"/>
              <w:rPr>
                <w:rFonts w:ascii="Times New Roman" w:eastAsia="Times New Roman" w:hAnsi="Times New Roman" w:cs="Times New Roman"/>
                <w:b/>
                <w:sz w:val="24"/>
                <w:szCs w:val="24"/>
              </w:rPr>
            </w:pPr>
          </w:p>
        </w:tc>
      </w:tr>
      <w:tr w:rsidR="0051654A" w14:paraId="63F14E3A"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06DCD06E" w14:textId="77777777" w:rsidR="0051654A" w:rsidRDefault="00716C53">
            <w:pPr>
              <w:spacing w:before="120" w:after="120"/>
              <w:jc w:val="left"/>
              <w:rPr>
                <w:i/>
              </w:rPr>
            </w:pPr>
            <w:r>
              <w:rPr>
                <w:i/>
              </w:rPr>
              <w:t>Name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34C834" w14:textId="77777777" w:rsidR="0051654A" w:rsidRDefault="00716C53">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Rueban Manokara</w:t>
            </w:r>
          </w:p>
        </w:tc>
      </w:tr>
      <w:tr w:rsidR="0051654A" w14:paraId="11ED1750"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3B52F105" w14:textId="77777777" w:rsidR="0051654A" w:rsidRDefault="00716C53">
            <w:pPr>
              <w:spacing w:before="120" w:after="120"/>
              <w:jc w:val="left"/>
              <w:rPr>
                <w:i/>
              </w:rPr>
            </w:pPr>
            <w:r>
              <w:rPr>
                <w:i/>
              </w:rPr>
              <w:t>Affiliated organization of submitter (if any)</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F52082" w14:textId="77777777" w:rsidR="0051654A" w:rsidRDefault="00716C53">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Worldwide Fund for Nature - International</w:t>
            </w:r>
          </w:p>
        </w:tc>
      </w:tr>
      <w:tr w:rsidR="0051654A" w14:paraId="7B817998" w14:textId="77777777">
        <w:trPr>
          <w:cantSplit/>
          <w:trHeight w:val="348"/>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vAlign w:val="center"/>
          </w:tcPr>
          <w:p w14:paraId="4FA403BF" w14:textId="77777777" w:rsidR="0051654A" w:rsidRDefault="00716C53">
            <w:pPr>
              <w:spacing w:before="120" w:after="120"/>
              <w:jc w:val="left"/>
              <w:rPr>
                <w:i/>
              </w:rPr>
            </w:pPr>
            <w:r>
              <w:rPr>
                <w:i/>
              </w:rPr>
              <w:t xml:space="preserve"> Email of submitter</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308C41" w14:textId="77777777" w:rsidR="0051654A" w:rsidRDefault="00716C53">
            <w:pPr>
              <w:spacing w:before="120"/>
              <w:ind w:left="227"/>
              <w:jc w:val="left"/>
              <w:rPr>
                <w:rFonts w:ascii="Times New Roman" w:eastAsia="Times New Roman" w:hAnsi="Times New Roman" w:cs="Times New Roman"/>
                <w:color w:val="0000FF"/>
              </w:rPr>
            </w:pPr>
            <w:r>
              <w:rPr>
                <w:rFonts w:ascii="Times New Roman" w:eastAsia="Times New Roman" w:hAnsi="Times New Roman" w:cs="Times New Roman"/>
                <w:color w:val="0000FF"/>
              </w:rPr>
              <w:t>rmanokara@wwf.sg</w:t>
            </w:r>
          </w:p>
        </w:tc>
      </w:tr>
      <w:tr w:rsidR="0051654A" w14:paraId="08F4CD7F" w14:textId="77777777">
        <w:trPr>
          <w:cantSplit/>
        </w:trPr>
        <w:tc>
          <w:tcPr>
            <w:tcW w:w="4821" w:type="dxa"/>
            <w:tcBorders>
              <w:top w:val="single" w:sz="4" w:space="0" w:color="000000"/>
              <w:left w:val="single" w:sz="4" w:space="0" w:color="000000"/>
              <w:bottom w:val="single" w:sz="4" w:space="0" w:color="000000"/>
              <w:right w:val="single" w:sz="4" w:space="0" w:color="000000"/>
            </w:tcBorders>
            <w:shd w:val="clear" w:color="auto" w:fill="E0E0E0"/>
            <w:tcMar>
              <w:left w:w="28" w:type="dxa"/>
              <w:right w:w="28" w:type="dxa"/>
            </w:tcMar>
          </w:tcPr>
          <w:p w14:paraId="3122B035" w14:textId="77777777" w:rsidR="0051654A" w:rsidRDefault="00716C53">
            <w:pPr>
              <w:spacing w:before="120" w:after="120"/>
              <w:jc w:val="left"/>
              <w:rPr>
                <w:i/>
                <w:sz w:val="20"/>
                <w:szCs w:val="20"/>
              </w:rPr>
            </w:pPr>
            <w:r>
              <w:rPr>
                <w:i/>
              </w:rPr>
              <w:t>Date of submission</w:t>
            </w:r>
          </w:p>
        </w:tc>
        <w:tc>
          <w:tcPr>
            <w:tcW w:w="110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ACEC1FD" w14:textId="77777777" w:rsidR="0051654A" w:rsidRDefault="00716C53">
            <w:pPr>
              <w:spacing w:before="60"/>
              <w:jc w:val="left"/>
              <w:rPr>
                <w:sz w:val="20"/>
                <w:szCs w:val="20"/>
              </w:rPr>
            </w:pPr>
            <w:r>
              <w:rPr>
                <w:sz w:val="20"/>
                <w:szCs w:val="20"/>
              </w:rPr>
              <w:t>23 June 2025</w:t>
            </w:r>
          </w:p>
        </w:tc>
      </w:tr>
    </w:tbl>
    <w:p w14:paraId="327C38A9" w14:textId="77777777" w:rsidR="0051654A" w:rsidRDefault="0051654A">
      <w:pPr>
        <w:rPr>
          <w:rFonts w:ascii="Calibri" w:eastAsia="Calibri" w:hAnsi="Calibri" w:cs="Calibri"/>
        </w:rPr>
      </w:pPr>
    </w:p>
    <w:p w14:paraId="629675B9" w14:textId="77777777" w:rsidR="0051654A" w:rsidRDefault="00716C53">
      <w:pPr>
        <w:jc w:val="left"/>
      </w:pPr>
      <w:r>
        <w:t xml:space="preserve">Instruction: Enter your input in the table below.  </w:t>
      </w:r>
      <w:r>
        <w:br/>
      </w:r>
    </w:p>
    <w:tbl>
      <w:tblPr>
        <w:tblStyle w:val="a0"/>
        <w:tblW w:w="15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3"/>
        <w:gridCol w:w="2802"/>
        <w:gridCol w:w="2977"/>
        <w:gridCol w:w="4536"/>
        <w:gridCol w:w="4856"/>
      </w:tblGrid>
      <w:tr w:rsidR="0051654A" w14:paraId="4734D59E" w14:textId="77777777">
        <w:trPr>
          <w:cantSplit/>
          <w:trHeight w:val="631"/>
          <w:tblHeader/>
          <w:jc w:val="center"/>
        </w:trPr>
        <w:tc>
          <w:tcPr>
            <w:tcW w:w="15914" w:type="dxa"/>
            <w:gridSpan w:val="5"/>
            <w:tcBorders>
              <w:top w:val="single" w:sz="6" w:space="0" w:color="000000"/>
              <w:left w:val="single" w:sz="6" w:space="0" w:color="000000"/>
              <w:bottom w:val="single" w:sz="6" w:space="0" w:color="000000"/>
              <w:right w:val="single" w:sz="6" w:space="0" w:color="000000"/>
            </w:tcBorders>
            <w:shd w:val="clear" w:color="auto" w:fill="auto"/>
          </w:tcPr>
          <w:p w14:paraId="412F1B3D" w14:textId="77777777" w:rsidR="0051654A" w:rsidRDefault="00716C53">
            <w:pPr>
              <w:keepLines/>
              <w:spacing w:before="120" w:after="120" w:line="276" w:lineRule="auto"/>
              <w:jc w:val="left"/>
              <w:rPr>
                <w:b/>
                <w:color w:val="0070C0"/>
                <w:sz w:val="20"/>
                <w:szCs w:val="20"/>
              </w:rPr>
            </w:pPr>
            <w:r>
              <w:rPr>
                <w:b/>
              </w:rPr>
              <w:lastRenderedPageBreak/>
              <w:t xml:space="preserve">Document reference number and title: </w:t>
            </w:r>
            <w:r>
              <w:rPr>
                <w:b/>
              </w:rPr>
              <w:br/>
            </w:r>
            <w:r>
              <w:rPr>
                <w:b/>
                <w:color w:val="0070C0"/>
              </w:rPr>
              <w:t>A6.4-MEP006-A02. Concept note: Applicability of removal guidance to emission reductions activities and vice versa (version 01.0)</w:t>
            </w:r>
          </w:p>
        </w:tc>
      </w:tr>
      <w:tr w:rsidR="0051654A" w14:paraId="111F807F" w14:textId="77777777">
        <w:trPr>
          <w:cantSplit/>
          <w:tblHeader/>
          <w:jc w:val="center"/>
        </w:trPr>
        <w:tc>
          <w:tcPr>
            <w:tcW w:w="743" w:type="dxa"/>
            <w:tcBorders>
              <w:top w:val="single" w:sz="6" w:space="0" w:color="000000"/>
              <w:left w:val="single" w:sz="6" w:space="0" w:color="000000"/>
              <w:bottom w:val="single" w:sz="6" w:space="0" w:color="000000"/>
              <w:right w:val="single" w:sz="6" w:space="0" w:color="000000"/>
            </w:tcBorders>
            <w:shd w:val="clear" w:color="auto" w:fill="E7E6E6"/>
          </w:tcPr>
          <w:p w14:paraId="50F3DBCC" w14:textId="77777777" w:rsidR="0051654A" w:rsidRDefault="00716C53">
            <w:pPr>
              <w:keepLines/>
              <w:spacing w:before="40" w:after="40" w:line="190" w:lineRule="auto"/>
              <w:jc w:val="center"/>
              <w:rPr>
                <w:b/>
                <w:sz w:val="20"/>
                <w:szCs w:val="20"/>
              </w:rPr>
            </w:pPr>
            <w:r>
              <w:rPr>
                <w:b/>
                <w:sz w:val="20"/>
                <w:szCs w:val="20"/>
              </w:rPr>
              <w:t>Item</w:t>
            </w:r>
          </w:p>
        </w:tc>
        <w:tc>
          <w:tcPr>
            <w:tcW w:w="2802" w:type="dxa"/>
            <w:tcBorders>
              <w:top w:val="single" w:sz="6" w:space="0" w:color="000000"/>
              <w:left w:val="single" w:sz="6" w:space="0" w:color="000000"/>
              <w:bottom w:val="single" w:sz="6" w:space="0" w:color="000000"/>
              <w:right w:val="single" w:sz="6" w:space="0" w:color="000000"/>
            </w:tcBorders>
            <w:shd w:val="clear" w:color="auto" w:fill="E7E6E6"/>
          </w:tcPr>
          <w:p w14:paraId="3644134D" w14:textId="77777777" w:rsidR="0051654A" w:rsidRDefault="00716C53">
            <w:pPr>
              <w:keepLines/>
              <w:spacing w:before="40" w:after="40" w:line="190" w:lineRule="auto"/>
              <w:jc w:val="center"/>
              <w:rPr>
                <w:b/>
                <w:sz w:val="20"/>
                <w:szCs w:val="20"/>
              </w:rPr>
            </w:pPr>
            <w:r>
              <w:rPr>
                <w:b/>
                <w:sz w:val="20"/>
                <w:szCs w:val="20"/>
              </w:rPr>
              <w:t xml:space="preserve">Section no. </w:t>
            </w:r>
            <w:r>
              <w:rPr>
                <w:b/>
                <w:sz w:val="20"/>
                <w:szCs w:val="20"/>
              </w:rPr>
              <w:br/>
            </w:r>
            <w:r>
              <w:rPr>
                <w:sz w:val="20"/>
                <w:szCs w:val="20"/>
              </w:rPr>
              <w:t xml:space="preserve">(as </w:t>
            </w:r>
            <w:r>
              <w:rPr>
                <w:sz w:val="20"/>
                <w:szCs w:val="20"/>
              </w:rPr>
              <w:t>indicated in the document)</w:t>
            </w:r>
          </w:p>
        </w:tc>
        <w:tc>
          <w:tcPr>
            <w:tcW w:w="2977" w:type="dxa"/>
            <w:tcBorders>
              <w:top w:val="single" w:sz="6" w:space="0" w:color="000000"/>
              <w:left w:val="single" w:sz="6" w:space="0" w:color="000000"/>
              <w:bottom w:val="single" w:sz="6" w:space="0" w:color="000000"/>
              <w:right w:val="single" w:sz="6" w:space="0" w:color="000000"/>
            </w:tcBorders>
            <w:shd w:val="clear" w:color="auto" w:fill="E7E6E6"/>
          </w:tcPr>
          <w:p w14:paraId="6CA543EA" w14:textId="77777777" w:rsidR="0051654A" w:rsidRDefault="00716C53">
            <w:pPr>
              <w:keepLines/>
              <w:spacing w:before="40" w:after="40" w:line="190" w:lineRule="auto"/>
              <w:jc w:val="center"/>
              <w:rPr>
                <w:b/>
                <w:sz w:val="20"/>
                <w:szCs w:val="20"/>
              </w:rPr>
            </w:pPr>
            <w:r>
              <w:rPr>
                <w:b/>
                <w:sz w:val="20"/>
                <w:szCs w:val="20"/>
              </w:rPr>
              <w:t xml:space="preserve">Paragraph/Table/Figure no. </w:t>
            </w:r>
            <w:r>
              <w:rPr>
                <w:b/>
                <w:sz w:val="20"/>
                <w:szCs w:val="20"/>
              </w:rPr>
              <w:br/>
            </w:r>
            <w:r>
              <w:rPr>
                <w:sz w:val="20"/>
                <w:szCs w:val="20"/>
              </w:rPr>
              <w:t>(as indicated in the document)</w:t>
            </w:r>
          </w:p>
        </w:tc>
        <w:tc>
          <w:tcPr>
            <w:tcW w:w="4536" w:type="dxa"/>
            <w:tcBorders>
              <w:top w:val="single" w:sz="6" w:space="0" w:color="000000"/>
              <w:left w:val="single" w:sz="6" w:space="0" w:color="000000"/>
              <w:bottom w:val="single" w:sz="6" w:space="0" w:color="000000"/>
              <w:right w:val="single" w:sz="6" w:space="0" w:color="000000"/>
            </w:tcBorders>
            <w:shd w:val="clear" w:color="auto" w:fill="E7E6E6"/>
          </w:tcPr>
          <w:p w14:paraId="1B2B6B23" w14:textId="77777777" w:rsidR="0051654A" w:rsidRDefault="00716C53">
            <w:pPr>
              <w:keepLines/>
              <w:spacing w:before="40" w:after="40" w:line="190" w:lineRule="auto"/>
              <w:jc w:val="center"/>
              <w:rPr>
                <w:b/>
                <w:sz w:val="20"/>
                <w:szCs w:val="20"/>
              </w:rPr>
            </w:pPr>
            <w:r>
              <w:rPr>
                <w:b/>
                <w:sz w:val="20"/>
                <w:szCs w:val="20"/>
              </w:rPr>
              <w:t>Comment</w:t>
            </w:r>
            <w:r>
              <w:rPr>
                <w:b/>
                <w:sz w:val="20"/>
                <w:szCs w:val="20"/>
              </w:rPr>
              <w:br/>
            </w:r>
            <w:r>
              <w:rPr>
                <w:sz w:val="20"/>
                <w:szCs w:val="20"/>
              </w:rPr>
              <w:t>(including justification for change)</w:t>
            </w:r>
            <w:r>
              <w:rPr>
                <w:b/>
                <w:sz w:val="20"/>
                <w:szCs w:val="20"/>
              </w:rPr>
              <w:t xml:space="preserve"> </w:t>
            </w:r>
          </w:p>
        </w:tc>
        <w:tc>
          <w:tcPr>
            <w:tcW w:w="4856" w:type="dxa"/>
            <w:tcBorders>
              <w:top w:val="single" w:sz="6" w:space="0" w:color="000000"/>
              <w:left w:val="single" w:sz="6" w:space="0" w:color="000000"/>
              <w:bottom w:val="single" w:sz="6" w:space="0" w:color="000000"/>
              <w:right w:val="single" w:sz="6" w:space="0" w:color="000000"/>
            </w:tcBorders>
            <w:shd w:val="clear" w:color="auto" w:fill="E7E6E6"/>
          </w:tcPr>
          <w:p w14:paraId="6BB9CC65" w14:textId="77777777" w:rsidR="0051654A" w:rsidRDefault="00716C53">
            <w:pPr>
              <w:keepLines/>
              <w:spacing w:before="40" w:after="40" w:line="190" w:lineRule="auto"/>
              <w:jc w:val="center"/>
              <w:rPr>
                <w:b/>
                <w:sz w:val="20"/>
                <w:szCs w:val="20"/>
              </w:rPr>
            </w:pPr>
            <w:r>
              <w:rPr>
                <w:b/>
                <w:sz w:val="20"/>
                <w:szCs w:val="20"/>
              </w:rPr>
              <w:t>Proposed change</w:t>
            </w:r>
          </w:p>
          <w:p w14:paraId="51E31EC0" w14:textId="77777777" w:rsidR="0051654A" w:rsidRDefault="00716C53">
            <w:pPr>
              <w:keepLines/>
              <w:spacing w:before="40" w:after="40" w:line="190" w:lineRule="auto"/>
              <w:jc w:val="center"/>
              <w:rPr>
                <w:sz w:val="20"/>
                <w:szCs w:val="20"/>
              </w:rPr>
            </w:pPr>
            <w:r>
              <w:rPr>
                <w:sz w:val="20"/>
                <w:szCs w:val="20"/>
              </w:rPr>
              <w:t>(including proposed text)</w:t>
            </w:r>
          </w:p>
        </w:tc>
      </w:tr>
      <w:tr w:rsidR="0051654A" w14:paraId="43E4C2F3"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00914C53" w14:textId="77777777" w:rsidR="0051654A" w:rsidRDefault="00716C53">
            <w:pPr>
              <w:keepLines/>
              <w:spacing w:before="40" w:after="40" w:line="190" w:lineRule="auto"/>
              <w:jc w:val="center"/>
              <w:rPr>
                <w:sz w:val="20"/>
                <w:szCs w:val="20"/>
              </w:rPr>
            </w:pPr>
            <w:r>
              <w:rPr>
                <w:sz w:val="20"/>
                <w:szCs w:val="20"/>
              </w:rPr>
              <w:t>1</w:t>
            </w:r>
          </w:p>
        </w:tc>
        <w:tc>
          <w:tcPr>
            <w:tcW w:w="2802" w:type="dxa"/>
            <w:tcBorders>
              <w:top w:val="single" w:sz="6" w:space="0" w:color="000000"/>
              <w:left w:val="single" w:sz="6" w:space="0" w:color="000000"/>
              <w:bottom w:val="single" w:sz="6" w:space="0" w:color="000000"/>
              <w:right w:val="single" w:sz="6" w:space="0" w:color="000000"/>
            </w:tcBorders>
          </w:tcPr>
          <w:p w14:paraId="6129CADE" w14:textId="77777777" w:rsidR="0051654A" w:rsidRDefault="00716C53">
            <w:pPr>
              <w:shd w:val="clear" w:color="auto" w:fill="FFFFFF"/>
              <w:spacing w:after="200" w:line="276" w:lineRule="auto"/>
              <w:jc w:val="left"/>
              <w:rPr>
                <w:b/>
              </w:rPr>
            </w:pPr>
            <w:r>
              <w:rPr>
                <w:b/>
              </w:rPr>
              <w:t>Section 3.1 Methodologies Standard</w:t>
            </w:r>
          </w:p>
          <w:p w14:paraId="1B5881C4" w14:textId="77777777" w:rsidR="0051654A" w:rsidRDefault="0051654A">
            <w:pPr>
              <w:keepLines/>
              <w:spacing w:before="40" w:after="40" w:line="190" w:lineRule="auto"/>
              <w:jc w:val="left"/>
              <w:rPr>
                <w:sz w:val="20"/>
                <w:szCs w:val="20"/>
              </w:rPr>
            </w:pPr>
          </w:p>
          <w:p w14:paraId="2D76F659" w14:textId="77777777" w:rsidR="0051654A" w:rsidRDefault="0051654A">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47D58C5F" w14:textId="77777777" w:rsidR="0051654A" w:rsidRDefault="00716C53">
            <w:pPr>
              <w:shd w:val="clear" w:color="auto" w:fill="FFFFFF"/>
              <w:spacing w:after="200" w:line="276" w:lineRule="auto"/>
              <w:jc w:val="left"/>
              <w:rPr>
                <w:b/>
              </w:rPr>
            </w:pPr>
            <w:r>
              <w:rPr>
                <w:b/>
              </w:rPr>
              <w:t xml:space="preserve">3.1.9. Including data sources, </w:t>
            </w:r>
            <w:r>
              <w:rPr>
                <w:b/>
              </w:rPr>
              <w:t>accounting for uncertainty and monitoring requirements</w:t>
            </w:r>
          </w:p>
          <w:p w14:paraId="667702C2" w14:textId="77777777" w:rsidR="0051654A" w:rsidRDefault="00716C53">
            <w:pPr>
              <w:shd w:val="clear" w:color="auto" w:fill="FFFFFF"/>
              <w:spacing w:after="200" w:line="276" w:lineRule="auto"/>
              <w:jc w:val="left"/>
              <w:rPr>
                <w:b/>
              </w:rPr>
            </w:pPr>
            <w:r>
              <w:rPr>
                <w:b/>
              </w:rPr>
              <w:t>(section 4.9)</w:t>
            </w:r>
          </w:p>
          <w:p w14:paraId="7EB1BC0B" w14:textId="77777777" w:rsidR="0051654A" w:rsidRDefault="0051654A">
            <w:pPr>
              <w:shd w:val="clear" w:color="auto" w:fill="FFFFFF"/>
              <w:spacing w:after="200" w:line="276" w:lineRule="auto"/>
              <w:jc w:val="left"/>
            </w:pPr>
          </w:p>
          <w:p w14:paraId="0387DD99" w14:textId="77777777" w:rsidR="0051654A" w:rsidRDefault="0051654A">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0E4CE3C4" w14:textId="6667C40E" w:rsidR="0051654A" w:rsidRDefault="00716C53">
            <w:pPr>
              <w:shd w:val="clear" w:color="auto" w:fill="FFFFFF"/>
              <w:spacing w:after="200" w:line="276" w:lineRule="auto"/>
              <w:jc w:val="left"/>
            </w:pPr>
            <w:r>
              <w:t xml:space="preserve">Baseline set as below business as usual is a welcome direction to ensure the conservativeness of emissions reduction activities. For emissions removals activities, especially nature-based removal activities, the setting of a below business as usual (BAU) baseline should recognise the inherent design elements of such projects and not unnecessarily and inadvertently disadvantage such projects. Ensuring conservativeness does not just mean having a baseline below business as usual. Instead, it is about showing </w:t>
            </w:r>
            <w:r>
              <w:t xml:space="preserve">evidence that the method choice to establish the baseline is at or below average of other possible scenarios, shown through a sensitivity analysis. </w:t>
            </w:r>
          </w:p>
          <w:p w14:paraId="36CA9DFC" w14:textId="77777777" w:rsidR="0051654A" w:rsidRDefault="0051654A">
            <w:pPr>
              <w:shd w:val="clear" w:color="auto" w:fill="FFFFFF"/>
              <w:spacing w:after="200" w:line="276"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161BA6D7" w14:textId="77777777" w:rsidR="0051654A" w:rsidRDefault="00716C53" w:rsidP="00173DAD">
            <w:pPr>
              <w:shd w:val="clear" w:color="auto" w:fill="FFFFFF"/>
              <w:spacing w:after="200" w:line="276" w:lineRule="auto"/>
              <w:jc w:val="left"/>
            </w:pPr>
            <w:r>
              <w:t xml:space="preserve">Projects/initiatives including removals and emissions reductions must prove that the approach to baseline is conservative and ensures below business as usual, shown through a sensitivity analysis comparing possible scenarios. </w:t>
            </w:r>
          </w:p>
          <w:p w14:paraId="3DDC34DC" w14:textId="77777777" w:rsidR="0051654A" w:rsidRDefault="00716C53" w:rsidP="00173DAD">
            <w:pPr>
              <w:shd w:val="clear" w:color="auto" w:fill="FFFFFF"/>
              <w:spacing w:after="200" w:line="276" w:lineRule="auto"/>
              <w:jc w:val="left"/>
              <w:rPr>
                <w:sz w:val="20"/>
                <w:szCs w:val="20"/>
              </w:rPr>
            </w:pPr>
            <w:r>
              <w:t xml:space="preserve">This recommendation relates well to </w:t>
            </w:r>
            <w:r>
              <w:rPr>
                <w:b/>
              </w:rPr>
              <w:t>“The MEP notes, however, that the baseline standard may be amended in the future to incorporate further specific considerations for activities involving removals.”</w:t>
            </w:r>
            <w:r>
              <w:t xml:space="preserve">, which suggests that a different requirement may be needed for removals that is different from emissions reductions, and also to section </w:t>
            </w:r>
            <w:r>
              <w:rPr>
                <w:b/>
              </w:rPr>
              <w:t xml:space="preserve">3.1.6. Approaches to set the baseline (section 4.6), </w:t>
            </w:r>
            <w:r>
              <w:t xml:space="preserve">which can specifically mention that provisions can include sensitivity analysis to show possible scenarios and which one is being used by the project, and to </w:t>
            </w:r>
            <w:r>
              <w:t xml:space="preserve">the explanation of conservativeness in the </w:t>
            </w:r>
            <w:hyperlink r:id="rId12">
              <w:r>
                <w:rPr>
                  <w:b/>
                  <w:color w:val="1155CC"/>
                  <w:u w:val="single"/>
                </w:rPr>
                <w:t>Additionality standard</w:t>
              </w:r>
            </w:hyperlink>
            <w:r>
              <w:rPr>
                <w:b/>
              </w:rPr>
              <w:t xml:space="preserve"> “Conservativeness: In the context of demonstrating additionality, a methodological approach is conservative if the data, parameters, assumptions and methods chosen are more likely to lead to conservativeness.”</w:t>
            </w:r>
          </w:p>
        </w:tc>
      </w:tr>
      <w:tr w:rsidR="0051654A" w14:paraId="3149100D"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3A17B4C0" w14:textId="77777777" w:rsidR="0051654A" w:rsidRDefault="00716C53">
            <w:pPr>
              <w:keepLines/>
              <w:spacing w:before="40" w:after="40" w:line="190" w:lineRule="auto"/>
              <w:jc w:val="center"/>
              <w:rPr>
                <w:sz w:val="20"/>
                <w:szCs w:val="20"/>
              </w:rPr>
            </w:pPr>
            <w:r>
              <w:rPr>
                <w:sz w:val="20"/>
                <w:szCs w:val="20"/>
              </w:rPr>
              <w:lastRenderedPageBreak/>
              <w:t>2</w:t>
            </w:r>
          </w:p>
        </w:tc>
        <w:tc>
          <w:tcPr>
            <w:tcW w:w="2802" w:type="dxa"/>
            <w:tcBorders>
              <w:top w:val="single" w:sz="6" w:space="0" w:color="000000"/>
              <w:left w:val="single" w:sz="6" w:space="0" w:color="000000"/>
              <w:bottom w:val="single" w:sz="6" w:space="0" w:color="000000"/>
              <w:right w:val="single" w:sz="6" w:space="0" w:color="000000"/>
            </w:tcBorders>
          </w:tcPr>
          <w:p w14:paraId="3A7E06BD" w14:textId="77777777" w:rsidR="0051654A" w:rsidRDefault="00716C53">
            <w:pPr>
              <w:shd w:val="clear" w:color="auto" w:fill="FFFFFF"/>
              <w:spacing w:after="200" w:line="276" w:lineRule="auto"/>
              <w:jc w:val="left"/>
              <w:rPr>
                <w:b/>
              </w:rPr>
            </w:pPr>
            <w:r>
              <w:rPr>
                <w:b/>
              </w:rPr>
              <w:t>Section 3.1 Methodologies Standard</w:t>
            </w:r>
          </w:p>
          <w:p w14:paraId="0FD54419" w14:textId="77777777" w:rsidR="0051654A" w:rsidRDefault="0051654A">
            <w:pPr>
              <w:keepLines/>
              <w:spacing w:before="40" w:after="40" w:line="190" w:lineRule="auto"/>
              <w:jc w:val="left"/>
              <w:rPr>
                <w:sz w:val="20"/>
                <w:szCs w:val="20"/>
              </w:rPr>
            </w:pPr>
          </w:p>
          <w:p w14:paraId="03A238D8" w14:textId="77777777" w:rsidR="0051654A" w:rsidRDefault="0051654A">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016B6E12" w14:textId="77777777" w:rsidR="0051654A" w:rsidRDefault="00716C53">
            <w:pPr>
              <w:shd w:val="clear" w:color="auto" w:fill="FFFFFF"/>
              <w:spacing w:after="200" w:line="276" w:lineRule="auto"/>
              <w:jc w:val="left"/>
            </w:pPr>
            <w:r>
              <w:rPr>
                <w:b/>
              </w:rPr>
              <w:t xml:space="preserve">3.1.3. Establishing that the selected baseline is below business-as-usual (section 4.3) </w:t>
            </w:r>
            <w:r>
              <w:t xml:space="preserve"> </w:t>
            </w:r>
          </w:p>
          <w:p w14:paraId="116A537A" w14:textId="77777777" w:rsidR="0051654A" w:rsidRDefault="0051654A">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371125DF" w14:textId="77777777" w:rsidR="0051654A" w:rsidRDefault="00716C53">
            <w:pPr>
              <w:shd w:val="clear" w:color="auto" w:fill="FFFFFF"/>
              <w:spacing w:after="200" w:line="276" w:lineRule="auto"/>
              <w:jc w:val="left"/>
              <w:rPr>
                <w:sz w:val="20"/>
                <w:szCs w:val="20"/>
              </w:rPr>
            </w:pPr>
            <w:r>
              <w:t>The CDM rules established the date of 12/31/1989 as the limit for there to have been some type of forests for ARR projects</w:t>
            </w:r>
          </w:p>
        </w:tc>
        <w:tc>
          <w:tcPr>
            <w:tcW w:w="4856" w:type="dxa"/>
            <w:tcBorders>
              <w:top w:val="single" w:sz="6" w:space="0" w:color="000000"/>
              <w:left w:val="single" w:sz="6" w:space="0" w:color="000000"/>
              <w:bottom w:val="single" w:sz="6" w:space="0" w:color="000000"/>
              <w:right w:val="single" w:sz="6" w:space="0" w:color="000000"/>
            </w:tcBorders>
          </w:tcPr>
          <w:p w14:paraId="27E6A3FB" w14:textId="77777777" w:rsidR="0051654A" w:rsidRDefault="00716C53">
            <w:pPr>
              <w:shd w:val="clear" w:color="auto" w:fill="FFFFFF"/>
              <w:spacing w:after="200" w:line="276" w:lineRule="auto"/>
              <w:jc w:val="left"/>
            </w:pPr>
            <w:r>
              <w:t xml:space="preserve">Our suggestion is that the concept of forest should be amplified by referring to suppression or degradation </w:t>
            </w:r>
            <w:proofErr w:type="gramStart"/>
            <w:r>
              <w:t>of  natural</w:t>
            </w:r>
            <w:proofErr w:type="gramEnd"/>
            <w:r>
              <w:t xml:space="preserve"> ecosystems (i.e., savanna ecosystems are included) , considering the IPCC conclusions in the IPCC Special Report on Climate Change and Land. Furthermore, there was no distinction between planted (i.e., a human-made plantation with non-native species) and native or natural forests, which inappropriately restricted the use of land. Our suggestion is that a simple criterion be adopted, whose restriction should be focused on the absence of native forests or other natural ecosystems 20 years before t</w:t>
            </w:r>
            <w:r>
              <w:t xml:space="preserve">he project.  </w:t>
            </w:r>
          </w:p>
          <w:p w14:paraId="562DACBF" w14:textId="77777777" w:rsidR="0051654A" w:rsidRDefault="00716C53">
            <w:pPr>
              <w:shd w:val="clear" w:color="auto" w:fill="FFFFFF"/>
              <w:spacing w:after="200" w:line="276" w:lineRule="auto"/>
              <w:jc w:val="left"/>
              <w:rPr>
                <w:sz w:val="20"/>
                <w:szCs w:val="20"/>
              </w:rPr>
            </w:pPr>
            <w:r>
              <w:t>Notwithstanding the above, no area of native vegetation subject to deforestation after 2020 should be eligible for future restoration projects under the SDM. Areas subject to degradation because of the impact of climate change, that does not result from direct human influence, may be eligible for restoration projects. The IPCC 2019 definition of degradation is a “negative trend in land condition, caused by direct or indirect human-induced processes including anthropogenic climate change, expressed as long-t</w:t>
            </w:r>
            <w:r>
              <w:t>erm reduction or loss of at least one of the following: biological productivity, ecological integrity or value to humans”.</w:t>
            </w:r>
          </w:p>
        </w:tc>
      </w:tr>
      <w:tr w:rsidR="0051654A" w14:paraId="478503A2"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AF99571" w14:textId="77777777" w:rsidR="0051654A" w:rsidRDefault="00716C53">
            <w:pPr>
              <w:keepLines/>
              <w:spacing w:before="40" w:after="40" w:line="190" w:lineRule="auto"/>
              <w:jc w:val="center"/>
              <w:rPr>
                <w:sz w:val="20"/>
                <w:szCs w:val="20"/>
              </w:rPr>
            </w:pPr>
            <w:r>
              <w:rPr>
                <w:sz w:val="20"/>
                <w:szCs w:val="20"/>
              </w:rPr>
              <w:t>3</w:t>
            </w:r>
          </w:p>
        </w:tc>
        <w:tc>
          <w:tcPr>
            <w:tcW w:w="2802" w:type="dxa"/>
            <w:tcBorders>
              <w:top w:val="single" w:sz="6" w:space="0" w:color="000000"/>
              <w:left w:val="single" w:sz="6" w:space="0" w:color="000000"/>
              <w:bottom w:val="single" w:sz="6" w:space="0" w:color="000000"/>
              <w:right w:val="single" w:sz="6" w:space="0" w:color="000000"/>
            </w:tcBorders>
          </w:tcPr>
          <w:p w14:paraId="33E6FE45" w14:textId="77777777" w:rsidR="0051654A" w:rsidRDefault="00716C53">
            <w:pPr>
              <w:shd w:val="clear" w:color="auto" w:fill="FFFFFF"/>
              <w:spacing w:after="200" w:line="276" w:lineRule="auto"/>
              <w:jc w:val="left"/>
              <w:rPr>
                <w:sz w:val="20"/>
                <w:szCs w:val="20"/>
              </w:rPr>
            </w:pPr>
            <w:r>
              <w:rPr>
                <w:b/>
              </w:rPr>
              <w:t xml:space="preserve">Section 3.1 Methodologies Standard </w:t>
            </w:r>
          </w:p>
        </w:tc>
        <w:tc>
          <w:tcPr>
            <w:tcW w:w="2977" w:type="dxa"/>
            <w:tcBorders>
              <w:top w:val="single" w:sz="6" w:space="0" w:color="000000"/>
              <w:left w:val="single" w:sz="6" w:space="0" w:color="000000"/>
              <w:bottom w:val="single" w:sz="6" w:space="0" w:color="000000"/>
              <w:right w:val="single" w:sz="6" w:space="0" w:color="000000"/>
            </w:tcBorders>
          </w:tcPr>
          <w:p w14:paraId="3FB57E53" w14:textId="77777777" w:rsidR="0051654A" w:rsidRDefault="00716C53">
            <w:pPr>
              <w:shd w:val="clear" w:color="auto" w:fill="FFFFFF"/>
              <w:spacing w:after="200" w:line="276" w:lineRule="auto"/>
              <w:jc w:val="left"/>
              <w:rPr>
                <w:sz w:val="20"/>
                <w:szCs w:val="20"/>
              </w:rPr>
            </w:pPr>
            <w:r>
              <w:rPr>
                <w:b/>
              </w:rPr>
              <w:t>3.1.15. Non-permanence and reversals (section 7)</w:t>
            </w:r>
          </w:p>
        </w:tc>
        <w:tc>
          <w:tcPr>
            <w:tcW w:w="4536" w:type="dxa"/>
            <w:tcBorders>
              <w:top w:val="single" w:sz="6" w:space="0" w:color="000000"/>
              <w:left w:val="single" w:sz="6" w:space="0" w:color="000000"/>
              <w:bottom w:val="single" w:sz="6" w:space="0" w:color="000000"/>
              <w:right w:val="single" w:sz="6" w:space="0" w:color="000000"/>
            </w:tcBorders>
          </w:tcPr>
          <w:p w14:paraId="30BC0727" w14:textId="77777777" w:rsidR="0051654A" w:rsidRDefault="00716C53">
            <w:pPr>
              <w:shd w:val="clear" w:color="auto" w:fill="FFFFFF"/>
              <w:spacing w:after="200" w:line="276" w:lineRule="auto"/>
              <w:jc w:val="left"/>
            </w:pPr>
            <w:r>
              <w:t xml:space="preserve">Risks related to climate change effects that amplify other possible risks mapped through the risk assessment analysis of the removals or emissions reductions project </w:t>
            </w:r>
            <w:r>
              <w:lastRenderedPageBreak/>
              <w:t xml:space="preserve">should be mitigated taking into consideration that climate change is a human-made, global crisis. The management of reversals should take into </w:t>
            </w:r>
            <w:proofErr w:type="gramStart"/>
            <w:r>
              <w:t>account  reversals</w:t>
            </w:r>
            <w:proofErr w:type="gramEnd"/>
            <w:r>
              <w:t xml:space="preserve"> related to climate change. To the extent that such reversal risks are understood and can be anticipated at the time of the project design and implementation, they should be factored into the project methodology and baselines and estimated conservatively. Where possible, the risk mitigation should reflect the global nature of climate change related </w:t>
            </w:r>
            <w:r>
              <w:t>risks and recognise its anthropogenic causes.</w:t>
            </w:r>
          </w:p>
          <w:p w14:paraId="386B2435" w14:textId="77777777" w:rsidR="0051654A" w:rsidRDefault="0051654A">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0158D236" w14:textId="77777777" w:rsidR="0051654A" w:rsidRDefault="00716C53">
            <w:pPr>
              <w:shd w:val="clear" w:color="auto" w:fill="FFFFFF"/>
              <w:spacing w:after="200" w:line="276" w:lineRule="auto"/>
              <w:jc w:val="left"/>
              <w:rPr>
                <w:sz w:val="20"/>
                <w:szCs w:val="20"/>
              </w:rPr>
            </w:pPr>
            <w:r>
              <w:lastRenderedPageBreak/>
              <w:t xml:space="preserve">The Reversal Risk Buffer Pool Account should include a share of the buffer pool to be used to address climate change related risks. Also, the </w:t>
            </w:r>
            <w:r>
              <w:rPr>
                <w:b/>
              </w:rPr>
              <w:t xml:space="preserve">4.6.2. Reversal-related notifications and </w:t>
            </w:r>
            <w:r>
              <w:rPr>
                <w:b/>
              </w:rPr>
              <w:lastRenderedPageBreak/>
              <w:t xml:space="preserve">actions </w:t>
            </w:r>
            <w:r>
              <w:t>should have specific provisions related to when events are climate-change driven instead of directly related to human activities surrounding the project area. This recommendation connects with the process through which “</w:t>
            </w:r>
            <w:r>
              <w:rPr>
                <w:b/>
              </w:rPr>
              <w:t>project needs to correctly characterize the event as avoidable or unavoidable</w:t>
            </w:r>
            <w:r>
              <w:t>”, and the need to better mediate the need for addition to the “</w:t>
            </w:r>
            <w:r>
              <w:rPr>
                <w:b/>
              </w:rPr>
              <w:t>Reversal Risk Buffer Pool Account</w:t>
            </w:r>
            <w:r>
              <w:t>”</w:t>
            </w:r>
          </w:p>
        </w:tc>
      </w:tr>
      <w:tr w:rsidR="0051654A" w14:paraId="69F91FDB"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54E94986" w14:textId="77777777" w:rsidR="0051654A" w:rsidRDefault="00716C53">
            <w:pPr>
              <w:keepLines/>
              <w:spacing w:before="40" w:after="40" w:line="190" w:lineRule="auto"/>
              <w:jc w:val="center"/>
              <w:rPr>
                <w:sz w:val="20"/>
                <w:szCs w:val="20"/>
              </w:rPr>
            </w:pPr>
            <w:r>
              <w:rPr>
                <w:sz w:val="20"/>
                <w:szCs w:val="20"/>
              </w:rPr>
              <w:lastRenderedPageBreak/>
              <w:t>4</w:t>
            </w:r>
          </w:p>
        </w:tc>
        <w:tc>
          <w:tcPr>
            <w:tcW w:w="2802" w:type="dxa"/>
            <w:tcBorders>
              <w:top w:val="single" w:sz="6" w:space="0" w:color="000000"/>
              <w:left w:val="single" w:sz="6" w:space="0" w:color="000000"/>
              <w:bottom w:val="single" w:sz="6" w:space="0" w:color="000000"/>
              <w:right w:val="single" w:sz="6" w:space="0" w:color="000000"/>
            </w:tcBorders>
          </w:tcPr>
          <w:p w14:paraId="14B67FA9" w14:textId="77777777" w:rsidR="0051654A" w:rsidRDefault="00716C53">
            <w:pPr>
              <w:shd w:val="clear" w:color="auto" w:fill="FFFFFF"/>
              <w:spacing w:after="200" w:line="276" w:lineRule="auto"/>
              <w:jc w:val="left"/>
              <w:rPr>
                <w:sz w:val="20"/>
                <w:szCs w:val="20"/>
              </w:rPr>
            </w:pPr>
            <w:r>
              <w:rPr>
                <w:b/>
              </w:rPr>
              <w:t>3.2 Removals standard</w:t>
            </w:r>
          </w:p>
          <w:p w14:paraId="384C320A" w14:textId="77777777" w:rsidR="0051654A" w:rsidRDefault="0051654A">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5E287396" w14:textId="77777777" w:rsidR="0051654A" w:rsidRDefault="00716C53">
            <w:pPr>
              <w:shd w:val="clear" w:color="auto" w:fill="FFFFFF"/>
              <w:spacing w:after="200" w:line="276" w:lineRule="auto"/>
              <w:jc w:val="left"/>
              <w:rPr>
                <w:sz w:val="20"/>
                <w:szCs w:val="20"/>
              </w:rPr>
            </w:pPr>
            <w:r>
              <w:rPr>
                <w:b/>
              </w:rPr>
              <w:t xml:space="preserve">3.2.6 Accounting for removals - Section 4.4 of the </w:t>
            </w:r>
            <w:proofErr w:type="gramStart"/>
            <w:r>
              <w:rPr>
                <w:b/>
              </w:rPr>
              <w:t>removals</w:t>
            </w:r>
            <w:proofErr w:type="gramEnd"/>
            <w:r>
              <w:rPr>
                <w:b/>
              </w:rPr>
              <w:t xml:space="preserve"> standard</w:t>
            </w:r>
          </w:p>
        </w:tc>
        <w:tc>
          <w:tcPr>
            <w:tcW w:w="4536" w:type="dxa"/>
            <w:tcBorders>
              <w:top w:val="single" w:sz="6" w:space="0" w:color="000000"/>
              <w:left w:val="single" w:sz="6" w:space="0" w:color="000000"/>
              <w:bottom w:val="single" w:sz="6" w:space="0" w:color="000000"/>
              <w:right w:val="single" w:sz="6" w:space="0" w:color="000000"/>
            </w:tcBorders>
          </w:tcPr>
          <w:p w14:paraId="50E7260C" w14:textId="77777777" w:rsidR="0051654A" w:rsidRDefault="00716C53">
            <w:pPr>
              <w:shd w:val="clear" w:color="auto" w:fill="FFFFFF"/>
              <w:spacing w:after="200" w:line="276" w:lineRule="auto"/>
              <w:jc w:val="left"/>
            </w:pPr>
            <w:r>
              <w:t xml:space="preserve">Same comment as in S/n 1: </w:t>
            </w:r>
          </w:p>
          <w:p w14:paraId="4EAB6B0E" w14:textId="77777777" w:rsidR="0051654A" w:rsidRDefault="00716C53">
            <w:pPr>
              <w:shd w:val="clear" w:color="auto" w:fill="FFFFFF"/>
              <w:spacing w:after="200" w:line="276" w:lineRule="auto"/>
              <w:jc w:val="left"/>
              <w:rPr>
                <w:sz w:val="20"/>
                <w:szCs w:val="20"/>
              </w:rPr>
            </w:pPr>
            <w:r>
              <w:t>In the removals standard, it is stated that “</w:t>
            </w:r>
            <w:r>
              <w:rPr>
                <w:b/>
              </w:rPr>
              <w:t>The net change in greenhouse gas storage shall be calculated by subtracting the sum of the change in greenhouse gas stored in each applicable greenhouse gas reservoir in the baseline scenario from the sum of the change in greenhouse gas stored in each applicable greenhouse gas reservoir in the activity scenario, calculated from the start date of the period covered by a monitoring report to the end date of the same period</w:t>
            </w:r>
            <w:r>
              <w:t>;”</w:t>
            </w:r>
          </w:p>
        </w:tc>
        <w:tc>
          <w:tcPr>
            <w:tcW w:w="4856" w:type="dxa"/>
            <w:tcBorders>
              <w:top w:val="single" w:sz="6" w:space="0" w:color="000000"/>
              <w:left w:val="single" w:sz="6" w:space="0" w:color="000000"/>
              <w:bottom w:val="single" w:sz="6" w:space="0" w:color="000000"/>
              <w:right w:val="single" w:sz="6" w:space="0" w:color="000000"/>
            </w:tcBorders>
          </w:tcPr>
          <w:p w14:paraId="2136E9FB" w14:textId="77777777" w:rsidR="0051654A" w:rsidRDefault="00716C53">
            <w:pPr>
              <w:shd w:val="clear" w:color="auto" w:fill="FFFFFF"/>
              <w:spacing w:after="200" w:line="276" w:lineRule="auto"/>
              <w:jc w:val="left"/>
            </w:pPr>
            <w:r>
              <w:t xml:space="preserve">Related to paragraph 30 in the </w:t>
            </w:r>
            <w:hyperlink r:id="rId13">
              <w:r>
                <w:rPr>
                  <w:b/>
                  <w:u w:val="single"/>
                </w:rPr>
                <w:t>Removals Standard</w:t>
              </w:r>
            </w:hyperlink>
            <w:r>
              <w:rPr>
                <w:b/>
              </w:rPr>
              <w:t xml:space="preserve"> (30. Removals eligible for crediting shall be determined as follows:</w:t>
            </w:r>
            <w:r>
              <w:t>) In accounting for removals, the project should map the multiple scenarios for accounting (e.g., different combinations of subtractions of GHG between BAU and Project Activity), including the discounts due to any leakage or reversal and select the accounting method that reflects conservativeness.</w:t>
            </w:r>
          </w:p>
          <w:p w14:paraId="52BAF941" w14:textId="77777777" w:rsidR="0051654A" w:rsidRDefault="0051654A">
            <w:pPr>
              <w:keepLines/>
              <w:spacing w:before="40" w:after="40" w:line="190" w:lineRule="auto"/>
              <w:jc w:val="left"/>
              <w:rPr>
                <w:sz w:val="20"/>
                <w:szCs w:val="20"/>
              </w:rPr>
            </w:pPr>
          </w:p>
        </w:tc>
      </w:tr>
      <w:tr w:rsidR="0051654A" w14:paraId="3C7DF704"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15480E52" w14:textId="77777777" w:rsidR="0051654A" w:rsidRDefault="00716C53">
            <w:pPr>
              <w:keepLines/>
              <w:spacing w:before="40" w:after="40" w:line="190" w:lineRule="auto"/>
              <w:jc w:val="center"/>
              <w:rPr>
                <w:sz w:val="20"/>
                <w:szCs w:val="20"/>
              </w:rPr>
            </w:pPr>
            <w:r>
              <w:rPr>
                <w:sz w:val="20"/>
                <w:szCs w:val="20"/>
              </w:rPr>
              <w:lastRenderedPageBreak/>
              <w:t>5</w:t>
            </w:r>
          </w:p>
        </w:tc>
        <w:tc>
          <w:tcPr>
            <w:tcW w:w="2802" w:type="dxa"/>
            <w:tcBorders>
              <w:top w:val="single" w:sz="6" w:space="0" w:color="000000"/>
              <w:left w:val="single" w:sz="6" w:space="0" w:color="000000"/>
              <w:bottom w:val="single" w:sz="6" w:space="0" w:color="000000"/>
              <w:right w:val="single" w:sz="6" w:space="0" w:color="000000"/>
            </w:tcBorders>
          </w:tcPr>
          <w:p w14:paraId="085A19A3" w14:textId="77777777" w:rsidR="0051654A" w:rsidRDefault="00716C53">
            <w:pPr>
              <w:shd w:val="clear" w:color="auto" w:fill="FFFFFF"/>
              <w:spacing w:after="200" w:line="276" w:lineRule="auto"/>
              <w:jc w:val="left"/>
              <w:rPr>
                <w:sz w:val="20"/>
                <w:szCs w:val="20"/>
              </w:rPr>
            </w:pPr>
            <w:r>
              <w:rPr>
                <w:b/>
              </w:rPr>
              <w:t>3.2.6 Removals standard</w:t>
            </w:r>
          </w:p>
          <w:p w14:paraId="03963E63" w14:textId="77777777" w:rsidR="0051654A" w:rsidRDefault="0051654A">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35E409F9" w14:textId="77777777" w:rsidR="0051654A" w:rsidRDefault="00716C53">
            <w:pPr>
              <w:shd w:val="clear" w:color="auto" w:fill="FFFFFF"/>
              <w:spacing w:after="200" w:line="276" w:lineRule="auto"/>
              <w:jc w:val="left"/>
              <w:rPr>
                <w:sz w:val="20"/>
                <w:szCs w:val="20"/>
              </w:rPr>
            </w:pPr>
            <w:r>
              <w:rPr>
                <w:b/>
              </w:rPr>
              <w:t>3.2.10. Avoidance of other negative environmental and social impacts and respecting human rights and the rights of Indigenous Peoples (section 4.8)</w:t>
            </w:r>
          </w:p>
        </w:tc>
        <w:tc>
          <w:tcPr>
            <w:tcW w:w="4536" w:type="dxa"/>
            <w:tcBorders>
              <w:top w:val="single" w:sz="6" w:space="0" w:color="000000"/>
              <w:left w:val="single" w:sz="6" w:space="0" w:color="000000"/>
              <w:bottom w:val="single" w:sz="6" w:space="0" w:color="000000"/>
              <w:right w:val="single" w:sz="6" w:space="0" w:color="000000"/>
            </w:tcBorders>
          </w:tcPr>
          <w:p w14:paraId="085F5D2B" w14:textId="77777777" w:rsidR="0051654A" w:rsidRDefault="00716C53">
            <w:pPr>
              <w:shd w:val="clear" w:color="auto" w:fill="FFFFFF"/>
              <w:spacing w:after="200" w:line="276" w:lineRule="auto"/>
              <w:jc w:val="left"/>
              <w:rPr>
                <w:b/>
              </w:rPr>
            </w:pPr>
            <w:r>
              <w:t>The language concerning safeguards, respecting, promoting, and considering human rights including the rights of Indigenous Peoples, and avoiding negative impacts must be based on the agreement reached in Glasgow - that countries should appropriately respect, promote and consider their respective obligations on human rights, right to health, the rights of indigenous peoples, local communities, migrants, children, persons with disabilities and people in vulnerable situations and the right to development, as w</w:t>
            </w:r>
            <w:r>
              <w:t xml:space="preserve">ell as gender equality, empowerment of women and intergenerational equity. Human rights should be </w:t>
            </w:r>
            <w:proofErr w:type="gramStart"/>
            <w:r>
              <w:t>upheld</w:t>
            </w:r>
            <w:proofErr w:type="gramEnd"/>
            <w:r>
              <w:t xml:space="preserve"> and negative impacts should be avoided.</w:t>
            </w:r>
          </w:p>
          <w:p w14:paraId="4D85E794" w14:textId="77777777" w:rsidR="0051654A" w:rsidRDefault="0051654A">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2511F202" w14:textId="77777777" w:rsidR="0051654A" w:rsidRDefault="00716C53">
            <w:pPr>
              <w:shd w:val="clear" w:color="auto" w:fill="FFFFFF"/>
              <w:spacing w:after="200" w:line="276" w:lineRule="auto"/>
              <w:jc w:val="left"/>
              <w:rPr>
                <w:sz w:val="20"/>
                <w:szCs w:val="20"/>
              </w:rPr>
            </w:pPr>
            <w:r>
              <w:t>Countries should appropriately respect, promote and consider their respective obligations on human rights, right to health, the rights of indigenous peoples, local communities, migrants, children, persons with disabilities and people in vulnerable situations and the right to development, as well as gender equality, empowerment of women and intergenerational equity</w:t>
            </w:r>
          </w:p>
        </w:tc>
      </w:tr>
      <w:tr w:rsidR="0051654A" w14:paraId="364981BD" w14:textId="77777777">
        <w:trPr>
          <w:cantSplit/>
          <w:jc w:val="center"/>
        </w:trPr>
        <w:tc>
          <w:tcPr>
            <w:tcW w:w="743" w:type="dxa"/>
            <w:tcBorders>
              <w:top w:val="single" w:sz="6" w:space="0" w:color="000000"/>
              <w:left w:val="single" w:sz="6" w:space="0" w:color="000000"/>
              <w:bottom w:val="single" w:sz="6" w:space="0" w:color="000000"/>
              <w:right w:val="single" w:sz="6" w:space="0" w:color="000000"/>
            </w:tcBorders>
          </w:tcPr>
          <w:p w14:paraId="477A2873" w14:textId="77777777" w:rsidR="0051654A" w:rsidRDefault="0051654A">
            <w:pPr>
              <w:keepLines/>
              <w:spacing w:before="40" w:after="40" w:line="190" w:lineRule="auto"/>
              <w:jc w:val="center"/>
              <w:rPr>
                <w:sz w:val="20"/>
                <w:szCs w:val="20"/>
              </w:rPr>
            </w:pPr>
          </w:p>
        </w:tc>
        <w:tc>
          <w:tcPr>
            <w:tcW w:w="2802" w:type="dxa"/>
            <w:tcBorders>
              <w:top w:val="single" w:sz="6" w:space="0" w:color="000000"/>
              <w:left w:val="single" w:sz="6" w:space="0" w:color="000000"/>
              <w:bottom w:val="single" w:sz="6" w:space="0" w:color="000000"/>
              <w:right w:val="single" w:sz="6" w:space="0" w:color="000000"/>
            </w:tcBorders>
          </w:tcPr>
          <w:p w14:paraId="346E8F02" w14:textId="77777777" w:rsidR="0051654A" w:rsidRDefault="0051654A">
            <w:pPr>
              <w:keepLines/>
              <w:spacing w:before="40" w:after="40" w:line="190" w:lineRule="auto"/>
              <w:jc w:val="left"/>
              <w:rPr>
                <w:sz w:val="20"/>
                <w:szCs w:val="20"/>
              </w:rPr>
            </w:pPr>
          </w:p>
        </w:tc>
        <w:tc>
          <w:tcPr>
            <w:tcW w:w="2977" w:type="dxa"/>
            <w:tcBorders>
              <w:top w:val="single" w:sz="6" w:space="0" w:color="000000"/>
              <w:left w:val="single" w:sz="6" w:space="0" w:color="000000"/>
              <w:bottom w:val="single" w:sz="6" w:space="0" w:color="000000"/>
              <w:right w:val="single" w:sz="6" w:space="0" w:color="000000"/>
            </w:tcBorders>
          </w:tcPr>
          <w:p w14:paraId="1071014B" w14:textId="77777777" w:rsidR="0051654A" w:rsidRDefault="0051654A">
            <w:pPr>
              <w:keepLines/>
              <w:spacing w:before="40" w:after="40" w:line="190" w:lineRule="auto"/>
              <w:jc w:val="left"/>
              <w:rPr>
                <w:sz w:val="20"/>
                <w:szCs w:val="20"/>
              </w:rPr>
            </w:pPr>
          </w:p>
        </w:tc>
        <w:tc>
          <w:tcPr>
            <w:tcW w:w="4536" w:type="dxa"/>
            <w:tcBorders>
              <w:top w:val="single" w:sz="6" w:space="0" w:color="000000"/>
              <w:left w:val="single" w:sz="6" w:space="0" w:color="000000"/>
              <w:bottom w:val="single" w:sz="6" w:space="0" w:color="000000"/>
              <w:right w:val="single" w:sz="6" w:space="0" w:color="000000"/>
            </w:tcBorders>
          </w:tcPr>
          <w:p w14:paraId="5A4B4B3F" w14:textId="77777777" w:rsidR="0051654A" w:rsidRDefault="0051654A">
            <w:pPr>
              <w:keepLines/>
              <w:spacing w:before="40" w:after="40" w:line="190" w:lineRule="auto"/>
              <w:jc w:val="left"/>
              <w:rPr>
                <w:sz w:val="20"/>
                <w:szCs w:val="20"/>
              </w:rPr>
            </w:pPr>
          </w:p>
        </w:tc>
        <w:tc>
          <w:tcPr>
            <w:tcW w:w="4856" w:type="dxa"/>
            <w:tcBorders>
              <w:top w:val="single" w:sz="6" w:space="0" w:color="000000"/>
              <w:left w:val="single" w:sz="6" w:space="0" w:color="000000"/>
              <w:bottom w:val="single" w:sz="6" w:space="0" w:color="000000"/>
              <w:right w:val="single" w:sz="6" w:space="0" w:color="000000"/>
            </w:tcBorders>
          </w:tcPr>
          <w:p w14:paraId="1592A826" w14:textId="77777777" w:rsidR="0051654A" w:rsidRDefault="0051654A">
            <w:pPr>
              <w:keepLines/>
              <w:spacing w:before="40" w:after="40" w:line="190" w:lineRule="auto"/>
              <w:jc w:val="left"/>
              <w:rPr>
                <w:sz w:val="20"/>
                <w:szCs w:val="20"/>
              </w:rPr>
            </w:pPr>
          </w:p>
        </w:tc>
      </w:tr>
    </w:tbl>
    <w:p w14:paraId="3D02F186" w14:textId="77777777" w:rsidR="0051654A" w:rsidRDefault="00716C53">
      <w:r>
        <w:t>-- (</w:t>
      </w:r>
      <w:r>
        <w:rPr>
          <w:i/>
        </w:rPr>
        <w:t>Please add rows as required</w:t>
      </w:r>
      <w:r>
        <w:t>) -</w:t>
      </w:r>
    </w:p>
    <w:sectPr w:rsidR="0051654A">
      <w:footerReference w:type="even" r:id="rId14"/>
      <w:footerReference w:type="default" r:id="rId15"/>
      <w:pgSz w:w="16840" w:h="11907" w:orient="landscape"/>
      <w:pgMar w:top="576" w:right="994" w:bottom="850" w:left="850" w:header="563" w:footer="2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D837" w14:textId="77777777" w:rsidR="000B1CBA" w:rsidRDefault="000B1CBA">
      <w:r>
        <w:separator/>
      </w:r>
    </w:p>
  </w:endnote>
  <w:endnote w:type="continuationSeparator" w:id="0">
    <w:p w14:paraId="1B570E4B" w14:textId="77777777" w:rsidR="000B1CBA" w:rsidRDefault="000B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C32" w14:textId="77777777" w:rsidR="0051654A" w:rsidRDefault="00716C53">
    <w:pPr>
      <w:pBdr>
        <w:top w:val="nil"/>
        <w:left w:val="nil"/>
        <w:bottom w:val="nil"/>
        <w:right w:val="nil"/>
        <w:between w:val="nil"/>
      </w:pBdr>
      <w:tabs>
        <w:tab w:val="center" w:pos="4820"/>
        <w:tab w:val="right" w:pos="9639"/>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57146157" w14:textId="77777777" w:rsidR="0051654A" w:rsidRDefault="0051654A">
    <w:pPr>
      <w:pBdr>
        <w:top w:val="nil"/>
        <w:left w:val="nil"/>
        <w:bottom w:val="nil"/>
        <w:right w:val="nil"/>
        <w:between w:val="nil"/>
      </w:pBdr>
      <w:tabs>
        <w:tab w:val="center" w:pos="4820"/>
        <w:tab w:val="right" w:pos="9639"/>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DF33" w14:textId="77777777" w:rsidR="0051654A" w:rsidRDefault="00716C53">
    <w:pPr>
      <w:tabs>
        <w:tab w:val="center" w:pos="4550"/>
        <w:tab w:val="left" w:pos="5818"/>
      </w:tabs>
      <w:ind w:right="260"/>
      <w:jc w:val="right"/>
      <w:rPr>
        <w:color w:val="222A35"/>
        <w:sz w:val="20"/>
        <w:szCs w:val="20"/>
      </w:rPr>
    </w:pPr>
    <w:r>
      <w:rPr>
        <w:color w:val="8496B0"/>
        <w:sz w:val="20"/>
        <w:szCs w:val="20"/>
      </w:rPr>
      <w:t xml:space="preserve">Page </w:t>
    </w:r>
    <w:r>
      <w:rPr>
        <w:color w:val="323E4F"/>
        <w:sz w:val="20"/>
        <w:szCs w:val="20"/>
      </w:rPr>
      <w:fldChar w:fldCharType="begin"/>
    </w:r>
    <w:r>
      <w:rPr>
        <w:color w:val="323E4F"/>
        <w:sz w:val="20"/>
        <w:szCs w:val="20"/>
      </w:rPr>
      <w:instrText>PAGE</w:instrText>
    </w:r>
    <w:r>
      <w:rPr>
        <w:color w:val="323E4F"/>
        <w:sz w:val="20"/>
        <w:szCs w:val="20"/>
      </w:rPr>
      <w:fldChar w:fldCharType="separate"/>
    </w:r>
    <w:r w:rsidR="00173DAD">
      <w:rPr>
        <w:noProof/>
        <w:color w:val="323E4F"/>
        <w:sz w:val="20"/>
        <w:szCs w:val="20"/>
      </w:rPr>
      <w:t>1</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NUMPAGES</w:instrText>
    </w:r>
    <w:r>
      <w:rPr>
        <w:color w:val="323E4F"/>
        <w:sz w:val="20"/>
        <w:szCs w:val="20"/>
      </w:rPr>
      <w:fldChar w:fldCharType="separate"/>
    </w:r>
    <w:r w:rsidR="00173DAD">
      <w:rPr>
        <w:noProof/>
        <w:color w:val="323E4F"/>
        <w:sz w:val="20"/>
        <w:szCs w:val="20"/>
      </w:rPr>
      <w:t>2</w:t>
    </w:r>
    <w:r>
      <w:rPr>
        <w:color w:val="323E4F"/>
        <w:sz w:val="20"/>
        <w:szCs w:val="20"/>
      </w:rPr>
      <w:fldChar w:fldCharType="end"/>
    </w:r>
  </w:p>
  <w:p w14:paraId="7F166BB5" w14:textId="77777777" w:rsidR="0051654A" w:rsidRDefault="0051654A">
    <w:pPr>
      <w:pBdr>
        <w:top w:val="nil"/>
        <w:left w:val="nil"/>
        <w:bottom w:val="nil"/>
        <w:right w:val="nil"/>
        <w:between w:val="nil"/>
      </w:pBdr>
      <w:tabs>
        <w:tab w:val="center" w:pos="4820"/>
        <w:tab w:val="right" w:pos="9639"/>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EADA" w14:textId="77777777" w:rsidR="000B1CBA" w:rsidRDefault="000B1CBA">
      <w:r>
        <w:separator/>
      </w:r>
    </w:p>
  </w:footnote>
  <w:footnote w:type="continuationSeparator" w:id="0">
    <w:p w14:paraId="3B2B6AD2" w14:textId="77777777" w:rsidR="000B1CBA" w:rsidRDefault="000B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5579"/>
    <w:multiLevelType w:val="multilevel"/>
    <w:tmpl w:val="AE34AE52"/>
    <w:lvl w:ilvl="0">
      <w:start w:val="1"/>
      <w:numFmt w:val="decimal"/>
      <w:pStyle w:val="StyleRegHead111pt"/>
      <w:lvlText w:val="%1."/>
      <w:lvlJc w:val="left"/>
      <w:pPr>
        <w:tabs>
          <w:tab w:val="num" w:pos="720"/>
        </w:tabs>
        <w:ind w:left="720" w:hanging="720"/>
      </w:pPr>
    </w:lvl>
    <w:lvl w:ilvl="1">
      <w:start w:val="1"/>
      <w:numFmt w:val="decimal"/>
      <w:pStyle w:val="RegHead2"/>
      <w:lvlText w:val="%2."/>
      <w:lvlJc w:val="left"/>
      <w:pPr>
        <w:tabs>
          <w:tab w:val="num" w:pos="1440"/>
        </w:tabs>
        <w:ind w:left="1440" w:hanging="720"/>
      </w:pPr>
    </w:lvl>
    <w:lvl w:ilvl="2">
      <w:start w:val="1"/>
      <w:numFmt w:val="decimal"/>
      <w:pStyle w:val="RegHead3"/>
      <w:lvlText w:val="%3."/>
      <w:lvlJc w:val="left"/>
      <w:pPr>
        <w:tabs>
          <w:tab w:val="num" w:pos="2160"/>
        </w:tabs>
        <w:ind w:left="2160" w:hanging="720"/>
      </w:pPr>
    </w:lvl>
    <w:lvl w:ilvl="3">
      <w:start w:val="1"/>
      <w:numFmt w:val="decimal"/>
      <w:pStyle w:val="RegPar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75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4A"/>
    <w:rsid w:val="000B1CBA"/>
    <w:rsid w:val="00173DAD"/>
    <w:rsid w:val="0051654A"/>
    <w:rsid w:val="00716C53"/>
    <w:rsid w:val="008341CF"/>
    <w:rsid w:val="00A22520"/>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F9BFB"/>
  <w15:docId w15:val="{C87022C5-F0C8-4985-969F-8126C1C8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SG"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spacing w:before="120" w:after="200"/>
      <w:outlineLvl w:val="0"/>
    </w:pPr>
    <w:rPr>
      <w:b/>
      <w:bCs/>
      <w:sz w:val="24"/>
      <w:szCs w:val="24"/>
    </w:rPr>
  </w:style>
  <w:style w:type="paragraph" w:styleId="Heading2">
    <w:name w:val="heading 2"/>
    <w:basedOn w:val="Heading1"/>
    <w:next w:val="Normal"/>
    <w:uiPriority w:val="9"/>
    <w:semiHidden/>
    <w:unhideWhenUsed/>
    <w:qFormat/>
    <w:pPr>
      <w:spacing w:before="0"/>
      <w:ind w:left="567" w:hanging="567"/>
      <w:outlineLvl w:val="1"/>
    </w:pPr>
    <w:rPr>
      <w:sz w:val="22"/>
      <w:szCs w:val="22"/>
    </w:rPr>
  </w:style>
  <w:style w:type="paragraph" w:styleId="Heading3">
    <w:name w:val="heading 3"/>
    <w:basedOn w:val="Heading2"/>
    <w:next w:val="Normal"/>
    <w:uiPriority w:val="9"/>
    <w:semiHidden/>
    <w:unhideWhenUsed/>
    <w:qFormat/>
    <w:pPr>
      <w:outlineLvl w:val="2"/>
    </w:pPr>
    <w:rPr>
      <w:b w:val="0"/>
      <w:bCs w:val="0"/>
    </w:rPr>
  </w:style>
  <w:style w:type="paragraph" w:styleId="Heading4">
    <w:name w:val="heading 4"/>
    <w:basedOn w:val="Heading3"/>
    <w:next w:val="Normal"/>
    <w:uiPriority w:val="9"/>
    <w:semiHidden/>
    <w:unhideWhenUsed/>
    <w:qFormat/>
    <w:pPr>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6" w:type="dxa"/>
        <w:right w:w="56" w:type="dxa"/>
      </w:tblCellMar>
    </w:tblPr>
  </w:style>
  <w:style w:type="table" w:customStyle="1" w:styleId="a0">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fccc.int/sites/default/files/resource/A6.4-STAN-METH-0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sites/default/files/resource/A6.4-STAN-METH-00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 xsi:nil="true"/>
    <Comments xmlns="819ae873-75e1-413b-9d00-7af9258cf281" xsi:nil="true"/>
    <Doc_x002e_SymbolNumber xmlns="819ae873-75e1-413b-9d00-7af9258cf2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9" ma:contentTypeDescription="Create a new document." ma:contentTypeScope="" ma:versionID="d7da099e5086f45020d60f3fef19023e">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26d0ce5e49ef4a7433c72751346a7a4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ZgsM1fVkTQa45X1aPLShCitcg==">CgMxLjA4AHIhMWhvU2R5NEVfUDFuQnE1Rm9DZEt1LWxoSU56cEU5aWsw</go:docsCustomData>
</go:gDocsCustomXmlDataStorage>
</file>

<file path=customXml/itemProps1.xml><?xml version="1.0" encoding="utf-8"?>
<ds:datastoreItem xmlns:ds="http://schemas.openxmlformats.org/officeDocument/2006/customXml" ds:itemID="{0D75AEB6-D17C-442A-A021-CACD4C5B279E}">
  <ds:schemaRefs>
    <ds:schemaRef ds:uri="http://schemas.microsoft.com/office/2006/metadata/properties"/>
    <ds:schemaRef ds:uri="http://schemas.microsoft.com/office/infopath/2007/PartnerControls"/>
    <ds:schemaRef ds:uri="819ae873-75e1-413b-9d00-7af9258cf281"/>
    <ds:schemaRef ds:uri="eb4559c4-8463-4985-927f-f0d558bff8f0"/>
    <ds:schemaRef ds:uri="13d80b15-5f07-43ab-b435-85767a7dac08"/>
  </ds:schemaRefs>
</ds:datastoreItem>
</file>

<file path=customXml/itemProps2.xml><?xml version="1.0" encoding="utf-8"?>
<ds:datastoreItem xmlns:ds="http://schemas.openxmlformats.org/officeDocument/2006/customXml" ds:itemID="{C920B252-29CE-4D61-A320-76A261A52FCA}">
  <ds:schemaRefs>
    <ds:schemaRef ds:uri="http://schemas.microsoft.com/sharepoint/v3/contenttype/forms"/>
  </ds:schemaRefs>
</ds:datastoreItem>
</file>

<file path=customXml/itemProps3.xml><?xml version="1.0" encoding="utf-8"?>
<ds:datastoreItem xmlns:ds="http://schemas.openxmlformats.org/officeDocument/2006/customXml" ds:itemID="{4B861613-A526-444A-A654-B453CD7BE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Jane Stickdorn</cp:lastModifiedBy>
  <cp:revision>2</cp:revision>
  <dcterms:created xsi:type="dcterms:W3CDTF">2025-06-30T13:44:00Z</dcterms:created>
  <dcterms:modified xsi:type="dcterms:W3CDTF">2025-06-30T13:44:00Z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0x0101008FB6730B0802B54A9F00C78B857E1443</vt:lpwstr>
  </property>
  <property fmtid="{D5CDD505-2E9C-101B-9397-08002B2CF9AE}" pid="4" name="MediaServiceImageTags">
    <vt:lpwstr/>
  </property>
</Properties>
</file>