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5" w:tblpY="285"/>
        <w:tblOverlap w:val="never"/>
        <w:tblW w:w="9639" w:type="dxa"/>
        <w:tblBorders>
          <w:bottom w:val="single" w:sz="12" w:space="0" w:color="auto"/>
          <w:insideH w:val="single" w:sz="4" w:space="0" w:color="auto"/>
        </w:tblBorders>
        <w:tblLayout w:type="fixed"/>
        <w:tblCellMar>
          <w:left w:w="0" w:type="dxa"/>
          <w:right w:w="0" w:type="dxa"/>
        </w:tblCellMar>
        <w:tblLook w:val="01E0" w:firstRow="1" w:lastRow="1" w:firstColumn="1" w:lastColumn="1" w:noHBand="0" w:noVBand="0"/>
      </w:tblPr>
      <w:tblGrid>
        <w:gridCol w:w="4536"/>
        <w:gridCol w:w="2268"/>
        <w:gridCol w:w="2835"/>
      </w:tblGrid>
      <w:tr w:rsidR="0087643E" w:rsidRPr="0087643E" w14:paraId="50CDAA6A" w14:textId="77777777" w:rsidTr="005528FD">
        <w:trPr>
          <w:cantSplit/>
          <w:trHeight w:hRule="exact" w:val="1560"/>
        </w:trPr>
        <w:tc>
          <w:tcPr>
            <w:tcW w:w="4536" w:type="dxa"/>
            <w:tcBorders>
              <w:bottom w:val="single" w:sz="4" w:space="0" w:color="auto"/>
            </w:tcBorders>
            <w:vAlign w:val="bottom"/>
          </w:tcPr>
          <w:p w14:paraId="048B003A" w14:textId="77777777" w:rsidR="0087643E" w:rsidRPr="00A86746" w:rsidRDefault="000333C0" w:rsidP="00CB2482">
            <w:pPr>
              <w:spacing w:after="60"/>
              <w:ind w:left="113"/>
              <w:rPr>
                <w:sz w:val="28"/>
                <w:szCs w:val="28"/>
              </w:rPr>
            </w:pPr>
            <w:r>
              <w:rPr>
                <w:noProof/>
                <w:lang w:val="en-US" w:eastAsia="en-US"/>
              </w:rPr>
              <w:drawing>
                <wp:inline distT="0" distB="0" distL="0" distR="0" wp14:anchorId="1C64E412" wp14:editId="658E5104">
                  <wp:extent cx="2400300" cy="56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0300" cy="561975"/>
                          </a:xfrm>
                          <a:prstGeom prst="rect">
                            <a:avLst/>
                          </a:prstGeom>
                          <a:noFill/>
                          <a:ln>
                            <a:noFill/>
                          </a:ln>
                        </pic:spPr>
                      </pic:pic>
                    </a:graphicData>
                  </a:graphic>
                </wp:inline>
              </w:drawing>
            </w:r>
          </w:p>
        </w:tc>
        <w:tc>
          <w:tcPr>
            <w:tcW w:w="5103" w:type="dxa"/>
            <w:gridSpan w:val="2"/>
            <w:tcBorders>
              <w:bottom w:val="single" w:sz="4" w:space="0" w:color="auto"/>
            </w:tcBorders>
            <w:vAlign w:val="bottom"/>
          </w:tcPr>
          <w:p w14:paraId="6394715B" w14:textId="135D8992" w:rsidR="0087643E" w:rsidRPr="0087643E" w:rsidRDefault="0087643E" w:rsidP="0087643E">
            <w:pPr>
              <w:jc w:val="right"/>
              <w:rPr>
                <w:highlight w:val="yellow"/>
              </w:rPr>
            </w:pPr>
          </w:p>
        </w:tc>
      </w:tr>
      <w:tr w:rsidR="00931224" w14:paraId="0172A09E" w14:textId="77777777" w:rsidTr="0087212E">
        <w:trPr>
          <w:cantSplit/>
          <w:trHeight w:hRule="exact" w:val="1289"/>
        </w:trPr>
        <w:tc>
          <w:tcPr>
            <w:tcW w:w="6804" w:type="dxa"/>
            <w:gridSpan w:val="2"/>
            <w:tcBorders>
              <w:top w:val="single" w:sz="4" w:space="0" w:color="auto"/>
              <w:bottom w:val="nil"/>
            </w:tcBorders>
          </w:tcPr>
          <w:p w14:paraId="2FA57595" w14:textId="77777777" w:rsidR="00B159F9" w:rsidRDefault="008B0FDE" w:rsidP="005528FD">
            <w:pPr>
              <w:spacing w:before="360"/>
              <w:rPr>
                <w:b/>
                <w:sz w:val="24"/>
                <w:szCs w:val="24"/>
              </w:rPr>
            </w:pPr>
            <w:r>
              <w:rPr>
                <w:b/>
                <w:sz w:val="24"/>
                <w:szCs w:val="24"/>
              </w:rPr>
              <w:t>Subs</w:t>
            </w:r>
            <w:r w:rsidR="00B159F9">
              <w:rPr>
                <w:b/>
                <w:sz w:val="24"/>
                <w:szCs w:val="24"/>
              </w:rPr>
              <w:t xml:space="preserve">idiary Body for Implementation </w:t>
            </w:r>
          </w:p>
          <w:p w14:paraId="7D0F9618" w14:textId="0956FF89" w:rsidR="008B0FDE" w:rsidRPr="00B159F9" w:rsidRDefault="00B159F9" w:rsidP="005528FD">
            <w:pPr>
              <w:spacing w:before="360"/>
              <w:rPr>
                <w:b/>
                <w:sz w:val="18"/>
                <w:szCs w:val="24"/>
              </w:rPr>
            </w:pPr>
            <w:r>
              <w:rPr>
                <w:b/>
                <w:sz w:val="18"/>
                <w:szCs w:val="24"/>
              </w:rPr>
              <w:t>Fifty-first session,</w:t>
            </w:r>
            <w:r w:rsidR="008B0FDE" w:rsidRPr="00B159F9">
              <w:rPr>
                <w:b/>
                <w:sz w:val="18"/>
                <w:szCs w:val="24"/>
              </w:rPr>
              <w:t xml:space="preserve"> 2-9 December</w:t>
            </w:r>
            <w:r>
              <w:rPr>
                <w:b/>
                <w:sz w:val="18"/>
                <w:szCs w:val="24"/>
              </w:rPr>
              <w:t xml:space="preserve"> 2019</w:t>
            </w:r>
          </w:p>
          <w:p w14:paraId="59FE2502" w14:textId="77777777" w:rsidR="00931224" w:rsidRPr="00D26D0D" w:rsidRDefault="00931224" w:rsidP="005528FD">
            <w:pPr>
              <w:spacing w:before="360"/>
              <w:rPr>
                <w:b/>
                <w:sz w:val="24"/>
                <w:szCs w:val="24"/>
              </w:rPr>
            </w:pPr>
            <w:r>
              <w:rPr>
                <w:b/>
                <w:sz w:val="24"/>
                <w:szCs w:val="24"/>
              </w:rPr>
              <w:t>constituted body name and/or event name and/or place and date of event, if applicable]</w:t>
            </w:r>
          </w:p>
          <w:p w14:paraId="05DE952C" w14:textId="77777777" w:rsidR="00931224" w:rsidRDefault="00931224" w:rsidP="0087643E"/>
          <w:p w14:paraId="470D6B7C" w14:textId="77777777" w:rsidR="00931224" w:rsidRDefault="00931224" w:rsidP="0087643E"/>
          <w:p w14:paraId="68E15E38" w14:textId="77777777" w:rsidR="00931224" w:rsidRPr="003F5FEE" w:rsidRDefault="00931224" w:rsidP="0087643E"/>
        </w:tc>
        <w:tc>
          <w:tcPr>
            <w:tcW w:w="2835" w:type="dxa"/>
            <w:tcBorders>
              <w:top w:val="single" w:sz="4" w:space="0" w:color="auto"/>
              <w:bottom w:val="nil"/>
            </w:tcBorders>
          </w:tcPr>
          <w:sdt>
            <w:sdtPr>
              <w:id w:val="-121243159"/>
              <w:placeholder>
                <w:docPart w:val="3527A4F433DB4962B668666F34F82890"/>
              </w:placeholder>
              <w:date w:fullDate="2019-11-01T00:00:00Z">
                <w:dateFormat w:val="dd MMMM yyyy"/>
                <w:lid w:val="en-IE"/>
                <w:storeMappedDataAs w:val="dateTime"/>
                <w:calendar w:val="gregorian"/>
              </w:date>
            </w:sdtPr>
            <w:sdtEndPr/>
            <w:sdtContent>
              <w:p w14:paraId="28E872F2" w14:textId="1A846C3F" w:rsidR="00931224" w:rsidRDefault="007F2C90" w:rsidP="005528FD">
                <w:pPr>
                  <w:spacing w:before="360" w:line="240" w:lineRule="exact"/>
                  <w:ind w:left="142"/>
                  <w:jc w:val="right"/>
                </w:pPr>
                <w:r>
                  <w:rPr>
                    <w:lang w:val="en-IE"/>
                  </w:rPr>
                  <w:t>01 November 2019</w:t>
                </w:r>
              </w:p>
            </w:sdtContent>
          </w:sdt>
          <w:p w14:paraId="788E7744" w14:textId="77777777" w:rsidR="00931224" w:rsidRDefault="00931224" w:rsidP="0087643E">
            <w:pPr>
              <w:spacing w:line="240" w:lineRule="exact"/>
              <w:ind w:left="143"/>
            </w:pPr>
          </w:p>
          <w:p w14:paraId="0C82653E" w14:textId="77777777" w:rsidR="00931224" w:rsidRPr="00E0470D" w:rsidRDefault="00931224" w:rsidP="0087643E">
            <w:pPr>
              <w:spacing w:line="240" w:lineRule="exact"/>
              <w:ind w:left="143"/>
            </w:pPr>
          </w:p>
        </w:tc>
      </w:tr>
    </w:tbl>
    <w:p w14:paraId="25887D81" w14:textId="4D5E74D9" w:rsidR="00742296" w:rsidRDefault="00495ED3" w:rsidP="00742296">
      <w:pPr>
        <w:pStyle w:val="HChG"/>
      </w:pPr>
      <w:r>
        <w:tab/>
      </w:r>
      <w:r>
        <w:tab/>
      </w:r>
      <w:r w:rsidR="00B159F9">
        <w:t>Informal document containing the s</w:t>
      </w:r>
      <w:r w:rsidR="002356B6">
        <w:t xml:space="preserve">tatus of implementation of the </w:t>
      </w:r>
      <w:r w:rsidR="00FB1803">
        <w:t>gender action plan</w:t>
      </w:r>
      <w:r w:rsidR="002356B6">
        <w:t xml:space="preserve"> and s</w:t>
      </w:r>
      <w:r w:rsidR="00927214">
        <w:t xml:space="preserve">uggested recommendations </w:t>
      </w:r>
      <w:r w:rsidR="002356B6">
        <w:t>for improvement</w:t>
      </w:r>
    </w:p>
    <w:p w14:paraId="004388DF" w14:textId="47FE2A69" w:rsidR="00931224" w:rsidRPr="00931224" w:rsidRDefault="000F7C2E" w:rsidP="00931224">
      <w:pPr>
        <w:pStyle w:val="H1G"/>
        <w:ind w:firstLine="0"/>
      </w:pPr>
      <w:r>
        <w:t>Informal document</w:t>
      </w:r>
      <w:r w:rsidR="00927214">
        <w:t xml:space="preserve"> </w:t>
      </w:r>
    </w:p>
    <w:p w14:paraId="39E68B2C" w14:textId="745ECB23" w:rsidR="0087643E" w:rsidRDefault="00B159F9" w:rsidP="00B159F9">
      <w:pPr>
        <w:pStyle w:val="RegHChG"/>
      </w:pPr>
      <w:r>
        <w:t>Introduction</w:t>
      </w:r>
    </w:p>
    <w:p w14:paraId="73A3F00D" w14:textId="4610974C" w:rsidR="00FB53F4" w:rsidRDefault="00FB53F4" w:rsidP="00FB53F4">
      <w:pPr>
        <w:pStyle w:val="RegH1G"/>
      </w:pPr>
      <w:r>
        <w:t>Mandate</w:t>
      </w:r>
    </w:p>
    <w:p w14:paraId="1B491D6B" w14:textId="77777777" w:rsidR="007F2C90" w:rsidRDefault="007F2C90" w:rsidP="007F2C90">
      <w:pPr>
        <w:pStyle w:val="RegSingleTxtG"/>
        <w:rPr>
          <w:vertAlign w:val="superscript"/>
        </w:rPr>
      </w:pPr>
      <w:bookmarkStart w:id="0" w:name="_Ref8350070"/>
      <w:r>
        <w:t>COP 22 decided on a three-year extension of the Lima work programme on gender (LWPG) and a review thereof at COP 25</w:t>
      </w:r>
      <w:r>
        <w:rPr>
          <w:rStyle w:val="FootnoteReference"/>
        </w:rPr>
        <w:footnoteReference w:id="1"/>
      </w:r>
      <w:r>
        <w:t xml:space="preserve"> and requested the SBI to launch the review at SBI 50. COP 23 requested the secretariat to prepare a synthesis report</w:t>
      </w:r>
      <w:r>
        <w:rPr>
          <w:sz w:val="18"/>
          <w:vertAlign w:val="superscript"/>
        </w:rPr>
        <w:footnoteReference w:id="2"/>
      </w:r>
      <w:r>
        <w:t xml:space="preserve"> on the implementation of the gender action plan (GAP) developed under the LWPG, identifying areas of progress, areas for improvement and further work to be undertaken in subsequent action plans, for consideration at SBI 51 </w:t>
      </w:r>
      <w:proofErr w:type="gramStart"/>
      <w:r>
        <w:t>so as to</w:t>
      </w:r>
      <w:proofErr w:type="gramEnd"/>
      <w:r>
        <w:t xml:space="preserve"> elaborate recommendations for consideration at COP 25.</w:t>
      </w:r>
      <w:r>
        <w:rPr>
          <w:sz w:val="18"/>
          <w:vertAlign w:val="superscript"/>
        </w:rPr>
        <w:t xml:space="preserve"> </w:t>
      </w:r>
      <w:r w:rsidRPr="009B464B">
        <w:rPr>
          <w:vertAlign w:val="superscript"/>
        </w:rPr>
        <w:footnoteReference w:id="3"/>
      </w:r>
    </w:p>
    <w:p w14:paraId="5EFA5215" w14:textId="77777777" w:rsidR="007F2C90" w:rsidRDefault="007F2C90" w:rsidP="007F2C90">
      <w:pPr>
        <w:pStyle w:val="RegSingleTxtG"/>
      </w:pPr>
      <w:bookmarkStart w:id="1" w:name="_Ref20690892"/>
      <w:bookmarkStart w:id="2" w:name="_Ref20691231"/>
      <w:r>
        <w:t>The co-facilitators of the gender and climate change agenda item at SBI 50 prepared an informal note</w:t>
      </w:r>
      <w:r>
        <w:rPr>
          <w:rStyle w:val="FootnoteReference"/>
        </w:rPr>
        <w:footnoteReference w:id="4"/>
      </w:r>
      <w:r>
        <w:t xml:space="preserve"> on the outcomes of the discussion on the review</w:t>
      </w:r>
      <w:bookmarkEnd w:id="0"/>
      <w:bookmarkEnd w:id="1"/>
      <w:bookmarkEnd w:id="2"/>
      <w:r>
        <w:t xml:space="preserve"> and Parties and observers made submissions identifying areas of progress, areas for improvement and further work to be undertaken in a subsequent gender work programme and action plan.</w:t>
      </w:r>
    </w:p>
    <w:p w14:paraId="05891F6C" w14:textId="4FF383E1" w:rsidR="00FB53F4" w:rsidRDefault="00FB53F4" w:rsidP="00FB53F4">
      <w:pPr>
        <w:pStyle w:val="RegH1G"/>
      </w:pPr>
      <w:r>
        <w:t>Scope</w:t>
      </w:r>
    </w:p>
    <w:p w14:paraId="47542715" w14:textId="4FB088C5" w:rsidR="007F2C90" w:rsidRDefault="007F2C90" w:rsidP="007F2C90">
      <w:pPr>
        <w:pStyle w:val="RegSingleTxtG"/>
        <w:rPr>
          <w:vertAlign w:val="superscript"/>
        </w:rPr>
      </w:pPr>
      <w:r>
        <w:t>To facilitate the deliberations by Parties at SBI 51, the secretariat has prepared this informal document</w:t>
      </w:r>
      <w:r>
        <w:rPr>
          <w:rStyle w:val="FootnoteReference"/>
        </w:rPr>
        <w:footnoteReference w:id="5"/>
      </w:r>
      <w:r>
        <w:t xml:space="preserve"> containing a summary of the status of implementation of the GAP, as well as a comprehensive list of the recommendations for an improved GAP. </w:t>
      </w:r>
    </w:p>
    <w:p w14:paraId="026C3A35" w14:textId="77777777" w:rsidR="007F2C90" w:rsidRDefault="007F2C90" w:rsidP="007F2C90">
      <w:pPr>
        <w:pStyle w:val="RegSingleTxtG"/>
        <w:rPr>
          <w:vertAlign w:val="superscript"/>
        </w:rPr>
      </w:pPr>
      <w:r>
        <w:t>The recommendations are drawn from the information presented in the submissions received from Parties and observers on the topic referred to in paragraph 2 above</w:t>
      </w:r>
      <w:r>
        <w:rPr>
          <w:sz w:val="18"/>
          <w:szCs w:val="18"/>
          <w:vertAlign w:val="superscript"/>
        </w:rPr>
        <w:footnoteReference w:id="6"/>
      </w:r>
      <w:r>
        <w:t xml:space="preserve"> as well as in the presentations and discussions at the workshops held at SB 48, on, inter alia, integrating gender considerations into national climate policies, plans and action,</w:t>
      </w:r>
      <w:r>
        <w:rPr>
          <w:sz w:val="18"/>
          <w:szCs w:val="18"/>
          <w:vertAlign w:val="superscript"/>
        </w:rPr>
        <w:footnoteReference w:id="7"/>
      </w:r>
      <w:r>
        <w:t xml:space="preserve"> and SB 50, on the implementation and impacts of the LWPG and the GAP.</w:t>
      </w:r>
      <w:r>
        <w:rPr>
          <w:sz w:val="18"/>
          <w:szCs w:val="18"/>
          <w:vertAlign w:val="superscript"/>
        </w:rPr>
        <w:footnoteReference w:id="8"/>
      </w:r>
    </w:p>
    <w:p w14:paraId="0D01B41C" w14:textId="58B7B8A4" w:rsidR="007F2C90" w:rsidRDefault="007F2C90" w:rsidP="007F2C90">
      <w:pPr>
        <w:pStyle w:val="RegSingleTxtG"/>
        <w:rPr>
          <w:vertAlign w:val="superscript"/>
        </w:rPr>
      </w:pPr>
      <w:r>
        <w:t>The recommendations have been grouped and allocated to different priority areas and activities of the GAP as a guide based on an interpretation by the secretariat of the information provided. However, other groupings or allocations are possible.</w:t>
      </w:r>
    </w:p>
    <w:p w14:paraId="775DFB3A" w14:textId="77777777" w:rsidR="00BD552A" w:rsidRDefault="00BD552A" w:rsidP="00BD552A">
      <w:pPr>
        <w:pStyle w:val="RegH1G"/>
      </w:pPr>
      <w:r>
        <w:lastRenderedPageBreak/>
        <w:t>S</w:t>
      </w:r>
      <w:r w:rsidR="00C8333A">
        <w:t>tructure of the GAP</w:t>
      </w:r>
    </w:p>
    <w:p w14:paraId="092980D3" w14:textId="7E099F59" w:rsidR="00C8333A" w:rsidRDefault="00C8333A" w:rsidP="00C8333A">
      <w:pPr>
        <w:pStyle w:val="RegSingleTxtG"/>
      </w:pPr>
      <w:r>
        <w:t>The GAP contains 16 activities under five priority</w:t>
      </w:r>
      <w:r w:rsidR="00007ACD">
        <w:t xml:space="preserve"> areas</w:t>
      </w:r>
      <w:r>
        <w:t>:</w:t>
      </w:r>
    </w:p>
    <w:p w14:paraId="3F6F62D6" w14:textId="5B4D84D3" w:rsidR="00C8333A" w:rsidRPr="007C1D6A" w:rsidRDefault="00C8333A" w:rsidP="00C8333A">
      <w:pPr>
        <w:pStyle w:val="RegSingleTxtG2"/>
      </w:pPr>
      <w:r w:rsidRPr="007C1D6A">
        <w:t>Priority area: capacity-building, knowledge-sharing and communication</w:t>
      </w:r>
    </w:p>
    <w:p w14:paraId="24F4996B" w14:textId="77777777" w:rsidR="00C8333A" w:rsidRDefault="00C8333A" w:rsidP="00C8333A">
      <w:pPr>
        <w:pStyle w:val="RegSingleTxtG3"/>
      </w:pPr>
      <w:r>
        <w:t xml:space="preserve">A.1 </w:t>
      </w:r>
      <w:r w:rsidRPr="007C1D6A">
        <w:t>Through the use of such mechanisms as workshops, technical assistance, etc., enhance the capacity of Parties and stakeholders to develop gender-responsive policies, plans and programmes on adaptation, mitigation, capacity-building, technology and finance</w:t>
      </w:r>
    </w:p>
    <w:p w14:paraId="4AADC521" w14:textId="7A32295F" w:rsidR="00C8333A" w:rsidRDefault="00C8333A" w:rsidP="00C8333A">
      <w:pPr>
        <w:pStyle w:val="RegSingleTxtG3"/>
      </w:pPr>
      <w:r>
        <w:t xml:space="preserve">A.2 </w:t>
      </w:r>
      <w:r w:rsidRPr="00E15B51">
        <w:t>Make a submission on the systematic integration of gender-sensitive and participatory education, training, public awareness, public participation and public access to information from national to local level into all mitigation and adaptation activities implemented under the Convention and the Paris Agreement, including into the implementation of NDCs and the formulation of long-term low greenhouse gas emission development strategies, and invite Parties to hold a dialogue under the Action for Climate Empowerment agenda item on how Parties and observer organizations have promoted the systematic integration of gender considerations into the above-mentioned issue</w:t>
      </w:r>
    </w:p>
    <w:p w14:paraId="716A1D84" w14:textId="196A4B22" w:rsidR="00045E75" w:rsidRDefault="00045E75" w:rsidP="00045E75">
      <w:pPr>
        <w:pStyle w:val="RegSingleTxtG2"/>
      </w:pPr>
      <w:r w:rsidRPr="00E15B51">
        <w:t>Priority area B: gender balance, participation and women’s leadership</w:t>
      </w:r>
    </w:p>
    <w:p w14:paraId="1DD10DD4" w14:textId="4FAD0A22" w:rsidR="00045E75" w:rsidRDefault="00045E75" w:rsidP="00045E75">
      <w:pPr>
        <w:pStyle w:val="RegSingleTxtG3"/>
      </w:pPr>
      <w:r>
        <w:t xml:space="preserve">B.1. </w:t>
      </w:r>
      <w:r w:rsidRPr="00E15B51">
        <w:t xml:space="preserve">Promote travel funds as a means to support the participation of women in national delegations at UNFCCC sessions, including those from grass-roots, local and indigenous </w:t>
      </w:r>
      <w:proofErr w:type="gramStart"/>
      <w:r w:rsidRPr="00E15B51">
        <w:t>peoples</w:t>
      </w:r>
      <w:proofErr w:type="gramEnd"/>
      <w:r w:rsidRPr="00E15B51">
        <w:t xml:space="preserve"> communities from developing countries, the least developed countries and small island developing States</w:t>
      </w:r>
    </w:p>
    <w:p w14:paraId="64163033" w14:textId="584EC078" w:rsidR="00045E75" w:rsidRDefault="00045E75" w:rsidP="00045E75">
      <w:pPr>
        <w:pStyle w:val="RegSingleTxtG3"/>
      </w:pPr>
      <w:r>
        <w:t xml:space="preserve">B.2. </w:t>
      </w:r>
      <w:r w:rsidR="005F0407" w:rsidRPr="00E15B51">
        <w:t>Include in regular notifications to Parties at the time of nominations to UNFCCC bodies the latest report on the gender composition of the relevant body</w:t>
      </w:r>
    </w:p>
    <w:p w14:paraId="4E819161" w14:textId="63650A44" w:rsidR="00045E75" w:rsidRDefault="005F0407" w:rsidP="00045E75">
      <w:pPr>
        <w:pStyle w:val="RegSingleTxtG3"/>
      </w:pPr>
      <w:r>
        <w:t>B.3.</w:t>
      </w:r>
      <w:r w:rsidRPr="005F0407">
        <w:t xml:space="preserve"> </w:t>
      </w:r>
      <w:r w:rsidRPr="00E15B51">
        <w:t>Organize and conduct capacity-building training on leadership, negotiation, facilitation and chairing in the context of the UNFCCC process in cooperation with United Nations system wide efforts for women</w:t>
      </w:r>
    </w:p>
    <w:p w14:paraId="3647C472" w14:textId="7D18B446" w:rsidR="005F0407" w:rsidRDefault="005F0407" w:rsidP="00045E75">
      <w:pPr>
        <w:pStyle w:val="RegSingleTxtG3"/>
      </w:pPr>
      <w:r>
        <w:t xml:space="preserve">B.4. </w:t>
      </w:r>
      <w:r w:rsidRPr="00E15B51">
        <w:t xml:space="preserve">Cooperate in, promote, facilitate, develop and implement formal and non-formal education and training programmes focused on climate change at all levels, targeting women and youth </w:t>
      </w:r>
      <w:proofErr w:type="gramStart"/>
      <w:r w:rsidRPr="00E15B51">
        <w:t>in particular at</w:t>
      </w:r>
      <w:proofErr w:type="gramEnd"/>
      <w:r w:rsidRPr="00E15B51">
        <w:t xml:space="preserve"> the national, regional and local level, including the exchange or secondment of personnel to train experts</w:t>
      </w:r>
    </w:p>
    <w:p w14:paraId="37C8E96D" w14:textId="34DA5BAC" w:rsidR="005F0407" w:rsidRDefault="005F0407" w:rsidP="005F0407">
      <w:pPr>
        <w:pStyle w:val="RegSingleTxtG2"/>
      </w:pPr>
      <w:r w:rsidRPr="00DF6996">
        <w:t>Priority area C: coherence</w:t>
      </w:r>
    </w:p>
    <w:p w14:paraId="37FB9BB1" w14:textId="5F4A0B82" w:rsidR="005F0407" w:rsidRDefault="005F0407" w:rsidP="005F0407">
      <w:pPr>
        <w:pStyle w:val="RegSingleTxtG3"/>
      </w:pPr>
      <w:r>
        <w:t>C.1. At SBI 48 hold a dialogue, open to Parties and observers, with the chairs of UNFCCC constituted bodies to discuss the outcomes of the technical paper on entry points requested in decision 21/CP.22, paragraph 13, and any potential recommendations</w:t>
      </w:r>
    </w:p>
    <w:p w14:paraId="36A860F4" w14:textId="55769AE7" w:rsidR="005F0407" w:rsidRDefault="005F0407" w:rsidP="005F0407">
      <w:pPr>
        <w:pStyle w:val="RegSingleTxtG3"/>
      </w:pPr>
      <w:r>
        <w:t>C.2. Provide capacity-building to chairs and members of UNFCCC constituted bodies and technical teams of the secretariat on how to integrate gender considerations into their respective areas of work and on meeting the goal of gender balance</w:t>
      </w:r>
    </w:p>
    <w:p w14:paraId="422162CA" w14:textId="129D2E8A" w:rsidR="005F0407" w:rsidRDefault="005F0407" w:rsidP="005F0407">
      <w:pPr>
        <w:pStyle w:val="RegSingleTxtG3"/>
      </w:pPr>
      <w:r>
        <w:t xml:space="preserve">C.3. Share information on efforts made to support the implementation of activities to enhance synergies with other United Nations entities and processes, paying </w:t>
      </w:r>
      <w:proofErr w:type="gramStart"/>
      <w:r>
        <w:t>particular attention</w:t>
      </w:r>
      <w:proofErr w:type="gramEnd"/>
      <w:r>
        <w:t xml:space="preserve"> to the 2030 Agenda for Sustainable Development</w:t>
      </w:r>
    </w:p>
    <w:p w14:paraId="330F112A" w14:textId="7A427E6C" w:rsidR="005F0407" w:rsidRDefault="005F0407" w:rsidP="005F0407">
      <w:pPr>
        <w:pStyle w:val="RegSingleTxtG2"/>
      </w:pPr>
      <w:r w:rsidRPr="00913DA5">
        <w:t xml:space="preserve">Priority area D: </w:t>
      </w:r>
      <w:r>
        <w:t xml:space="preserve">gender-responsive implementation and means of </w:t>
      </w:r>
      <w:r w:rsidRPr="00913DA5">
        <w:t>implementation</w:t>
      </w:r>
    </w:p>
    <w:p w14:paraId="63F8F5A9" w14:textId="4E258FD0" w:rsidR="005F0407" w:rsidRDefault="005F0407" w:rsidP="005F0407">
      <w:pPr>
        <w:pStyle w:val="RegSingleTxtG3"/>
      </w:pPr>
      <w:r>
        <w:t xml:space="preserve">D.1. </w:t>
      </w:r>
      <w:r w:rsidRPr="00913DA5">
        <w:t>Invite the SCF to host a dialogue on the implementation of its commitment to integrate gender considerations into its work, emphasizing the relevance of gender-responsive access to finance in the implementation of climate action</w:t>
      </w:r>
    </w:p>
    <w:p w14:paraId="24D153A3" w14:textId="008E380B" w:rsidR="005F0407" w:rsidRDefault="005F0407" w:rsidP="005F0407">
      <w:pPr>
        <w:pStyle w:val="RegSingleTxtG3"/>
      </w:pPr>
      <w:r>
        <w:t xml:space="preserve">D.2. </w:t>
      </w:r>
      <w:r w:rsidRPr="00913DA5">
        <w:t>In cooperation with UNEP DTU Partnership and the CTCN, invite interested stakeholders to share information on the incorporation of gender into TNAs during Gender Day</w:t>
      </w:r>
    </w:p>
    <w:p w14:paraId="6B08AE9F" w14:textId="09C3EABF" w:rsidR="005F0407" w:rsidRDefault="005F0407" w:rsidP="005F0407">
      <w:pPr>
        <w:pStyle w:val="RegSingleTxtG3"/>
      </w:pPr>
      <w:r>
        <w:t xml:space="preserve">D.3. </w:t>
      </w:r>
      <w:r w:rsidRPr="00913DA5">
        <w:t>Strengthen the capacity of gender mechanisms, including for parliamentarians, the International Parliamentary Union, commissions, funding ministries, non-governmental organizations and civil society organizations, for the integration of gender-responsive budgeting into climate finance, access and delivery through training, expert workshops, technical papers and tools</w:t>
      </w:r>
    </w:p>
    <w:p w14:paraId="12E988DA" w14:textId="77777777" w:rsidR="005F0407" w:rsidRDefault="005F0407" w:rsidP="005F0407">
      <w:pPr>
        <w:pStyle w:val="RegSingleTxtG2"/>
      </w:pPr>
      <w:r w:rsidRPr="00913DA5">
        <w:lastRenderedPageBreak/>
        <w:t>Priority area E: monitoring and reporting</w:t>
      </w:r>
    </w:p>
    <w:p w14:paraId="154BB287" w14:textId="68FF634D" w:rsidR="005F0407" w:rsidRDefault="005F0407" w:rsidP="00CE39C2">
      <w:pPr>
        <w:pStyle w:val="RegSingleTxtG3"/>
      </w:pPr>
      <w:r>
        <w:t xml:space="preserve">E.1. </w:t>
      </w:r>
      <w:r w:rsidRPr="00913DA5">
        <w:t>Make a submission on the following, including sex-disaggregated data and gender analysis, where applicable:</w:t>
      </w:r>
      <w:r>
        <w:t xml:space="preserve"> </w:t>
      </w:r>
      <w:r w:rsidRPr="00913DA5">
        <w:t>(a) Information on the differentiated impacts of climate change on women and men, with special attention paid to local communities and indigenous peoples</w:t>
      </w:r>
      <w:r>
        <w:t xml:space="preserve">, </w:t>
      </w:r>
      <w:r w:rsidRPr="00913DA5">
        <w:t>(b) Integration of gender considerations into adaptation, mitigation, capacity-building</w:t>
      </w:r>
      <w:r w:rsidRPr="005F0407">
        <w:t xml:space="preserve"> </w:t>
      </w:r>
      <w:r w:rsidRPr="00913DA5">
        <w:t>Action for Climate Empowerment, technology and finance policies, plans and actions</w:t>
      </w:r>
      <w:r>
        <w:t xml:space="preserve">. </w:t>
      </w:r>
      <w:r w:rsidRPr="00913DA5">
        <w:t>(c) Policies and plans for and progress made in enhancing gender balance in national climate delegations</w:t>
      </w:r>
    </w:p>
    <w:p w14:paraId="289171AB" w14:textId="4CFB498C" w:rsidR="005F0407" w:rsidRDefault="005F0407" w:rsidP="00CE39C2">
      <w:pPr>
        <w:pStyle w:val="RegSingleTxtG3"/>
      </w:pPr>
      <w:r>
        <w:t xml:space="preserve">E.2. </w:t>
      </w:r>
      <w:r w:rsidRPr="00913DA5">
        <w:t>Prepare a synthesis report on the submissions received underactivity E.1</w:t>
      </w:r>
    </w:p>
    <w:p w14:paraId="5F415EF1" w14:textId="5FC1AF8A" w:rsidR="005F0407" w:rsidRDefault="005F0407" w:rsidP="00CE39C2">
      <w:pPr>
        <w:pStyle w:val="RegSingleTxtG3"/>
      </w:pPr>
      <w:r>
        <w:t xml:space="preserve">E.3. </w:t>
      </w:r>
      <w:r w:rsidRPr="00913DA5">
        <w:t xml:space="preserve">Update report on how the CTCN, in executing its modalities and procedures, working in conjunction with the TEC (to ensure coherence and synergy within the Technology Mechanism), contributed to the aim of accelerating the development and transfer of technology, </w:t>
      </w:r>
      <w:proofErr w:type="gramStart"/>
      <w:r w:rsidRPr="00913DA5">
        <w:t>taking into account</w:t>
      </w:r>
      <w:proofErr w:type="gramEnd"/>
      <w:r w:rsidRPr="00913DA5">
        <w:t xml:space="preserve"> gender considerations</w:t>
      </w:r>
    </w:p>
    <w:p w14:paraId="247817E7" w14:textId="5BA6DCAE" w:rsidR="005F0407" w:rsidRDefault="005F0407" w:rsidP="00CE39C2">
      <w:pPr>
        <w:pStyle w:val="RegSingleTxtG3"/>
      </w:pPr>
      <w:r>
        <w:t xml:space="preserve">E.4. </w:t>
      </w:r>
      <w:r w:rsidRPr="00913DA5">
        <w:t>Encourage knowledge exchange activities among the secretariat staff across all thematic areas to update on work related to gender</w:t>
      </w:r>
    </w:p>
    <w:p w14:paraId="7ABB31B2" w14:textId="1E82E800" w:rsidR="00007ACD" w:rsidRDefault="004F5351" w:rsidP="00007ACD">
      <w:pPr>
        <w:pStyle w:val="RegH1G"/>
      </w:pPr>
      <w:r>
        <w:t xml:space="preserve">Overview: </w:t>
      </w:r>
      <w:r w:rsidR="007B093A">
        <w:t xml:space="preserve">Progress and </w:t>
      </w:r>
      <w:r w:rsidR="004647A9">
        <w:t>s</w:t>
      </w:r>
      <w:r w:rsidR="00007ACD">
        <w:t>uggested recommendations for an improved GAP</w:t>
      </w:r>
    </w:p>
    <w:p w14:paraId="6AFC1F48" w14:textId="41E9E9C3" w:rsidR="007B093A" w:rsidRDefault="007B093A" w:rsidP="007B093A">
      <w:pPr>
        <w:pStyle w:val="RegH23G"/>
      </w:pPr>
      <w:r>
        <w:t>Progress</w:t>
      </w:r>
    </w:p>
    <w:p w14:paraId="4A8A0339" w14:textId="3650E39A" w:rsidR="007B093A" w:rsidRDefault="004647A9" w:rsidP="007B093A">
      <w:pPr>
        <w:pStyle w:val="RegSingleTxtG"/>
      </w:pPr>
      <w:r>
        <w:t>Progress on the implementation of the GAP was informed by 31 submissions</w:t>
      </w:r>
      <w:r>
        <w:rPr>
          <w:rStyle w:val="FootnoteReference"/>
        </w:rPr>
        <w:footnoteReference w:id="9"/>
      </w:r>
      <w:r>
        <w:t>, since t</w:t>
      </w:r>
      <w:r w:rsidR="007B093A">
        <w:t xml:space="preserve">here is no formal mechanism for regularly or continuously monitoring the implementation of activities under the GAP. </w:t>
      </w:r>
      <w:r>
        <w:t>Key message from these submissions is the vital role of the GAP in facilitating gender mainstreaming in climate action, serving as an effective platform for gathering information, research and experience from stakeholders.</w:t>
      </w:r>
    </w:p>
    <w:p w14:paraId="1E49C97D" w14:textId="77777777" w:rsidR="007B093A" w:rsidRDefault="007B093A" w:rsidP="007B093A">
      <w:pPr>
        <w:pStyle w:val="RegSingleTxtG"/>
      </w:pPr>
      <w:r>
        <w:t xml:space="preserve">Most submissions referred to action taken under priority area A of the GAP. For priority area B, eight Parties reported on advances in the gender composition of their national delegations to UNFCCC negotiations. The other priority areas were the focus of most of the suggested areas for improvement and further work to be undertaken. </w:t>
      </w:r>
    </w:p>
    <w:p w14:paraId="45B9AACB" w14:textId="692DD4CE" w:rsidR="007B093A" w:rsidRPr="007B093A" w:rsidRDefault="007B093A" w:rsidP="007B093A">
      <w:pPr>
        <w:pStyle w:val="RegSingleTxtG"/>
      </w:pPr>
      <w:r>
        <w:t>The implementation of all secretariat mandates is either in progress or has been completed.</w:t>
      </w:r>
    </w:p>
    <w:p w14:paraId="7A6E60E9" w14:textId="57CA4C79" w:rsidR="00007ACD" w:rsidRPr="004647A9" w:rsidRDefault="004647A9" w:rsidP="004647A9">
      <w:pPr>
        <w:pStyle w:val="RegH23G"/>
      </w:pPr>
      <w:r>
        <w:t>S</w:t>
      </w:r>
      <w:r w:rsidRPr="004647A9">
        <w:t>uggested recommendations</w:t>
      </w:r>
    </w:p>
    <w:p w14:paraId="7788D688" w14:textId="77777777" w:rsidR="00007ACD" w:rsidRPr="00463675" w:rsidRDefault="00007ACD" w:rsidP="00007ACD">
      <w:pPr>
        <w:pStyle w:val="RegSingleTxtG"/>
      </w:pPr>
      <w:r>
        <w:t>The most frequent</w:t>
      </w:r>
      <w:r w:rsidRPr="00463675">
        <w:t xml:space="preserve"> recommendations </w:t>
      </w:r>
      <w:r>
        <w:t xml:space="preserve">for </w:t>
      </w:r>
      <w:r w:rsidRPr="00463675">
        <w:t>the continuation of the LWP</w:t>
      </w:r>
      <w:r>
        <w:t>G</w:t>
      </w:r>
      <w:r w:rsidRPr="00463675">
        <w:t xml:space="preserve"> and enhance</w:t>
      </w:r>
      <w:r>
        <w:t>ment</w:t>
      </w:r>
      <w:r w:rsidRPr="00463675">
        <w:t xml:space="preserve"> </w:t>
      </w:r>
      <w:r>
        <w:t xml:space="preserve">of the </w:t>
      </w:r>
      <w:r w:rsidRPr="00463675">
        <w:t>GAP</w:t>
      </w:r>
      <w:r>
        <w:t xml:space="preserve"> are</w:t>
      </w:r>
      <w:r w:rsidRPr="00463675">
        <w:t>:</w:t>
      </w:r>
    </w:p>
    <w:p w14:paraId="579B2467" w14:textId="77777777" w:rsidR="00007ACD" w:rsidRPr="00463675" w:rsidRDefault="00007ACD" w:rsidP="00007ACD">
      <w:pPr>
        <w:pStyle w:val="RegSingleTxtG2"/>
      </w:pPr>
      <w:r w:rsidRPr="00F52234">
        <w:rPr>
          <w:b/>
        </w:rPr>
        <w:t>An e</w:t>
      </w:r>
      <w:r>
        <w:rPr>
          <w:b/>
        </w:rPr>
        <w:t xml:space="preserve">xtended time </w:t>
      </w:r>
      <w:r w:rsidRPr="00F52234">
        <w:rPr>
          <w:b/>
        </w:rPr>
        <w:t>frame</w:t>
      </w:r>
      <w:r>
        <w:t>:</w:t>
      </w:r>
      <w:r>
        <w:rPr>
          <w:b/>
        </w:rPr>
        <w:t xml:space="preserve"> </w:t>
      </w:r>
      <w:r>
        <w:t>m</w:t>
      </w:r>
      <w:r w:rsidRPr="00463675">
        <w:t>ost Parties suggest</w:t>
      </w:r>
      <w:r>
        <w:t>ed</w:t>
      </w:r>
      <w:r w:rsidRPr="00463675">
        <w:t xml:space="preserve"> a cycle of </w:t>
      </w:r>
      <w:r>
        <w:t>five</w:t>
      </w:r>
      <w:r w:rsidRPr="00463675">
        <w:t xml:space="preserve"> years, with a review of progress every </w:t>
      </w:r>
      <w:r>
        <w:t>two</w:t>
      </w:r>
      <w:r w:rsidRPr="00463675">
        <w:t xml:space="preserve"> </w:t>
      </w:r>
      <w:r>
        <w:t xml:space="preserve">or three </w:t>
      </w:r>
      <w:r w:rsidRPr="00463675">
        <w:t>years</w:t>
      </w:r>
      <w:r>
        <w:t>;</w:t>
      </w:r>
      <w:r w:rsidRPr="00463675">
        <w:t xml:space="preserve"> Costa Rica suggest</w:t>
      </w:r>
      <w:r>
        <w:t>ed</w:t>
      </w:r>
      <w:r w:rsidRPr="00463675">
        <w:t xml:space="preserve"> that the LWP</w:t>
      </w:r>
      <w:r>
        <w:t>G</w:t>
      </w:r>
      <w:r w:rsidRPr="00463675">
        <w:t xml:space="preserve"> and</w:t>
      </w:r>
      <w:r>
        <w:t xml:space="preserve"> the</w:t>
      </w:r>
      <w:r w:rsidRPr="00463675">
        <w:t xml:space="preserve"> GAP should have permanent status under the Convention</w:t>
      </w:r>
      <w:r>
        <w:t>;</w:t>
      </w:r>
    </w:p>
    <w:p w14:paraId="75D06D24" w14:textId="77777777" w:rsidR="00007ACD" w:rsidRPr="00463675" w:rsidRDefault="00007ACD" w:rsidP="00007ACD">
      <w:pPr>
        <w:pStyle w:val="RegSingleTxtG2"/>
      </w:pPr>
      <w:r w:rsidRPr="00F52234">
        <w:rPr>
          <w:b/>
        </w:rPr>
        <w:t>Defined deliverables, timelines for activities and outputs</w:t>
      </w:r>
      <w:r>
        <w:t>:</w:t>
      </w:r>
      <w:r w:rsidRPr="00463675">
        <w:t xml:space="preserve"> </w:t>
      </w:r>
      <w:r>
        <w:t>t</w:t>
      </w:r>
      <w:r w:rsidRPr="00463675">
        <w:t xml:space="preserve">he </w:t>
      </w:r>
      <w:r>
        <w:t>enhanced</w:t>
      </w:r>
      <w:r w:rsidRPr="00463675">
        <w:t xml:space="preserve"> GAP should serve as a programmatic document, with clear objectives and measurable indicators (including </w:t>
      </w:r>
      <w:r>
        <w:t>of</w:t>
      </w:r>
      <w:r w:rsidRPr="00463675">
        <w:t xml:space="preserve"> impact and effectiveness) to </w:t>
      </w:r>
      <w:r>
        <w:t>monitor</w:t>
      </w:r>
      <w:r w:rsidRPr="00463675">
        <w:t xml:space="preserve"> stakeholders</w:t>
      </w:r>
      <w:r>
        <w:t>’ and secretariat progress in the implementation of the GAP</w:t>
      </w:r>
      <w:r w:rsidRPr="00463675">
        <w:t>. Madagascar</w:t>
      </w:r>
      <w:r>
        <w:t xml:space="preserve"> suggested some indicators</w:t>
      </w:r>
      <w:r w:rsidRPr="00463675">
        <w:t xml:space="preserve">, such as number of gender projects funded by </w:t>
      </w:r>
      <w:r>
        <w:t>the F</w:t>
      </w:r>
      <w:r w:rsidRPr="00463675">
        <w:t xml:space="preserve">inancial </w:t>
      </w:r>
      <w:r>
        <w:t>M</w:t>
      </w:r>
      <w:r w:rsidRPr="00463675">
        <w:t xml:space="preserve">echanism, amount of resources allocated at </w:t>
      </w:r>
      <w:r>
        <w:t xml:space="preserve">the </w:t>
      </w:r>
      <w:r w:rsidRPr="00463675">
        <w:t xml:space="preserve">national level </w:t>
      </w:r>
      <w:r>
        <w:t>to</w:t>
      </w:r>
      <w:r w:rsidRPr="00463675">
        <w:t xml:space="preserve"> gender</w:t>
      </w:r>
      <w:r>
        <w:t>-</w:t>
      </w:r>
      <w:r w:rsidRPr="00463675">
        <w:t xml:space="preserve">related programmes, </w:t>
      </w:r>
      <w:r>
        <w:t xml:space="preserve">and </w:t>
      </w:r>
      <w:r w:rsidRPr="00463675">
        <w:t>number of national planning documents that incorporate gender</w:t>
      </w:r>
      <w:r>
        <w:t xml:space="preserve">. </w:t>
      </w:r>
      <w:r>
        <w:lastRenderedPageBreak/>
        <w:t>S</w:t>
      </w:r>
      <w:r w:rsidRPr="00F509D3">
        <w:t>etting progressive targets or quotas for women’s participation in delegations and in UNFCCC boards and bodies</w:t>
      </w:r>
      <w:r>
        <w:t xml:space="preserve"> was also suggested;</w:t>
      </w:r>
    </w:p>
    <w:p w14:paraId="57F7E33B" w14:textId="77777777" w:rsidR="00007ACD" w:rsidRDefault="00007ACD" w:rsidP="00007ACD">
      <w:pPr>
        <w:pStyle w:val="RegSingleTxtG2"/>
      </w:pPr>
      <w:r w:rsidRPr="00795642">
        <w:rPr>
          <w:b/>
        </w:rPr>
        <w:t>Focused technical and financial support</w:t>
      </w:r>
      <w:r w:rsidRPr="00463675">
        <w:t xml:space="preserve"> </w:t>
      </w:r>
      <w:r w:rsidRPr="00795642">
        <w:rPr>
          <w:b/>
        </w:rPr>
        <w:t>for implementing gender-responsive NDCs and NAPs</w:t>
      </w:r>
      <w:r>
        <w:t>:</w:t>
      </w:r>
      <w:r w:rsidRPr="00463675">
        <w:t xml:space="preserve"> Madagascar suggest</w:t>
      </w:r>
      <w:r>
        <w:t>ed</w:t>
      </w:r>
      <w:r w:rsidRPr="00463675">
        <w:t xml:space="preserve"> including in a</w:t>
      </w:r>
      <w:r>
        <w:t>n enhanced</w:t>
      </w:r>
      <w:r w:rsidRPr="00463675">
        <w:t xml:space="preserve"> GAP the elaboration of an orientation note or guidelines </w:t>
      </w:r>
      <w:r>
        <w:t>on</w:t>
      </w:r>
      <w:r w:rsidRPr="00463675">
        <w:t xml:space="preserve"> incorporat</w:t>
      </w:r>
      <w:r>
        <w:t>ing</w:t>
      </w:r>
      <w:r w:rsidRPr="00463675">
        <w:t xml:space="preserve"> gender into NDCs</w:t>
      </w:r>
      <w:r>
        <w:t>;</w:t>
      </w:r>
      <w:r w:rsidRPr="00463675">
        <w:t xml:space="preserve"> and Kenya suggest</w:t>
      </w:r>
      <w:r>
        <w:t>ed</w:t>
      </w:r>
      <w:r w:rsidRPr="00463675">
        <w:t xml:space="preserve"> including a stand-alone priority area </w:t>
      </w:r>
      <w:r>
        <w:t>on</w:t>
      </w:r>
      <w:r w:rsidRPr="00463675">
        <w:t xml:space="preserve"> financ</w:t>
      </w:r>
      <w:r>
        <w:t>ial</w:t>
      </w:r>
      <w:r w:rsidRPr="00463675">
        <w:t xml:space="preserve"> support </w:t>
      </w:r>
      <w:r>
        <w:t xml:space="preserve">for </w:t>
      </w:r>
      <w:r w:rsidRPr="00463675">
        <w:t>Parties</w:t>
      </w:r>
      <w:r>
        <w:t>;</w:t>
      </w:r>
      <w:r w:rsidRPr="00463675">
        <w:t xml:space="preserve"> </w:t>
      </w:r>
    </w:p>
    <w:p w14:paraId="5BD530AA" w14:textId="02F2384B" w:rsidR="00007ACD" w:rsidRDefault="00007ACD" w:rsidP="00007ACD">
      <w:pPr>
        <w:pStyle w:val="RegSingleTxtG2"/>
      </w:pPr>
      <w:r w:rsidRPr="00795642">
        <w:rPr>
          <w:b/>
        </w:rPr>
        <w:t>A reinforced role for the national gender and climate change focal points</w:t>
      </w:r>
      <w:r>
        <w:t>:</w:t>
      </w:r>
      <w:r w:rsidRPr="00463675">
        <w:t xml:space="preserve"> </w:t>
      </w:r>
      <w:r>
        <w:t>there is a general recognition of</w:t>
      </w:r>
      <w:r w:rsidRPr="00463675">
        <w:t xml:space="preserve"> the added value of the appointment of </w:t>
      </w:r>
      <w:r>
        <w:t>n</w:t>
      </w:r>
      <w:r w:rsidRPr="00463675">
        <w:t xml:space="preserve">ational </w:t>
      </w:r>
      <w:r>
        <w:t>g</w:t>
      </w:r>
      <w:r w:rsidRPr="00463675">
        <w:t xml:space="preserve">ender and </w:t>
      </w:r>
      <w:r>
        <w:t>c</w:t>
      </w:r>
      <w:r w:rsidRPr="00463675">
        <w:t xml:space="preserve">limate </w:t>
      </w:r>
      <w:r>
        <w:t>c</w:t>
      </w:r>
      <w:r w:rsidRPr="00463675">
        <w:t xml:space="preserve">hange </w:t>
      </w:r>
      <w:r>
        <w:t>f</w:t>
      </w:r>
      <w:r w:rsidRPr="00463675">
        <w:t xml:space="preserve">ocal </w:t>
      </w:r>
      <w:r>
        <w:t>p</w:t>
      </w:r>
      <w:r w:rsidRPr="00463675">
        <w:t xml:space="preserve">oints as an initiative to bridge the gap between the national and </w:t>
      </w:r>
      <w:r>
        <w:t>inter</w:t>
      </w:r>
      <w:r w:rsidRPr="00463675">
        <w:t>national level. Concerns regarding limited capacit</w:t>
      </w:r>
      <w:r>
        <w:t>y</w:t>
      </w:r>
      <w:r w:rsidRPr="00463675">
        <w:t xml:space="preserve"> and </w:t>
      </w:r>
      <w:r>
        <w:t>re</w:t>
      </w:r>
      <w:r w:rsidRPr="00463675">
        <w:t>sources (time and funding) to devote to gender and climate change were mentioned. To date, 5</w:t>
      </w:r>
      <w:r>
        <w:t>5</w:t>
      </w:r>
      <w:r w:rsidRPr="00463675">
        <w:t xml:space="preserve"> countries</w:t>
      </w:r>
      <w:r>
        <w:rPr>
          <w:rStyle w:val="FootnoteReference"/>
        </w:rPr>
        <w:footnoteReference w:id="10"/>
      </w:r>
      <w:r w:rsidRPr="00463675">
        <w:t xml:space="preserve"> </w:t>
      </w:r>
      <w:r>
        <w:t>have n</w:t>
      </w:r>
      <w:r w:rsidRPr="00463675">
        <w:t xml:space="preserve">ational </w:t>
      </w:r>
      <w:r>
        <w:t>g</w:t>
      </w:r>
      <w:r w:rsidRPr="00463675">
        <w:t xml:space="preserve">ender and </w:t>
      </w:r>
      <w:r>
        <w:t>c</w:t>
      </w:r>
      <w:r w:rsidRPr="00463675">
        <w:t xml:space="preserve">limate </w:t>
      </w:r>
      <w:r>
        <w:t>c</w:t>
      </w:r>
      <w:r w:rsidRPr="00463675">
        <w:t xml:space="preserve">hange </w:t>
      </w:r>
      <w:r>
        <w:t>f</w:t>
      </w:r>
      <w:r w:rsidRPr="00463675">
        <w:t xml:space="preserve">ocal </w:t>
      </w:r>
      <w:r>
        <w:t>p</w:t>
      </w:r>
      <w:r w:rsidRPr="00463675">
        <w:t xml:space="preserve">oints, </w:t>
      </w:r>
      <w:r>
        <w:t xml:space="preserve">and </w:t>
      </w:r>
      <w:r w:rsidRPr="00463675">
        <w:t xml:space="preserve">it </w:t>
      </w:r>
      <w:r>
        <w:t>was</w:t>
      </w:r>
      <w:r w:rsidRPr="00463675">
        <w:t xml:space="preserve"> suggested to encourage </w:t>
      </w:r>
      <w:r>
        <w:t xml:space="preserve">other </w:t>
      </w:r>
      <w:r w:rsidRPr="00463675">
        <w:t xml:space="preserve">Parties to appoint their </w:t>
      </w:r>
      <w:r>
        <w:t>focal points</w:t>
      </w:r>
      <w:r w:rsidRPr="00463675">
        <w:t>.</w:t>
      </w:r>
      <w:r>
        <w:t xml:space="preserve"> According to Parties</w:t>
      </w:r>
      <w:r w:rsidRPr="00463675">
        <w:t>, networking with other focal points, clarifying their role</w:t>
      </w:r>
      <w:r>
        <w:t>,</w:t>
      </w:r>
      <w:r w:rsidRPr="00463675">
        <w:t xml:space="preserve"> and practical capacity</w:t>
      </w:r>
      <w:r>
        <w:t>-</w:t>
      </w:r>
      <w:r w:rsidRPr="00463675">
        <w:t xml:space="preserve">building </w:t>
      </w:r>
      <w:r>
        <w:t>for</w:t>
      </w:r>
      <w:r w:rsidRPr="00463675">
        <w:t xml:space="preserve"> implement</w:t>
      </w:r>
      <w:r>
        <w:t>ing</w:t>
      </w:r>
      <w:r w:rsidRPr="00463675">
        <w:t xml:space="preserve"> gender-transformative cl</w:t>
      </w:r>
      <w:r w:rsidR="003E2589">
        <w:t>imate action should be promoted</w:t>
      </w:r>
      <w:r>
        <w:t>;</w:t>
      </w:r>
    </w:p>
    <w:p w14:paraId="1CB8C89F" w14:textId="77777777" w:rsidR="00007ACD" w:rsidRDefault="00007ACD" w:rsidP="00007ACD">
      <w:pPr>
        <w:pStyle w:val="RegSingleTxtG2"/>
      </w:pPr>
      <w:r w:rsidRPr="008A1832">
        <w:rPr>
          <w:b/>
        </w:rPr>
        <w:t xml:space="preserve">LWPG and </w:t>
      </w:r>
      <w:r>
        <w:rPr>
          <w:b/>
        </w:rPr>
        <w:t xml:space="preserve">the </w:t>
      </w:r>
      <w:r w:rsidRPr="008A1832">
        <w:rPr>
          <w:b/>
        </w:rPr>
        <w:t xml:space="preserve">GAP </w:t>
      </w:r>
      <w:r>
        <w:rPr>
          <w:b/>
        </w:rPr>
        <w:t xml:space="preserve">are addressed </w:t>
      </w:r>
      <w:r w:rsidRPr="008A1832">
        <w:rPr>
          <w:b/>
        </w:rPr>
        <w:t>in one decision</w:t>
      </w:r>
      <w:r w:rsidRPr="00463675">
        <w:t>, with a stronger focus on the implementation of the Paris Agreement and better alignment with SDG 5</w:t>
      </w:r>
      <w:r>
        <w:t>, as suggested by Switzerland, which</w:t>
      </w:r>
      <w:r w:rsidRPr="00463675">
        <w:t xml:space="preserve"> </w:t>
      </w:r>
      <w:r>
        <w:t>a</w:t>
      </w:r>
      <w:r w:rsidRPr="00463675">
        <w:t>lso suggest</w:t>
      </w:r>
      <w:r>
        <w:t>ed engaging</w:t>
      </w:r>
      <w:r w:rsidRPr="00463675">
        <w:t xml:space="preserve"> other stakeholders</w:t>
      </w:r>
      <w:r>
        <w:t>, such as the private sector, in implementing the LWPG and the GAP</w:t>
      </w:r>
      <w:r w:rsidRPr="00463675">
        <w:t>. Australia, Canada, Japan and the U</w:t>
      </w:r>
      <w:r>
        <w:t xml:space="preserve">nited </w:t>
      </w:r>
      <w:r w:rsidRPr="00463675">
        <w:t>S</w:t>
      </w:r>
      <w:r>
        <w:t>tates</w:t>
      </w:r>
      <w:r w:rsidRPr="00463675">
        <w:t xml:space="preserve"> consider</w:t>
      </w:r>
      <w:r>
        <w:t>ed</w:t>
      </w:r>
      <w:r w:rsidRPr="00463675">
        <w:t xml:space="preserve"> that </w:t>
      </w:r>
      <w:r>
        <w:t>the relevant</w:t>
      </w:r>
      <w:r w:rsidRPr="00463675">
        <w:t xml:space="preserve"> outcome of COP 25 would be </w:t>
      </w:r>
      <w:r>
        <w:t>a</w:t>
      </w:r>
      <w:r w:rsidRPr="00463675">
        <w:t xml:space="preserve"> </w:t>
      </w:r>
      <w:r>
        <w:t xml:space="preserve">decision on the </w:t>
      </w:r>
      <w:r w:rsidRPr="00463675">
        <w:t>LWP</w:t>
      </w:r>
      <w:r>
        <w:t>G</w:t>
      </w:r>
      <w:r w:rsidRPr="00463675" w:rsidDel="001C6079">
        <w:t xml:space="preserve"> </w:t>
      </w:r>
      <w:r w:rsidRPr="00463675">
        <w:t xml:space="preserve">with an </w:t>
      </w:r>
      <w:r>
        <w:t xml:space="preserve">enhanced GAP contained in the </w:t>
      </w:r>
      <w:r w:rsidRPr="00463675">
        <w:t>annex, buil</w:t>
      </w:r>
      <w:r>
        <w:t>t</w:t>
      </w:r>
      <w:r w:rsidRPr="00463675">
        <w:t xml:space="preserve"> on experience with the existing plan, especially aspects that have been particularly effective, and remaining closely linked with the LWP</w:t>
      </w:r>
      <w:r>
        <w:t>G</w:t>
      </w:r>
      <w:r w:rsidRPr="00463675">
        <w:t xml:space="preserve">. </w:t>
      </w:r>
    </w:p>
    <w:p w14:paraId="77F52D96" w14:textId="77777777" w:rsidR="00007ACD" w:rsidRPr="00497AAE" w:rsidRDefault="00007ACD" w:rsidP="00007ACD">
      <w:pPr>
        <w:pStyle w:val="RegSingleTxtG2"/>
      </w:pPr>
      <w:r w:rsidRPr="00497AAE">
        <w:rPr>
          <w:b/>
        </w:rPr>
        <w:t>Invite the SCF to host a dialogue</w:t>
      </w:r>
      <w:r w:rsidRPr="00497AAE">
        <w:t xml:space="preserve"> on the implementation of its commitment to integrate gender considerations into its work, and discuss how the GAP can support this; </w:t>
      </w:r>
    </w:p>
    <w:p w14:paraId="13E2CBAE" w14:textId="77777777" w:rsidR="00007ACD" w:rsidRDefault="00007ACD" w:rsidP="00007ACD">
      <w:pPr>
        <w:pStyle w:val="RegSingleTxtG2"/>
      </w:pPr>
      <w:r w:rsidRPr="00FD33A9">
        <w:rPr>
          <w:b/>
        </w:rPr>
        <w:t>Enhanc</w:t>
      </w:r>
      <w:r>
        <w:rPr>
          <w:b/>
        </w:rPr>
        <w:t>e</w:t>
      </w:r>
      <w:r w:rsidRPr="00FD33A9">
        <w:rPr>
          <w:b/>
        </w:rPr>
        <w:t xml:space="preserve"> coherence with the </w:t>
      </w:r>
      <w:r w:rsidRPr="00FD33A9">
        <w:rPr>
          <w:rFonts w:eastAsiaTheme="minorHAnsi"/>
          <w:b/>
        </w:rPr>
        <w:t>2030 Agenda</w:t>
      </w:r>
      <w:r w:rsidRPr="00F509D3">
        <w:rPr>
          <w:rFonts w:eastAsiaTheme="minorHAnsi"/>
        </w:rPr>
        <w:t xml:space="preserve"> </w:t>
      </w:r>
      <w:r>
        <w:rPr>
          <w:rFonts w:eastAsiaTheme="minorHAnsi"/>
        </w:rPr>
        <w:t xml:space="preserve">for Sustainable Development </w:t>
      </w:r>
      <w:r w:rsidRPr="00F509D3">
        <w:rPr>
          <w:rFonts w:eastAsiaTheme="minorHAnsi"/>
        </w:rPr>
        <w:t>and other environmental processes</w:t>
      </w:r>
      <w:r>
        <w:rPr>
          <w:rFonts w:eastAsiaTheme="minorHAnsi"/>
        </w:rPr>
        <w:t>,</w:t>
      </w:r>
      <w:r w:rsidRPr="00F509D3">
        <w:t xml:space="preserve"> </w:t>
      </w:r>
      <w:r>
        <w:t>a</w:t>
      </w:r>
      <w:r w:rsidRPr="00F509D3">
        <w:t xml:space="preserve">s well as </w:t>
      </w:r>
      <w:r w:rsidRPr="00497AAE">
        <w:t>invite</w:t>
      </w:r>
      <w:r w:rsidRPr="00F509D3">
        <w:t xml:space="preserve"> Parties to put in place systematic and coherent gender approaches at </w:t>
      </w:r>
      <w:r>
        <w:t xml:space="preserve">the </w:t>
      </w:r>
      <w:r w:rsidRPr="00F509D3">
        <w:t xml:space="preserve">national level to ensure </w:t>
      </w:r>
      <w:r>
        <w:t xml:space="preserve">that </w:t>
      </w:r>
      <w:r w:rsidRPr="00F509D3">
        <w:t xml:space="preserve">climate </w:t>
      </w:r>
      <w:r w:rsidRPr="00497AAE">
        <w:t>policy</w:t>
      </w:r>
      <w:r w:rsidRPr="00F509D3">
        <w:t xml:space="preserve">, programmes and projects </w:t>
      </w:r>
      <w:r>
        <w:t xml:space="preserve">are </w:t>
      </w:r>
      <w:r w:rsidRPr="00F509D3">
        <w:t>design</w:t>
      </w:r>
      <w:r>
        <w:t xml:space="preserve">ed, implemented and monitored </w:t>
      </w:r>
      <w:r w:rsidRPr="00F509D3">
        <w:t>in a gender-responsive and participatory manner</w:t>
      </w:r>
      <w:r w:rsidRPr="00497AAE">
        <w:t>;</w:t>
      </w:r>
    </w:p>
    <w:p w14:paraId="7EAC932C" w14:textId="77777777" w:rsidR="00007ACD" w:rsidRPr="00F509D3" w:rsidRDefault="00007ACD" w:rsidP="00007ACD">
      <w:pPr>
        <w:pStyle w:val="RegSingleTxtG2"/>
      </w:pPr>
      <w:r w:rsidRPr="00FD33A9">
        <w:rPr>
          <w:b/>
        </w:rPr>
        <w:t>Revis</w:t>
      </w:r>
      <w:r>
        <w:rPr>
          <w:b/>
        </w:rPr>
        <w:t>e</w:t>
      </w:r>
      <w:r w:rsidRPr="00FD33A9">
        <w:rPr>
          <w:b/>
        </w:rPr>
        <w:t xml:space="preserve"> the structure</w:t>
      </w:r>
      <w:r>
        <w:t xml:space="preserve"> of the GAP by</w:t>
      </w:r>
      <w:r w:rsidRPr="00F509D3">
        <w:t xml:space="preserve">: </w:t>
      </w:r>
    </w:p>
    <w:p w14:paraId="3D96EB55" w14:textId="77777777" w:rsidR="00007ACD" w:rsidRPr="00F509D3" w:rsidRDefault="00007ACD" w:rsidP="00007ACD">
      <w:pPr>
        <w:pStyle w:val="RegSingleTxtG3"/>
      </w:pPr>
      <w:r w:rsidRPr="00F509D3">
        <w:t>Separating and leaving as stand</w:t>
      </w:r>
      <w:r>
        <w:t>-</w:t>
      </w:r>
      <w:r w:rsidRPr="00F509D3">
        <w:t>alone priority areas capacity-building</w:t>
      </w:r>
      <w:r>
        <w:t>,</w:t>
      </w:r>
      <w:r w:rsidRPr="00F509D3">
        <w:t xml:space="preserve"> knowledge-sharing </w:t>
      </w:r>
      <w:r>
        <w:t>&amp;</w:t>
      </w:r>
      <w:r w:rsidRPr="00F509D3">
        <w:t xml:space="preserve"> communication</w:t>
      </w:r>
      <w:r>
        <w:t>;</w:t>
      </w:r>
    </w:p>
    <w:p w14:paraId="61CEE887" w14:textId="77777777" w:rsidR="00007ACD" w:rsidRDefault="00007ACD" w:rsidP="00007ACD">
      <w:pPr>
        <w:pStyle w:val="RegSingleTxtG3"/>
      </w:pPr>
      <w:r>
        <w:t>Elaborating</w:t>
      </w:r>
      <w:r w:rsidRPr="00F509D3">
        <w:t xml:space="preserve"> the linkages between capacity</w:t>
      </w:r>
      <w:r>
        <w:t>-</w:t>
      </w:r>
      <w:r w:rsidRPr="00F509D3">
        <w:t>building and implementation</w:t>
      </w:r>
      <w:r>
        <w:t>;</w:t>
      </w:r>
      <w:r w:rsidRPr="00F509D3">
        <w:t xml:space="preserve"> </w:t>
      </w:r>
    </w:p>
    <w:p w14:paraId="59BB7C47" w14:textId="77777777" w:rsidR="00007ACD" w:rsidRPr="00F509D3" w:rsidRDefault="00007ACD" w:rsidP="00007ACD">
      <w:pPr>
        <w:pStyle w:val="RegSingleTxtG3"/>
      </w:pPr>
      <w:r w:rsidRPr="00F509D3">
        <w:t>Adding a priority area on access to finance</w:t>
      </w:r>
      <w:r>
        <w:t>,</w:t>
      </w:r>
      <w:r w:rsidRPr="00F509D3">
        <w:t xml:space="preserve"> </w:t>
      </w:r>
      <w:r w:rsidRPr="00497AAE">
        <w:t>since promoting access to climate finance for women at the grass-roots level is important, but more</w:t>
      </w:r>
      <w:r w:rsidRPr="00497AAE" w:rsidDel="00583B1E">
        <w:t xml:space="preserve"> </w:t>
      </w:r>
      <w:r w:rsidRPr="00497AAE">
        <w:t>needs to be done with multilateral, public and private financial mechanisms to facilitate that access.</w:t>
      </w:r>
    </w:p>
    <w:p w14:paraId="089B8597" w14:textId="77777777" w:rsidR="00007ACD" w:rsidRDefault="00007ACD" w:rsidP="00007ACD">
      <w:pPr>
        <w:pStyle w:val="RegSingleTxtG"/>
      </w:pPr>
      <w:r w:rsidRPr="00FC51AC">
        <w:t xml:space="preserve">The Office of the High Commissioner for Human Rights called for further meaningful, informed and effective participation of women from diverse backgrounds in relevant decision-making processes. Since sustainable climate action must involve a rights-based, gender-responsive approach at the local, national and international level, an enhanced GAP should be guided by the </w:t>
      </w:r>
      <w:r>
        <w:t>multi</w:t>
      </w:r>
      <w:r w:rsidRPr="00FC51AC">
        <w:t>dimensional and intersectional experience of women.</w:t>
      </w:r>
    </w:p>
    <w:p w14:paraId="5160A482" w14:textId="77777777" w:rsidR="00007ACD" w:rsidRDefault="00007ACD" w:rsidP="00007ACD">
      <w:pPr>
        <w:pStyle w:val="RegSingleTxtG"/>
        <w:numPr>
          <w:ilvl w:val="0"/>
          <w:numId w:val="0"/>
        </w:numPr>
        <w:ind w:left="1134"/>
      </w:pPr>
    </w:p>
    <w:p w14:paraId="4D0D9736" w14:textId="5B5C3070" w:rsidR="00007ACD" w:rsidRPr="00007ACD" w:rsidRDefault="00007ACD" w:rsidP="00007ACD">
      <w:pPr>
        <w:pStyle w:val="RegH23G"/>
        <w:sectPr w:rsidR="00007ACD" w:rsidRPr="00007ACD" w:rsidSect="003B3009">
          <w:headerReference w:type="default" r:id="rId12"/>
          <w:footerReference w:type="even" r:id="rId13"/>
          <w:footerReference w:type="default" r:id="rId14"/>
          <w:pgSz w:w="11906" w:h="16838" w:code="9"/>
          <w:pgMar w:top="1418" w:right="851" w:bottom="1134" w:left="851" w:header="851" w:footer="567" w:gutter="0"/>
          <w:cols w:space="708"/>
          <w:titlePg/>
          <w:docGrid w:linePitch="360"/>
        </w:sectPr>
      </w:pPr>
    </w:p>
    <w:p w14:paraId="3CAC8CF0" w14:textId="7615D7B0" w:rsidR="00167AC0" w:rsidRDefault="009066CA" w:rsidP="00167AC0">
      <w:pPr>
        <w:pStyle w:val="RegH1G"/>
      </w:pPr>
      <w:r>
        <w:lastRenderedPageBreak/>
        <w:t>Summary of the</w:t>
      </w:r>
      <w:r w:rsidR="001B711B">
        <w:t xml:space="preserve"> status of implementation of the GAP</w:t>
      </w:r>
      <w:r>
        <w:t xml:space="preserve"> and compilation of the recommendations for an enhanced GAP</w:t>
      </w:r>
    </w:p>
    <w:tbl>
      <w:tblPr>
        <w:tblStyle w:val="TableGrid"/>
        <w:tblW w:w="0" w:type="auto"/>
        <w:tblInd w:w="283" w:type="dxa"/>
        <w:tblCellMar>
          <w:left w:w="0" w:type="dxa"/>
          <w:right w:w="0" w:type="dxa"/>
        </w:tblCellMar>
        <w:tblLook w:val="04A0" w:firstRow="1" w:lastRow="0" w:firstColumn="1" w:lastColumn="0" w:noHBand="0" w:noVBand="1"/>
      </w:tblPr>
      <w:tblGrid>
        <w:gridCol w:w="890"/>
        <w:gridCol w:w="6708"/>
        <w:gridCol w:w="6396"/>
      </w:tblGrid>
      <w:tr w:rsidR="00603234" w:rsidRPr="00603234" w14:paraId="62556FB3" w14:textId="77777777" w:rsidTr="00566486">
        <w:tc>
          <w:tcPr>
            <w:tcW w:w="0" w:type="auto"/>
            <w:shd w:val="clear" w:color="auto" w:fill="auto"/>
            <w:vAlign w:val="bottom"/>
          </w:tcPr>
          <w:p w14:paraId="4CD452FE" w14:textId="76B84613" w:rsidR="00603234" w:rsidRPr="00603234" w:rsidRDefault="00603234" w:rsidP="00603234">
            <w:pPr>
              <w:spacing w:before="80" w:after="80" w:line="200" w:lineRule="exact"/>
              <w:ind w:right="113"/>
              <w:rPr>
                <w:i/>
                <w:sz w:val="16"/>
              </w:rPr>
            </w:pPr>
            <w:bookmarkStart w:id="3" w:name="_GoBack"/>
            <w:r w:rsidRPr="004F5351">
              <w:rPr>
                <w:i/>
                <w:sz w:val="16"/>
              </w:rPr>
              <w:t>Activities under the GAP</w:t>
            </w:r>
          </w:p>
        </w:tc>
        <w:tc>
          <w:tcPr>
            <w:tcW w:w="0" w:type="auto"/>
            <w:shd w:val="clear" w:color="auto" w:fill="auto"/>
            <w:vAlign w:val="bottom"/>
          </w:tcPr>
          <w:p w14:paraId="0880C952" w14:textId="1A51AAAA" w:rsidR="00603234" w:rsidRPr="00603234" w:rsidRDefault="00603234" w:rsidP="00603234">
            <w:pPr>
              <w:spacing w:before="80" w:after="80" w:line="200" w:lineRule="exact"/>
              <w:ind w:right="113"/>
              <w:rPr>
                <w:i/>
                <w:sz w:val="16"/>
              </w:rPr>
            </w:pPr>
            <w:r w:rsidRPr="004F5351">
              <w:rPr>
                <w:i/>
                <w:sz w:val="16"/>
              </w:rPr>
              <w:t>Status of implementation</w:t>
            </w:r>
          </w:p>
        </w:tc>
        <w:tc>
          <w:tcPr>
            <w:tcW w:w="0" w:type="auto"/>
            <w:shd w:val="clear" w:color="auto" w:fill="auto"/>
            <w:vAlign w:val="bottom"/>
          </w:tcPr>
          <w:p w14:paraId="4FB8099B" w14:textId="67543844" w:rsidR="00603234" w:rsidRPr="00603234" w:rsidRDefault="00603234" w:rsidP="00603234">
            <w:pPr>
              <w:spacing w:before="80" w:after="80" w:line="200" w:lineRule="exact"/>
              <w:ind w:right="113"/>
              <w:rPr>
                <w:i/>
                <w:sz w:val="16"/>
              </w:rPr>
            </w:pPr>
            <w:r>
              <w:rPr>
                <w:i/>
                <w:sz w:val="16"/>
              </w:rPr>
              <w:t>Suggested improvements and further work</w:t>
            </w:r>
          </w:p>
        </w:tc>
      </w:tr>
      <w:tr w:rsidR="00603234" w:rsidRPr="00603234" w14:paraId="51BDB1CB" w14:textId="77777777" w:rsidTr="00566486">
        <w:tc>
          <w:tcPr>
            <w:tcW w:w="0" w:type="auto"/>
            <w:shd w:val="clear" w:color="auto" w:fill="auto"/>
          </w:tcPr>
          <w:p w14:paraId="02AB118E" w14:textId="62108B00" w:rsidR="00603234" w:rsidRPr="00603234" w:rsidRDefault="00603234" w:rsidP="00603234">
            <w:pPr>
              <w:spacing w:before="40" w:after="120"/>
              <w:ind w:right="113"/>
            </w:pPr>
            <w:r>
              <w:t>Priority area A</w:t>
            </w:r>
          </w:p>
        </w:tc>
        <w:tc>
          <w:tcPr>
            <w:tcW w:w="0" w:type="auto"/>
            <w:shd w:val="clear" w:color="auto" w:fill="auto"/>
          </w:tcPr>
          <w:p w14:paraId="77CD1ACC" w14:textId="77777777" w:rsidR="00603234" w:rsidRPr="00603234" w:rsidRDefault="00603234" w:rsidP="00603234">
            <w:pPr>
              <w:spacing w:before="40" w:after="120"/>
              <w:ind w:right="113"/>
            </w:pPr>
          </w:p>
        </w:tc>
        <w:tc>
          <w:tcPr>
            <w:tcW w:w="0" w:type="auto"/>
            <w:shd w:val="clear" w:color="auto" w:fill="auto"/>
          </w:tcPr>
          <w:p w14:paraId="3F7B9EC2" w14:textId="77777777" w:rsidR="00603234" w:rsidRDefault="00603234" w:rsidP="00603234">
            <w:r w:rsidRPr="00BB5855">
              <w:t xml:space="preserve">Split capacity-building, and </w:t>
            </w:r>
            <w:r>
              <w:t>knowledge-sharing &amp;</w:t>
            </w:r>
            <w:r w:rsidRPr="00BB5855">
              <w:t xml:space="preserve"> communication into two separate priority areas</w:t>
            </w:r>
            <w:r>
              <w:t xml:space="preserve">: </w:t>
            </w:r>
          </w:p>
          <w:p w14:paraId="04863D44" w14:textId="02846F0B" w:rsidR="00603234" w:rsidRPr="00F509D3" w:rsidRDefault="00603234" w:rsidP="00603234">
            <w:pPr>
              <w:pStyle w:val="ListParagraph"/>
              <w:numPr>
                <w:ilvl w:val="0"/>
                <w:numId w:val="10"/>
              </w:numPr>
            </w:pPr>
            <w:r>
              <w:t>C</w:t>
            </w:r>
            <w:r w:rsidRPr="00F509D3">
              <w:t>apacity-building</w:t>
            </w:r>
            <w:r>
              <w:t>:</w:t>
            </w:r>
            <w:r w:rsidRPr="00F509D3">
              <w:t xml:space="preserve"> </w:t>
            </w:r>
            <w:r>
              <w:t>focusing</w:t>
            </w:r>
            <w:r w:rsidRPr="00F509D3">
              <w:t xml:space="preserve"> </w:t>
            </w:r>
            <w:r>
              <w:t>o</w:t>
            </w:r>
            <w:r w:rsidRPr="00F509D3">
              <w:t xml:space="preserve">n building knowledge on </w:t>
            </w:r>
            <w:r>
              <w:t xml:space="preserve">the basis of </w:t>
            </w:r>
            <w:r w:rsidRPr="00F509D3">
              <w:t xml:space="preserve">evidence, data on gender-differentiated impacts of climate change, methodologies, tools, </w:t>
            </w:r>
            <w:r>
              <w:t xml:space="preserve">technical assistance and </w:t>
            </w:r>
            <w:r w:rsidRPr="00F509D3">
              <w:t xml:space="preserve">guidance </w:t>
            </w:r>
            <w:r>
              <w:t>on</w:t>
            </w:r>
            <w:r w:rsidRPr="00F509D3">
              <w:t xml:space="preserve"> gender-responsive polic</w:t>
            </w:r>
            <w:r>
              <w:t>y</w:t>
            </w:r>
            <w:r w:rsidRPr="00F509D3">
              <w:t xml:space="preserve"> and action</w:t>
            </w:r>
            <w:r>
              <w:t>;</w:t>
            </w:r>
            <w:r w:rsidRPr="00F509D3">
              <w:t xml:space="preserve"> access to finance and enhanced gender-responsive climate finance</w:t>
            </w:r>
            <w:r>
              <w:t>;</w:t>
            </w:r>
            <w:r w:rsidRPr="00F509D3">
              <w:t xml:space="preserve"> gender-responsive national-level </w:t>
            </w:r>
            <w:r>
              <w:t xml:space="preserve">implementation </w:t>
            </w:r>
            <w:r w:rsidRPr="00F509D3">
              <w:t xml:space="preserve">of the Paris Agreement (NDCs, NAPs, TNAs, </w:t>
            </w:r>
            <w:r>
              <w:t xml:space="preserve">the </w:t>
            </w:r>
            <w:r w:rsidRPr="00F509D3">
              <w:t>AC)</w:t>
            </w:r>
            <w:r>
              <w:t>;</w:t>
            </w:r>
            <w:r w:rsidRPr="00F509D3">
              <w:t xml:space="preserve"> enhance the leadership of women and grass</w:t>
            </w:r>
            <w:r>
              <w:t>-</w:t>
            </w:r>
            <w:r w:rsidRPr="00F509D3">
              <w:t>roots and indigenous women and their climate solutions</w:t>
            </w:r>
            <w:r>
              <w:t xml:space="preserve">. Also strengthening capacities to report progress in relation to GAP implementation and providing </w:t>
            </w:r>
            <w:r w:rsidRPr="00F509D3">
              <w:t xml:space="preserve">ongoing technical assistance to the </w:t>
            </w:r>
            <w:r>
              <w:t>NGCCFPs</w:t>
            </w:r>
            <w:r w:rsidR="00460DC3">
              <w:t xml:space="preserve"> (including training on technology development and transfer)</w:t>
            </w:r>
            <w:r>
              <w:t xml:space="preserve">; </w:t>
            </w:r>
          </w:p>
          <w:p w14:paraId="2CE90371" w14:textId="77777777" w:rsidR="00603234" w:rsidRPr="00F509D3" w:rsidRDefault="00603234" w:rsidP="00603234">
            <w:pPr>
              <w:pStyle w:val="ListParagraph"/>
              <w:numPr>
                <w:ilvl w:val="0"/>
                <w:numId w:val="10"/>
              </w:numPr>
            </w:pPr>
            <w:r>
              <w:t>K</w:t>
            </w:r>
            <w:r w:rsidRPr="00F509D3">
              <w:t>nowledge-sharing</w:t>
            </w:r>
            <w:r>
              <w:t xml:space="preserve"> and communication: gender analysis and new forms of communication focusing</w:t>
            </w:r>
            <w:r w:rsidRPr="00F509D3">
              <w:t xml:space="preserve"> </w:t>
            </w:r>
            <w:r>
              <w:t>on</w:t>
            </w:r>
            <w:r w:rsidRPr="00F509D3">
              <w:t xml:space="preserve"> </w:t>
            </w:r>
            <w:r>
              <w:t>filling</w:t>
            </w:r>
            <w:r w:rsidRPr="00F509D3">
              <w:t xml:space="preserve"> the knowledge gap in relation to women’s participation in decision</w:t>
            </w:r>
            <w:r>
              <w:t>-</w:t>
            </w:r>
            <w:r w:rsidRPr="00F509D3">
              <w:t xml:space="preserve">making, </w:t>
            </w:r>
            <w:r>
              <w:t>b</w:t>
            </w:r>
            <w:r w:rsidRPr="00463675">
              <w:t>uild</w:t>
            </w:r>
            <w:r>
              <w:t>ing</w:t>
            </w:r>
            <w:r w:rsidRPr="00463675">
              <w:t xml:space="preserve"> awareness o</w:t>
            </w:r>
            <w:r>
              <w:t>f</w:t>
            </w:r>
            <w:r w:rsidRPr="00463675">
              <w:t xml:space="preserve"> women’s empowerment (as actors of change) in climate action</w:t>
            </w:r>
            <w:r>
              <w:t>,</w:t>
            </w:r>
            <w:r w:rsidRPr="00F509D3">
              <w:t xml:space="preserve"> build</w:t>
            </w:r>
            <w:r>
              <w:t>ing</w:t>
            </w:r>
            <w:r w:rsidRPr="00F509D3">
              <w:t xml:space="preserve"> gender-sensitive climate change knowledge</w:t>
            </w:r>
            <w:r>
              <w:t xml:space="preserve"> -</w:t>
            </w:r>
            <w:r w:rsidRPr="00F509D3">
              <w:t xml:space="preserve">sharing into existing regional and national platforms, </w:t>
            </w:r>
            <w:r>
              <w:t>and</w:t>
            </w:r>
            <w:r w:rsidRPr="00F509D3">
              <w:t xml:space="preserve"> enhanc</w:t>
            </w:r>
            <w:r>
              <w:t>ing</w:t>
            </w:r>
            <w:r w:rsidRPr="00F509D3">
              <w:t xml:space="preserve"> inter-agency linkages </w:t>
            </w:r>
            <w:r>
              <w:t>between</w:t>
            </w:r>
            <w:r w:rsidRPr="00F509D3">
              <w:t xml:space="preserve"> relevant knowledge hubs</w:t>
            </w:r>
            <w:r>
              <w:t>;</w:t>
            </w:r>
            <w:r w:rsidRPr="00F509D3">
              <w:t xml:space="preserve"> </w:t>
            </w:r>
          </w:p>
          <w:p w14:paraId="0235C033" w14:textId="77777777" w:rsidR="00603234" w:rsidRDefault="00603234" w:rsidP="00603234">
            <w:pPr>
              <w:pStyle w:val="ListParagraph"/>
              <w:numPr>
                <w:ilvl w:val="0"/>
                <w:numId w:val="10"/>
              </w:numPr>
            </w:pPr>
            <w:r>
              <w:t>Introducing</w:t>
            </w:r>
            <w:r w:rsidRPr="00F509D3">
              <w:t xml:space="preserve"> new approaches such as South</w:t>
            </w:r>
            <w:r>
              <w:t>–</w:t>
            </w:r>
            <w:r w:rsidRPr="00F509D3">
              <w:t xml:space="preserve">South learning, communities of practice, </w:t>
            </w:r>
            <w:r>
              <w:t xml:space="preserve">and </w:t>
            </w:r>
            <w:r w:rsidRPr="00F509D3">
              <w:t>synthesized guidance and mentoring</w:t>
            </w:r>
            <w:r>
              <w:t>;</w:t>
            </w:r>
          </w:p>
          <w:p w14:paraId="631B1634" w14:textId="77777777" w:rsidR="00603234" w:rsidRPr="00BB5855" w:rsidRDefault="00603234" w:rsidP="00603234">
            <w:pPr>
              <w:pStyle w:val="ListParagraph"/>
              <w:ind w:left="360"/>
            </w:pPr>
          </w:p>
          <w:p w14:paraId="212FB325" w14:textId="1CC53104" w:rsidR="00603234" w:rsidRDefault="00603234" w:rsidP="00603234">
            <w:pPr>
              <w:rPr>
                <w:lang w:val="en-US" w:eastAsia="en-US"/>
              </w:rPr>
            </w:pPr>
            <w:r w:rsidRPr="00BB5855">
              <w:t xml:space="preserve">Develop a strategy for effectively </w:t>
            </w:r>
            <w:r w:rsidRPr="00BB5855">
              <w:rPr>
                <w:lang w:eastAsia="en-US"/>
              </w:rPr>
              <w:t>communicating</w:t>
            </w:r>
            <w:r w:rsidRPr="00BB5855">
              <w:t xml:space="preserve"> about the GAP to stakeholders</w:t>
            </w:r>
            <w:r>
              <w:t xml:space="preserve">, assessing </w:t>
            </w:r>
            <w:r w:rsidRPr="00391A6B">
              <w:rPr>
                <w:lang w:val="en-US" w:eastAsia="en-US"/>
              </w:rPr>
              <w:t>the barriers to reaching women</w:t>
            </w:r>
            <w:r>
              <w:rPr>
                <w:lang w:val="en-US" w:eastAsia="en-US"/>
              </w:rPr>
              <w:t xml:space="preserve">, employing new communication tools and </w:t>
            </w:r>
            <w:r w:rsidRPr="00391A6B">
              <w:rPr>
                <w:lang w:val="en-US" w:eastAsia="en-US"/>
              </w:rPr>
              <w:t>Intensifying online knowledge-sharing and learning</w:t>
            </w:r>
            <w:r w:rsidR="003502BA">
              <w:rPr>
                <w:lang w:val="en-US" w:eastAsia="en-US"/>
              </w:rPr>
              <w:t xml:space="preserve"> </w:t>
            </w:r>
            <w:r w:rsidR="003502BA">
              <w:t>(Costa Rica suggested by SBI 52)</w:t>
            </w:r>
            <w:r>
              <w:rPr>
                <w:lang w:val="en-US" w:eastAsia="en-US"/>
              </w:rPr>
              <w:t>;</w:t>
            </w:r>
          </w:p>
          <w:p w14:paraId="3DF84C49" w14:textId="77777777" w:rsidR="00603234" w:rsidRDefault="00603234" w:rsidP="00603234"/>
          <w:p w14:paraId="79936F0C" w14:textId="58B16C27" w:rsidR="00603234" w:rsidRDefault="00603234" w:rsidP="00603234">
            <w:pPr>
              <w:rPr>
                <w:lang w:val="en-US" w:eastAsia="en-US"/>
              </w:rPr>
            </w:pPr>
            <w:r w:rsidRPr="00463675">
              <w:rPr>
                <w:lang w:val="en-US" w:eastAsia="en-US"/>
              </w:rPr>
              <w:t xml:space="preserve">Request the IPCC </w:t>
            </w:r>
            <w:r>
              <w:rPr>
                <w:lang w:val="en-US" w:eastAsia="en-US"/>
              </w:rPr>
              <w:t>to prepare</w:t>
            </w:r>
            <w:r w:rsidRPr="00463675">
              <w:rPr>
                <w:lang w:val="en-US" w:eastAsia="en-US"/>
              </w:rPr>
              <w:t xml:space="preserve"> a comprehensive report on gender and climate change</w:t>
            </w:r>
            <w:r w:rsidR="003502BA">
              <w:rPr>
                <w:lang w:val="en-US" w:eastAsia="en-US"/>
              </w:rPr>
              <w:t xml:space="preserve"> </w:t>
            </w:r>
            <w:r w:rsidR="003502BA">
              <w:t>(Costa Rica suggested by 2021)</w:t>
            </w:r>
            <w:r w:rsidRPr="00463675">
              <w:rPr>
                <w:lang w:val="en-US" w:eastAsia="en-US"/>
              </w:rPr>
              <w:t xml:space="preserve"> </w:t>
            </w:r>
            <w:r>
              <w:rPr>
                <w:lang w:val="en-US" w:eastAsia="en-US"/>
              </w:rPr>
              <w:t>drawing on</w:t>
            </w:r>
            <w:r w:rsidRPr="00463675">
              <w:rPr>
                <w:lang w:val="en-US" w:eastAsia="en-US"/>
              </w:rPr>
              <w:t xml:space="preserve"> Parties and stakeholders’ submissions on the differentiated impacts of climate change on women and men, and the role of women as agents of change</w:t>
            </w:r>
            <w:r>
              <w:rPr>
                <w:lang w:val="en-US" w:eastAsia="en-US"/>
              </w:rPr>
              <w:t>;</w:t>
            </w:r>
          </w:p>
          <w:p w14:paraId="28181A18" w14:textId="77777777" w:rsidR="00603234" w:rsidRPr="00463675" w:rsidRDefault="00603234" w:rsidP="00603234">
            <w:pPr>
              <w:rPr>
                <w:lang w:val="en-US" w:eastAsia="en-US"/>
              </w:rPr>
            </w:pPr>
          </w:p>
          <w:p w14:paraId="3FADD293" w14:textId="61F5103F" w:rsidR="00603234" w:rsidRDefault="00603234" w:rsidP="00603234">
            <w:r w:rsidRPr="00463675">
              <w:lastRenderedPageBreak/>
              <w:t>Invit</w:t>
            </w:r>
            <w:r>
              <w:t>e</w:t>
            </w:r>
            <w:r w:rsidRPr="00463675">
              <w:t xml:space="preserve"> the Facilitative Working Group of the Local Communities and Indigenous Peoples Platform, consistent</w:t>
            </w:r>
            <w:r>
              <w:t>ly</w:t>
            </w:r>
            <w:r w:rsidRPr="00463675">
              <w:t xml:space="preserve"> with its work program</w:t>
            </w:r>
            <w:r>
              <w:t>me</w:t>
            </w:r>
            <w:r w:rsidRPr="00463675">
              <w:t xml:space="preserve"> and within existing resources, to build capacity for the engagement of indigenous women and women from local communities in the UNFCCC pr</w:t>
            </w:r>
            <w:r>
              <w:t>ocess;</w:t>
            </w:r>
          </w:p>
          <w:p w14:paraId="117D1A0E" w14:textId="075D4469" w:rsidR="00460DC3" w:rsidRDefault="00460DC3" w:rsidP="00603234"/>
          <w:p w14:paraId="6C6F8E8C" w14:textId="10513879" w:rsidR="00460DC3" w:rsidRDefault="00460DC3" w:rsidP="00603234">
            <w:r>
              <w:t>Request the secretariat to develop further the pages on “Gender and Climate Change” on the UNFCCC website, and invite Parties and observers to contribute to the web pages as well as to the NAZCA portal;</w:t>
            </w:r>
          </w:p>
          <w:p w14:paraId="16F02C16" w14:textId="77777777" w:rsidR="00460DC3" w:rsidRDefault="00460DC3" w:rsidP="00603234"/>
          <w:p w14:paraId="201621E6" w14:textId="75849768" w:rsidR="00460DC3" w:rsidRDefault="00460DC3" w:rsidP="00603234">
            <w:r>
              <w:t xml:space="preserve">Open the CTCN Regional forums to include representatives of CSO’s, </w:t>
            </w:r>
            <w:proofErr w:type="gramStart"/>
            <w:r>
              <w:t>in particular women’s</w:t>
            </w:r>
            <w:proofErr w:type="gramEnd"/>
            <w:r>
              <w:t xml:space="preserve"> organisations, who can benefit from capacity building focused on technology transfer and development and can be trainers on endogenous technologies;</w:t>
            </w:r>
          </w:p>
          <w:p w14:paraId="7AB1794C" w14:textId="05875704" w:rsidR="009B464B" w:rsidRDefault="009B464B" w:rsidP="00603234"/>
          <w:p w14:paraId="3421F86A" w14:textId="1C6E1ABB" w:rsidR="009B464B" w:rsidRDefault="009B464B" w:rsidP="00603234">
            <w:r>
              <w:t>Extend CTCN and TEC’s geographical scope and number of capacity building sessions and trainings on gender responsive technology development and transfer;</w:t>
            </w:r>
          </w:p>
          <w:p w14:paraId="1680AB11" w14:textId="77777777" w:rsidR="00A27C1C" w:rsidRDefault="00A27C1C" w:rsidP="00603234"/>
          <w:p w14:paraId="57D4A9C8" w14:textId="77777777" w:rsidR="00A27C1C" w:rsidRDefault="00A27C1C" w:rsidP="00A27C1C">
            <w:pPr>
              <w:rPr>
                <w:lang w:val="en-US" w:eastAsia="en-US"/>
              </w:rPr>
            </w:pPr>
            <w:r>
              <w:t>CTCN and GCF collaborate to organize gender trainings for NDEs and NDAs, at COPs and regional forums;</w:t>
            </w:r>
          </w:p>
          <w:p w14:paraId="20EBD568" w14:textId="77777777" w:rsidR="00D97D13" w:rsidRDefault="00D97D13" w:rsidP="00603234"/>
          <w:p w14:paraId="77CC76D2" w14:textId="1E315DA0" w:rsidR="00603234" w:rsidRDefault="00460DC3" w:rsidP="00D97D13">
            <w:r>
              <w:t>Suppor</w:t>
            </w:r>
            <w:r w:rsidR="00D97D13">
              <w:t xml:space="preserve">t and strengthen Gender-Just Climate Solutions Awards </w:t>
            </w:r>
            <w:proofErr w:type="gramStart"/>
            <w:r w:rsidR="00D97D13">
              <w:t>as a way to</w:t>
            </w:r>
            <w:proofErr w:type="gramEnd"/>
            <w:r w:rsidR="00D97D13">
              <w:t xml:space="preserve"> facilitate knowledge exchange and networking.</w:t>
            </w:r>
          </w:p>
          <w:p w14:paraId="1289F661" w14:textId="47322FC6" w:rsidR="00D97D13" w:rsidRPr="00603234" w:rsidRDefault="00D97D13" w:rsidP="00D97D13"/>
        </w:tc>
      </w:tr>
      <w:tr w:rsidR="00603234" w:rsidRPr="00603234" w14:paraId="79453C9E" w14:textId="77777777" w:rsidTr="00566486">
        <w:tc>
          <w:tcPr>
            <w:tcW w:w="0" w:type="auto"/>
            <w:shd w:val="clear" w:color="auto" w:fill="auto"/>
          </w:tcPr>
          <w:p w14:paraId="755A8851" w14:textId="05C86CAC" w:rsidR="00603234" w:rsidRPr="00603234" w:rsidRDefault="00603234" w:rsidP="00603234">
            <w:pPr>
              <w:spacing w:before="40" w:after="120"/>
              <w:ind w:right="113"/>
            </w:pPr>
            <w:r>
              <w:lastRenderedPageBreak/>
              <w:t>A.1.</w:t>
            </w:r>
          </w:p>
        </w:tc>
        <w:tc>
          <w:tcPr>
            <w:tcW w:w="0" w:type="auto"/>
            <w:shd w:val="clear" w:color="auto" w:fill="auto"/>
          </w:tcPr>
          <w:p w14:paraId="2D2C87E2" w14:textId="3DD53454" w:rsidR="00603234" w:rsidRPr="00603234" w:rsidRDefault="00603234" w:rsidP="00603234">
            <w:pPr>
              <w:spacing w:before="40" w:after="120"/>
              <w:ind w:right="113"/>
            </w:pPr>
            <w:r w:rsidRPr="00603234">
              <w:t>Some Parties (Ethiopia, Chile, The EU, Kenya, Uganda, Uruguay, Zambia) and observer organizations (FAO, UN Women, IISD, IUCN, UNDP, UNDP-UNEP Global Support Programme, WGC, Australia Pacific Climate Partnership, Practical Action, GEF, UNITAR, UNCCD) and the secretariat reported to have engaged in regional and national events; online training and curricula aiming at strengthening national capacities in topics related to gender and climate action.</w:t>
            </w:r>
          </w:p>
        </w:tc>
        <w:tc>
          <w:tcPr>
            <w:tcW w:w="0" w:type="auto"/>
            <w:shd w:val="clear" w:color="auto" w:fill="auto"/>
          </w:tcPr>
          <w:p w14:paraId="6D7439BA" w14:textId="77777777" w:rsidR="00603234" w:rsidRDefault="00603234" w:rsidP="00603234">
            <w:r>
              <w:t>E</w:t>
            </w:r>
            <w:r w:rsidRPr="00463675">
              <w:t>nsure sufficient resources in terms of finance and expertise to build the capacity of leaders, practitioners</w:t>
            </w:r>
            <w:r>
              <w:t xml:space="preserve">, NGCCFPs </w:t>
            </w:r>
            <w:r w:rsidRPr="00463675">
              <w:t xml:space="preserve">and society in general, including grass-root communities, </w:t>
            </w:r>
            <w:r>
              <w:t>to implement</w:t>
            </w:r>
            <w:r w:rsidRPr="00463675">
              <w:t xml:space="preserve"> climate action and gender equality</w:t>
            </w:r>
            <w:r>
              <w:t>;</w:t>
            </w:r>
            <w:r w:rsidRPr="00463675">
              <w:t xml:space="preserve"> </w:t>
            </w:r>
          </w:p>
          <w:p w14:paraId="1ED787E3" w14:textId="77777777" w:rsidR="00603234" w:rsidRDefault="00603234" w:rsidP="00603234"/>
          <w:p w14:paraId="4D84D7EC" w14:textId="77777777" w:rsidR="00603234" w:rsidRDefault="00603234" w:rsidP="00603234">
            <w:r>
              <w:t>B</w:t>
            </w:r>
            <w:r w:rsidRPr="00463675">
              <w:t xml:space="preserve">uild </w:t>
            </w:r>
            <w:r>
              <w:t xml:space="preserve">the </w:t>
            </w:r>
            <w:r w:rsidRPr="00463675">
              <w:t>capacit</w:t>
            </w:r>
            <w:r>
              <w:t>y</w:t>
            </w:r>
            <w:r w:rsidRPr="00463675">
              <w:t xml:space="preserve"> of </w:t>
            </w:r>
            <w:r>
              <w:t xml:space="preserve">the actors responsible for </w:t>
            </w:r>
            <w:r w:rsidRPr="00463675">
              <w:t>priority sector</w:t>
            </w:r>
            <w:r>
              <w:t>s to mainstream gender in NDCs. S</w:t>
            </w:r>
            <w:r w:rsidRPr="00463675">
              <w:t>uggest</w:t>
            </w:r>
            <w:r>
              <w:t>ion</w:t>
            </w:r>
            <w:r w:rsidRPr="00463675">
              <w:t xml:space="preserve"> </w:t>
            </w:r>
            <w:r>
              <w:t xml:space="preserve">of </w:t>
            </w:r>
            <w:r w:rsidRPr="00463675">
              <w:t xml:space="preserve">the elaboration of an orientation note or guidelines </w:t>
            </w:r>
            <w:r>
              <w:t>on</w:t>
            </w:r>
            <w:r w:rsidRPr="00463675">
              <w:t xml:space="preserve"> incorporat</w:t>
            </w:r>
            <w:r>
              <w:t>ing</w:t>
            </w:r>
            <w:r w:rsidRPr="00463675">
              <w:t xml:space="preserve"> gender into NDCs</w:t>
            </w:r>
            <w:r>
              <w:t>;</w:t>
            </w:r>
          </w:p>
          <w:p w14:paraId="7C5C4502" w14:textId="77777777" w:rsidR="00603234" w:rsidRPr="00463675" w:rsidRDefault="00603234" w:rsidP="00603234"/>
          <w:p w14:paraId="7AD05A7B" w14:textId="77777777" w:rsidR="00603234" w:rsidRDefault="00603234" w:rsidP="00603234">
            <w:r>
              <w:t xml:space="preserve">Develop specific training </w:t>
            </w:r>
            <w:r w:rsidRPr="00463675">
              <w:t xml:space="preserve">to </w:t>
            </w:r>
            <w:r>
              <w:t>enable</w:t>
            </w:r>
            <w:r w:rsidRPr="00463675">
              <w:t xml:space="preserve"> Parties </w:t>
            </w:r>
            <w:r>
              <w:t xml:space="preserve">to </w:t>
            </w:r>
            <w:r w:rsidRPr="00463675">
              <w:t>effectively implement gender-responsive climate polic</w:t>
            </w:r>
            <w:r>
              <w:t xml:space="preserve">y; </w:t>
            </w:r>
          </w:p>
          <w:p w14:paraId="262C0B29" w14:textId="77777777" w:rsidR="00603234" w:rsidRDefault="00603234" w:rsidP="00603234"/>
          <w:p w14:paraId="02B4DBB8" w14:textId="77777777" w:rsidR="00603234" w:rsidRDefault="00603234" w:rsidP="00603234">
            <w:r>
              <w:t>S</w:t>
            </w:r>
            <w:r w:rsidRPr="00463675">
              <w:t>trengthen the capacit</w:t>
            </w:r>
            <w:r>
              <w:t>y</w:t>
            </w:r>
            <w:r w:rsidRPr="00463675">
              <w:t xml:space="preserve"> of decision makers and scientists </w:t>
            </w:r>
            <w:r>
              <w:t>in</w:t>
            </w:r>
            <w:r w:rsidRPr="00463675">
              <w:t xml:space="preserve"> </w:t>
            </w:r>
            <w:r>
              <w:t xml:space="preserve">relation to </w:t>
            </w:r>
            <w:r w:rsidRPr="00463675">
              <w:t xml:space="preserve">gender and </w:t>
            </w:r>
            <w:proofErr w:type="gramStart"/>
            <w:r w:rsidRPr="00463675">
              <w:t xml:space="preserve">climate, </w:t>
            </w:r>
            <w:r>
              <w:t>and</w:t>
            </w:r>
            <w:proofErr w:type="gramEnd"/>
            <w:r w:rsidDel="00057259">
              <w:t xml:space="preserve"> </w:t>
            </w:r>
            <w:r w:rsidRPr="00463675">
              <w:t>reinforc</w:t>
            </w:r>
            <w:r>
              <w:t>e</w:t>
            </w:r>
            <w:r w:rsidRPr="00463675">
              <w:t xml:space="preserve"> th</w:t>
            </w:r>
            <w:r>
              <w:t>e</w:t>
            </w:r>
            <w:r w:rsidRPr="00463675">
              <w:t xml:space="preserve"> integration</w:t>
            </w:r>
            <w:r>
              <w:t xml:space="preserve"> of those areas</w:t>
            </w:r>
            <w:r w:rsidRPr="00463675">
              <w:t xml:space="preserve"> in</w:t>
            </w:r>
            <w:r>
              <w:t>to</w:t>
            </w:r>
            <w:r w:rsidRPr="00463675">
              <w:t xml:space="preserve"> plans and polic</w:t>
            </w:r>
            <w:r>
              <w:t>y</w:t>
            </w:r>
            <w:r w:rsidRPr="00463675">
              <w:t xml:space="preserve"> at </w:t>
            </w:r>
            <w:r>
              <w:t xml:space="preserve">the </w:t>
            </w:r>
            <w:r w:rsidRPr="00463675">
              <w:t xml:space="preserve">subnational level. </w:t>
            </w:r>
            <w:r>
              <w:t>E</w:t>
            </w:r>
            <w:r w:rsidRPr="00463675">
              <w:t xml:space="preserve">xchanges between countries with similar </w:t>
            </w:r>
            <w:r>
              <w:t xml:space="preserve">circumstances </w:t>
            </w:r>
            <w:r w:rsidRPr="00463675">
              <w:t>should be promoted</w:t>
            </w:r>
            <w:r>
              <w:t>;</w:t>
            </w:r>
          </w:p>
          <w:p w14:paraId="6F5DE1AE" w14:textId="77777777" w:rsidR="00603234" w:rsidRPr="00463675" w:rsidRDefault="00603234" w:rsidP="00603234"/>
          <w:p w14:paraId="7FA7C71F" w14:textId="77777777" w:rsidR="00603234" w:rsidRDefault="00603234" w:rsidP="00603234">
            <w:pPr>
              <w:rPr>
                <w:lang w:val="en-US" w:eastAsia="en-US"/>
              </w:rPr>
            </w:pPr>
            <w:r>
              <w:rPr>
                <w:lang w:val="en-US" w:eastAsia="en-US"/>
              </w:rPr>
              <w:lastRenderedPageBreak/>
              <w:t xml:space="preserve">Invite </w:t>
            </w:r>
            <w:r w:rsidRPr="00463675">
              <w:rPr>
                <w:lang w:val="en-US" w:eastAsia="en-US"/>
              </w:rPr>
              <w:t>Parties and other stakeholders to carry out capacity</w:t>
            </w:r>
            <w:r>
              <w:rPr>
                <w:lang w:val="en-US" w:eastAsia="en-US"/>
              </w:rPr>
              <w:t>-</w:t>
            </w:r>
            <w:r w:rsidRPr="00463675">
              <w:rPr>
                <w:lang w:val="en-US" w:eastAsia="en-US"/>
              </w:rPr>
              <w:t xml:space="preserve">building on gender and climate change with a focus </w:t>
            </w:r>
            <w:r>
              <w:rPr>
                <w:lang w:val="en-US" w:eastAsia="en-US"/>
              </w:rPr>
              <w:t>o</w:t>
            </w:r>
            <w:r w:rsidRPr="00463675">
              <w:rPr>
                <w:lang w:val="en-US" w:eastAsia="en-US"/>
              </w:rPr>
              <w:t>n mainstreaming gender in specific thematic areas (adaptation and mitigation)</w:t>
            </w:r>
            <w:r>
              <w:rPr>
                <w:lang w:val="en-US" w:eastAsia="en-US"/>
              </w:rPr>
              <w:t>;</w:t>
            </w:r>
          </w:p>
          <w:p w14:paraId="628EEB38" w14:textId="77777777" w:rsidR="00603234" w:rsidRPr="00463675" w:rsidRDefault="00603234" w:rsidP="00603234">
            <w:pPr>
              <w:rPr>
                <w:lang w:val="en-US" w:eastAsia="en-US"/>
              </w:rPr>
            </w:pPr>
          </w:p>
          <w:p w14:paraId="1FE2A008" w14:textId="77777777" w:rsidR="00603234" w:rsidRDefault="00603234" w:rsidP="00603234">
            <w:pPr>
              <w:rPr>
                <w:lang w:val="en-US" w:eastAsia="en-US"/>
              </w:rPr>
            </w:pPr>
            <w:r w:rsidRPr="00463675">
              <w:rPr>
                <w:lang w:val="en-US" w:eastAsia="en-US"/>
              </w:rPr>
              <w:t>Creat</w:t>
            </w:r>
            <w:r>
              <w:rPr>
                <w:lang w:val="en-US" w:eastAsia="en-US"/>
              </w:rPr>
              <w:t>e</w:t>
            </w:r>
            <w:r w:rsidRPr="00463675">
              <w:rPr>
                <w:lang w:val="en-US" w:eastAsia="en-US"/>
              </w:rPr>
              <w:t xml:space="preserve"> an online roster of experts on gender and climate change to support the research, analysis</w:t>
            </w:r>
            <w:r>
              <w:rPr>
                <w:lang w:val="en-US" w:eastAsia="en-US"/>
              </w:rPr>
              <w:t xml:space="preserve"> and</w:t>
            </w:r>
            <w:r w:rsidRPr="00463675">
              <w:rPr>
                <w:lang w:val="en-US" w:eastAsia="en-US"/>
              </w:rPr>
              <w:t xml:space="preserve"> forums </w:t>
            </w:r>
            <w:r>
              <w:rPr>
                <w:lang w:val="en-US" w:eastAsia="en-US"/>
              </w:rPr>
              <w:t>conducted</w:t>
            </w:r>
            <w:r w:rsidRPr="00463675">
              <w:rPr>
                <w:lang w:val="en-US" w:eastAsia="en-US"/>
              </w:rPr>
              <w:t xml:space="preserve"> by the secretariat and stakeholders</w:t>
            </w:r>
            <w:r>
              <w:rPr>
                <w:lang w:val="en-US" w:eastAsia="en-US"/>
              </w:rPr>
              <w:t xml:space="preserve">. Map </w:t>
            </w:r>
            <w:r w:rsidRPr="00F509D3">
              <w:t>available technical assistance</w:t>
            </w:r>
            <w:r>
              <w:t xml:space="preserve"> and technical needs;</w:t>
            </w:r>
          </w:p>
          <w:p w14:paraId="542220D5" w14:textId="77777777" w:rsidR="00603234" w:rsidRPr="00463675" w:rsidRDefault="00603234" w:rsidP="00603234">
            <w:pPr>
              <w:rPr>
                <w:lang w:val="en-US" w:eastAsia="en-US"/>
              </w:rPr>
            </w:pPr>
          </w:p>
          <w:p w14:paraId="3C52619F" w14:textId="2AB2E9D3" w:rsidR="00603234" w:rsidRDefault="00603234" w:rsidP="00603234">
            <w:r w:rsidRPr="00463675">
              <w:rPr>
                <w:lang w:val="en-US" w:eastAsia="en-US"/>
              </w:rPr>
              <w:t>Promot</w:t>
            </w:r>
            <w:r>
              <w:rPr>
                <w:lang w:val="en-US" w:eastAsia="en-US"/>
              </w:rPr>
              <w:t>e</w:t>
            </w:r>
            <w:r w:rsidRPr="00463675">
              <w:rPr>
                <w:lang w:val="en-US" w:eastAsia="en-US"/>
              </w:rPr>
              <w:t xml:space="preserve"> </w:t>
            </w:r>
            <w:r>
              <w:rPr>
                <w:lang w:val="en-US" w:eastAsia="en-US"/>
              </w:rPr>
              <w:t>the</w:t>
            </w:r>
            <w:r w:rsidRPr="00463675">
              <w:rPr>
                <w:lang w:val="en-US" w:eastAsia="en-US"/>
              </w:rPr>
              <w:t xml:space="preserve"> sharing of knowledge and good practices through events or online platforms at </w:t>
            </w:r>
            <w:r>
              <w:rPr>
                <w:lang w:val="en-US" w:eastAsia="en-US"/>
              </w:rPr>
              <w:t xml:space="preserve">the </w:t>
            </w:r>
            <w:r w:rsidRPr="00463675">
              <w:rPr>
                <w:lang w:val="en-US" w:eastAsia="en-US"/>
              </w:rPr>
              <w:t xml:space="preserve">regional, national and local level, </w:t>
            </w:r>
            <w:r>
              <w:rPr>
                <w:lang w:val="en-US" w:eastAsia="en-US"/>
              </w:rPr>
              <w:t xml:space="preserve">and </w:t>
            </w:r>
            <w:r w:rsidRPr="00463675">
              <w:rPr>
                <w:lang w:val="en-US" w:eastAsia="en-US"/>
              </w:rPr>
              <w:t>extend capacity</w:t>
            </w:r>
            <w:r>
              <w:rPr>
                <w:lang w:val="en-US" w:eastAsia="en-US"/>
              </w:rPr>
              <w:t>-</w:t>
            </w:r>
            <w:r w:rsidRPr="00463675">
              <w:rPr>
                <w:lang w:val="en-US" w:eastAsia="en-US"/>
              </w:rPr>
              <w:t>building to indigenous communities</w:t>
            </w:r>
            <w:r>
              <w:rPr>
                <w:lang w:val="en-US" w:eastAsia="en-US"/>
              </w:rPr>
              <w:t xml:space="preserve">. </w:t>
            </w:r>
            <w:r w:rsidR="00406488">
              <w:rPr>
                <w:lang w:val="en-US" w:eastAsia="en-US"/>
              </w:rPr>
              <w:t>Suggestions for</w:t>
            </w:r>
            <w:r>
              <w:rPr>
                <w:lang w:val="en-US" w:eastAsia="en-US"/>
              </w:rPr>
              <w:t xml:space="preserve"> </w:t>
            </w:r>
            <w:r>
              <w:t>t</w:t>
            </w:r>
            <w:r w:rsidRPr="00F509D3">
              <w:t>rain</w:t>
            </w:r>
            <w:r w:rsidR="00406488">
              <w:t>ing</w:t>
            </w:r>
            <w:r>
              <w:t xml:space="preserve"> the</w:t>
            </w:r>
            <w:r w:rsidR="00406488">
              <w:t xml:space="preserve"> </w:t>
            </w:r>
            <w:r w:rsidRPr="00F509D3">
              <w:t>trainers on gender and climate change</w:t>
            </w:r>
            <w:r>
              <w:t>;</w:t>
            </w:r>
          </w:p>
          <w:p w14:paraId="3F77ED39" w14:textId="77777777" w:rsidR="00603234" w:rsidRPr="00463675" w:rsidRDefault="00603234" w:rsidP="00603234">
            <w:pPr>
              <w:rPr>
                <w:lang w:val="en-US" w:eastAsia="en-US"/>
              </w:rPr>
            </w:pPr>
          </w:p>
          <w:p w14:paraId="76D48316" w14:textId="77777777" w:rsidR="00603234" w:rsidRDefault="00603234" w:rsidP="00603234">
            <w:pPr>
              <w:rPr>
                <w:lang w:val="en-US" w:eastAsia="en-US"/>
              </w:rPr>
            </w:pPr>
            <w:r w:rsidRPr="00391A6B">
              <w:rPr>
                <w:lang w:val="en-US" w:eastAsia="en-US"/>
              </w:rPr>
              <w:t>Continue the in-session workshops for building capacity and discussing topics relevant to the GAP, with topics suggested by Parties and observers including:</w:t>
            </w:r>
            <w:r>
              <w:rPr>
                <w:lang w:val="en-US" w:eastAsia="en-US"/>
              </w:rPr>
              <w:t xml:space="preserve"> </w:t>
            </w:r>
          </w:p>
          <w:p w14:paraId="303D40CD" w14:textId="4DFBBC0B" w:rsidR="00C51C96" w:rsidRPr="00391A6B" w:rsidRDefault="00C51C96" w:rsidP="00C51C96">
            <w:pPr>
              <w:pStyle w:val="ListParagraph"/>
              <w:numPr>
                <w:ilvl w:val="0"/>
                <w:numId w:val="9"/>
              </w:numPr>
            </w:pPr>
            <w:r w:rsidRPr="00391A6B">
              <w:t xml:space="preserve">Lessons learned </w:t>
            </w:r>
            <w:r>
              <w:t xml:space="preserve">by Parties </w:t>
            </w:r>
            <w:r w:rsidRPr="00391A6B">
              <w:t>on integrating gender into NDCs</w:t>
            </w:r>
            <w:r>
              <w:t xml:space="preserve"> level (Costa Rica suggested at SBI 52)</w:t>
            </w:r>
            <w:r w:rsidRPr="00391A6B">
              <w:t>;</w:t>
            </w:r>
          </w:p>
          <w:p w14:paraId="28DC3E57" w14:textId="754A1524" w:rsidR="00603234" w:rsidRPr="00391A6B" w:rsidRDefault="00603234" w:rsidP="00603234">
            <w:pPr>
              <w:pStyle w:val="ListParagraph"/>
              <w:numPr>
                <w:ilvl w:val="0"/>
                <w:numId w:val="9"/>
              </w:numPr>
            </w:pPr>
            <w:r w:rsidRPr="00391A6B">
              <w:t xml:space="preserve">The role of </w:t>
            </w:r>
            <w:r w:rsidRPr="00391A6B" w:rsidDel="00D839E4">
              <w:t>NGCCFP</w:t>
            </w:r>
            <w:r>
              <w:t xml:space="preserve"> and outreach strategy to confirm their designation at national level</w:t>
            </w:r>
            <w:r w:rsidR="00C51C96">
              <w:t xml:space="preserve"> (Costa Rica suggested at SBI 53)</w:t>
            </w:r>
            <w:r w:rsidRPr="00391A6B">
              <w:t>;</w:t>
            </w:r>
          </w:p>
          <w:p w14:paraId="2450634D" w14:textId="6E6D6C1A" w:rsidR="00603234" w:rsidRPr="00391A6B" w:rsidRDefault="00603234" w:rsidP="00603234">
            <w:pPr>
              <w:pStyle w:val="ListParagraph"/>
              <w:numPr>
                <w:ilvl w:val="0"/>
                <w:numId w:val="9"/>
              </w:numPr>
            </w:pPr>
            <w:r w:rsidRPr="00391A6B">
              <w:t>Governance rules and procedures of the women and gender constituency and invite other</w:t>
            </w:r>
            <w:r>
              <w:t xml:space="preserve"> major groups to share their governance procedures, with the support of the Observer Liaison Team of the Secretariat</w:t>
            </w:r>
            <w:r w:rsidR="00C51C96">
              <w:t xml:space="preserve"> (Costa Rica suggested at SBI 53)</w:t>
            </w:r>
            <w:r w:rsidR="00C51C96" w:rsidRPr="00391A6B">
              <w:t>;</w:t>
            </w:r>
          </w:p>
          <w:p w14:paraId="6E35FA93" w14:textId="77777777" w:rsidR="00065F20" w:rsidRPr="00E30F20" w:rsidRDefault="00065F20" w:rsidP="00065F20">
            <w:pPr>
              <w:pStyle w:val="ListParagraph"/>
              <w:numPr>
                <w:ilvl w:val="0"/>
                <w:numId w:val="9"/>
              </w:numPr>
            </w:pPr>
            <w:r w:rsidRPr="00E30F20">
              <w:t>Gender mainstreaming in specific areas such as mitigation, adaptation, and measurement, reporting and verification;</w:t>
            </w:r>
          </w:p>
          <w:p w14:paraId="7C5A85E4" w14:textId="77777777" w:rsidR="00C51C96" w:rsidRPr="00E30F20" w:rsidRDefault="00C51C96" w:rsidP="00C51C96">
            <w:pPr>
              <w:pStyle w:val="ListParagraph"/>
              <w:numPr>
                <w:ilvl w:val="0"/>
                <w:numId w:val="9"/>
              </w:numPr>
            </w:pPr>
            <w:r w:rsidRPr="00E30F20">
              <w:t xml:space="preserve">Gender considerations in the context of technology development and transfer, low-emission development, just transition and decent work, and economic diversification; </w:t>
            </w:r>
          </w:p>
          <w:p w14:paraId="4A509659" w14:textId="77777777" w:rsidR="00603234" w:rsidRDefault="00603234" w:rsidP="00603234">
            <w:pPr>
              <w:pStyle w:val="ListParagraph"/>
              <w:numPr>
                <w:ilvl w:val="0"/>
                <w:numId w:val="9"/>
              </w:numPr>
            </w:pPr>
            <w:r w:rsidRPr="00391A6B">
              <w:t xml:space="preserve">Gender considerations in the context of domestic climate policy and initiatives (including NDCs);  </w:t>
            </w:r>
          </w:p>
          <w:p w14:paraId="10A4AA34" w14:textId="77777777" w:rsidR="00603234" w:rsidRPr="00E30F20" w:rsidRDefault="00603234" w:rsidP="00603234">
            <w:pPr>
              <w:pStyle w:val="ListParagraph"/>
              <w:numPr>
                <w:ilvl w:val="0"/>
                <w:numId w:val="9"/>
              </w:numPr>
            </w:pPr>
            <w:r w:rsidRPr="00E30F20">
              <w:t>Progress of existing gender mandates and considering options and best practices for enhancing gender equality considerations in existing UNFCCC processes;</w:t>
            </w:r>
          </w:p>
          <w:p w14:paraId="2C75B118" w14:textId="77777777" w:rsidR="00110CE1" w:rsidRDefault="00603234" w:rsidP="00110CE1">
            <w:pPr>
              <w:pStyle w:val="ListParagraph"/>
              <w:numPr>
                <w:ilvl w:val="0"/>
                <w:numId w:val="9"/>
              </w:numPr>
            </w:pPr>
            <w:r w:rsidRPr="00E30F20">
              <w:t>Gender-responsive financing and transparency involving financing entities within and outside the UNFCCC;</w:t>
            </w:r>
          </w:p>
          <w:p w14:paraId="2065B7B4" w14:textId="3A9620D0" w:rsidR="00603234" w:rsidRPr="00603234" w:rsidRDefault="00603234" w:rsidP="00110CE1">
            <w:pPr>
              <w:pStyle w:val="ListParagraph"/>
              <w:numPr>
                <w:ilvl w:val="0"/>
                <w:numId w:val="9"/>
              </w:numPr>
            </w:pPr>
            <w:r w:rsidRPr="00391A6B">
              <w:t xml:space="preserve">Gender budgeting, with a focus on sharing experience and innovative approaches </w:t>
            </w:r>
            <w:proofErr w:type="gramStart"/>
            <w:r w:rsidRPr="00391A6B">
              <w:t>in order to</w:t>
            </w:r>
            <w:proofErr w:type="gramEnd"/>
            <w:r w:rsidRPr="00391A6B">
              <w:t xml:space="preserve"> understand the impacts </w:t>
            </w:r>
            <w:r>
              <w:t>gender budgeting</w:t>
            </w:r>
            <w:r w:rsidRPr="00391A6B">
              <w:t xml:space="preserve"> have on countries’ climate policies and programmes</w:t>
            </w:r>
            <w:r>
              <w:t>.</w:t>
            </w:r>
          </w:p>
        </w:tc>
      </w:tr>
      <w:tr w:rsidR="00603234" w:rsidRPr="00603234" w14:paraId="49E67FEA" w14:textId="77777777" w:rsidTr="00566486">
        <w:tc>
          <w:tcPr>
            <w:tcW w:w="0" w:type="auto"/>
            <w:shd w:val="clear" w:color="auto" w:fill="auto"/>
          </w:tcPr>
          <w:p w14:paraId="70337D7F" w14:textId="29108EF9" w:rsidR="00603234" w:rsidRPr="00603234" w:rsidRDefault="00603234" w:rsidP="00603234">
            <w:pPr>
              <w:spacing w:before="40" w:after="120"/>
              <w:ind w:right="113"/>
            </w:pPr>
            <w:r>
              <w:lastRenderedPageBreak/>
              <w:t>A.2.</w:t>
            </w:r>
          </w:p>
        </w:tc>
        <w:tc>
          <w:tcPr>
            <w:tcW w:w="0" w:type="auto"/>
            <w:shd w:val="clear" w:color="auto" w:fill="auto"/>
          </w:tcPr>
          <w:p w14:paraId="37454213" w14:textId="77777777" w:rsidR="00603234" w:rsidRDefault="00603234" w:rsidP="00603234">
            <w:pPr>
              <w:spacing w:before="40" w:after="40" w:line="220" w:lineRule="exact"/>
            </w:pPr>
            <w:r w:rsidRPr="00E15B51">
              <w:t>Five submissions received from Parties</w:t>
            </w:r>
            <w:r>
              <w:t xml:space="preserve"> (Central African Republic, Chad, the EU, India)</w:t>
            </w:r>
            <w:r w:rsidRPr="00E15B51">
              <w:t xml:space="preserve"> and two from observers</w:t>
            </w:r>
            <w:r>
              <w:t xml:space="preserve"> (FAO, IUCN).</w:t>
            </w:r>
          </w:p>
          <w:p w14:paraId="77049848" w14:textId="77777777" w:rsidR="00603234" w:rsidRDefault="00603234" w:rsidP="00603234">
            <w:pPr>
              <w:spacing w:before="40" w:after="40" w:line="220" w:lineRule="exact"/>
            </w:pPr>
            <w:r>
              <w:t xml:space="preserve">Parties noted that education, training, public access to information and public participation play a key role in the integration of gender considerations into climate policymaking. In </w:t>
            </w:r>
            <w:proofErr w:type="gramStart"/>
            <w:r>
              <w:t>the majority of</w:t>
            </w:r>
            <w:proofErr w:type="gramEnd"/>
            <w:r>
              <w:t xml:space="preserve"> cases there were no current programmes for integrating gender considerations into ACE activities owing to lack of capacity and resources.</w:t>
            </w:r>
          </w:p>
          <w:p w14:paraId="026253F9" w14:textId="06530A01" w:rsidR="00603234" w:rsidRPr="00603234" w:rsidRDefault="00603234" w:rsidP="00603234">
            <w:pPr>
              <w:spacing w:before="40" w:after="120"/>
              <w:ind w:right="113"/>
            </w:pPr>
            <w:r>
              <w:t xml:space="preserve">The 6th ACE Dialogue was organized by the secretariat to take place at SBI 48, in which Parties, representatives of bodies established under the Convention, experts, practitioners and stakeholders exchanged relevant ideas, experience, good practices and lessons learned. </w:t>
            </w:r>
          </w:p>
        </w:tc>
        <w:tc>
          <w:tcPr>
            <w:tcW w:w="0" w:type="auto"/>
            <w:shd w:val="clear" w:color="auto" w:fill="auto"/>
          </w:tcPr>
          <w:p w14:paraId="40EE67B7" w14:textId="77777777" w:rsidR="00603234" w:rsidRDefault="00603234" w:rsidP="00603234">
            <w:r>
              <w:t>P</w:t>
            </w:r>
            <w:r w:rsidRPr="00463675">
              <w:t xml:space="preserve">ackage information in accordance with local needs and circumstances in culturally appropriate ways, </w:t>
            </w:r>
            <w:r>
              <w:t xml:space="preserve">such as via </w:t>
            </w:r>
            <w:r w:rsidRPr="00463675">
              <w:t>peer-to-peer communication, women</w:t>
            </w:r>
            <w:r>
              <w:t>’s</w:t>
            </w:r>
            <w:r w:rsidRPr="00463675">
              <w:t xml:space="preserve"> gatherings, local mediat</w:t>
            </w:r>
            <w:r>
              <w:t>ors and mentorship programmes;</w:t>
            </w:r>
            <w:r w:rsidRPr="00463675">
              <w:t xml:space="preserve"> </w:t>
            </w:r>
          </w:p>
          <w:p w14:paraId="150D9E24" w14:textId="77777777" w:rsidR="00603234" w:rsidRDefault="00603234" w:rsidP="00603234"/>
          <w:p w14:paraId="46788991" w14:textId="77777777" w:rsidR="00603234" w:rsidRDefault="00603234" w:rsidP="00603234">
            <w:r>
              <w:t>Partner with</w:t>
            </w:r>
            <w:r w:rsidRPr="00463675">
              <w:t xml:space="preserve"> universities and</w:t>
            </w:r>
            <w:r>
              <w:t xml:space="preserve"> other educational institutions </w:t>
            </w:r>
            <w:r w:rsidRPr="00463675">
              <w:t>for reaching communities and for mainstreaming gender issues by including gender in academic curricula</w:t>
            </w:r>
            <w:r>
              <w:t>;</w:t>
            </w:r>
            <w:r w:rsidRPr="00463675">
              <w:t xml:space="preserve"> </w:t>
            </w:r>
          </w:p>
          <w:p w14:paraId="19426C40" w14:textId="77777777" w:rsidR="00603234" w:rsidRDefault="00603234" w:rsidP="00603234"/>
          <w:p w14:paraId="243F8E4C" w14:textId="28ACCF87" w:rsidR="00603234" w:rsidRDefault="00603234" w:rsidP="00603234">
            <w:r>
              <w:t>Partner</w:t>
            </w:r>
            <w:r w:rsidRPr="00463675">
              <w:t xml:space="preserve"> with local media, schools, bloggers, influencers, companies and weather forecasters to provide information on climate change to more people</w:t>
            </w:r>
            <w:r>
              <w:t>;</w:t>
            </w:r>
          </w:p>
          <w:p w14:paraId="3542B22E" w14:textId="77777777" w:rsidR="00603234" w:rsidRDefault="00603234" w:rsidP="00603234"/>
          <w:p w14:paraId="5ABA6DDE" w14:textId="77777777" w:rsidR="00603234" w:rsidRDefault="00603234" w:rsidP="00603234">
            <w:r>
              <w:t>S</w:t>
            </w:r>
            <w:r w:rsidRPr="00463675">
              <w:t>cale</w:t>
            </w:r>
            <w:r>
              <w:t xml:space="preserve"> </w:t>
            </w:r>
            <w:r w:rsidRPr="00463675">
              <w:t>up technological resources but also make the best use of the technology available, including local channels of communication, radio, phones and local meetings</w:t>
            </w:r>
            <w:r>
              <w:t>;</w:t>
            </w:r>
          </w:p>
          <w:p w14:paraId="3D15D1B6" w14:textId="77777777" w:rsidR="00603234" w:rsidRDefault="00603234" w:rsidP="00603234"/>
          <w:p w14:paraId="091B1AD2" w14:textId="77777777" w:rsidR="00603234" w:rsidRDefault="00603234" w:rsidP="00603234">
            <w:r w:rsidRPr="00913DA5">
              <w:t>Employ two complementary approaches: bottom up (empowering messengers) and top down (facilitating participation)</w:t>
            </w:r>
            <w:r>
              <w:t>;</w:t>
            </w:r>
          </w:p>
          <w:p w14:paraId="6FE0ACBF" w14:textId="77777777" w:rsidR="00603234" w:rsidRPr="00913DA5" w:rsidRDefault="00603234" w:rsidP="00603234"/>
          <w:p w14:paraId="19502003" w14:textId="77777777" w:rsidR="00603234" w:rsidRDefault="00603234" w:rsidP="00603234">
            <w:r>
              <w:t>Provide s</w:t>
            </w:r>
            <w:r w:rsidRPr="00463675">
              <w:t>upport, including funding and capacity</w:t>
            </w:r>
            <w:r>
              <w:t>-building</w:t>
            </w:r>
            <w:r w:rsidRPr="00463675">
              <w:t xml:space="preserve">, </w:t>
            </w:r>
            <w:r>
              <w:t>for</w:t>
            </w:r>
            <w:r w:rsidRPr="00463675">
              <w:t xml:space="preserve"> identify</w:t>
            </w:r>
            <w:r>
              <w:t>ing</w:t>
            </w:r>
            <w:r w:rsidRPr="00463675">
              <w:t xml:space="preserve"> how to best reach populations and to put that knowledge </w:t>
            </w:r>
            <w:r>
              <w:t>to use;</w:t>
            </w:r>
            <w:r w:rsidRPr="00463675">
              <w:t xml:space="preserve"> </w:t>
            </w:r>
          </w:p>
          <w:p w14:paraId="31E8DA0C" w14:textId="77777777" w:rsidR="00603234" w:rsidRDefault="00603234" w:rsidP="00603234"/>
          <w:p w14:paraId="113C1B0D" w14:textId="4D01D8B9" w:rsidR="00603234" w:rsidRPr="00603234" w:rsidRDefault="00603234" w:rsidP="00603234">
            <w:pPr>
              <w:spacing w:before="40" w:after="120"/>
              <w:ind w:right="113"/>
            </w:pPr>
            <w:r w:rsidRPr="00913DA5">
              <w:t>Scale up international cooperation to identify good practices, lessons learned and criteria for meaningful participation</w:t>
            </w:r>
          </w:p>
        </w:tc>
      </w:tr>
      <w:tr w:rsidR="00603234" w:rsidRPr="00603234" w14:paraId="5EDDFE59" w14:textId="77777777" w:rsidTr="00566486">
        <w:tc>
          <w:tcPr>
            <w:tcW w:w="0" w:type="auto"/>
            <w:shd w:val="clear" w:color="auto" w:fill="auto"/>
          </w:tcPr>
          <w:p w14:paraId="2AC61BB6" w14:textId="0D0A9AFA" w:rsidR="00603234" w:rsidRPr="00603234" w:rsidRDefault="00603234" w:rsidP="00603234">
            <w:pPr>
              <w:spacing w:before="40" w:after="120"/>
              <w:ind w:right="113"/>
            </w:pPr>
            <w:r>
              <w:t>Priority area B</w:t>
            </w:r>
          </w:p>
        </w:tc>
        <w:tc>
          <w:tcPr>
            <w:tcW w:w="0" w:type="auto"/>
            <w:shd w:val="clear" w:color="auto" w:fill="auto"/>
          </w:tcPr>
          <w:p w14:paraId="0D21D795" w14:textId="77777777" w:rsidR="00603234" w:rsidRPr="00603234" w:rsidRDefault="00603234" w:rsidP="00603234">
            <w:pPr>
              <w:spacing w:before="40" w:after="120"/>
              <w:ind w:right="113"/>
            </w:pPr>
          </w:p>
        </w:tc>
        <w:tc>
          <w:tcPr>
            <w:tcW w:w="0" w:type="auto"/>
            <w:shd w:val="clear" w:color="auto" w:fill="auto"/>
          </w:tcPr>
          <w:p w14:paraId="5AE40D4B" w14:textId="77777777" w:rsidR="00603234" w:rsidRPr="00352746" w:rsidRDefault="00603234" w:rsidP="00603234">
            <w:r>
              <w:t>E</w:t>
            </w:r>
            <w:r w:rsidRPr="00352746">
              <w:t>ncourage governments</w:t>
            </w:r>
            <w:r>
              <w:t xml:space="preserve"> and constituted bodies</w:t>
            </w:r>
            <w:r w:rsidRPr="00352746">
              <w:t xml:space="preserve"> to set targets for gender balance</w:t>
            </w:r>
            <w:r>
              <w:t>,</w:t>
            </w:r>
            <w:r w:rsidRPr="00B943C2">
              <w:t xml:space="preserve"> </w:t>
            </w:r>
            <w:r>
              <w:t>such as increasing female representation by</w:t>
            </w:r>
            <w:r w:rsidRPr="00352746">
              <w:t xml:space="preserve"> 3</w:t>
            </w:r>
            <w:r>
              <w:t>–</w:t>
            </w:r>
            <w:r w:rsidRPr="00352746">
              <w:t>5</w:t>
            </w:r>
            <w:r>
              <w:t xml:space="preserve"> per cent</w:t>
            </w:r>
            <w:r w:rsidRPr="00352746">
              <w:t xml:space="preserve"> per year</w:t>
            </w:r>
            <w:r>
              <w:t>;</w:t>
            </w:r>
            <w:r w:rsidRPr="00352746">
              <w:t xml:space="preserve"> </w:t>
            </w:r>
          </w:p>
          <w:p w14:paraId="79DED926" w14:textId="77777777" w:rsidR="00603234" w:rsidRPr="00913DA5" w:rsidRDefault="00603234" w:rsidP="00603234">
            <w:pPr>
              <w:spacing w:before="120" w:afterLines="60" w:after="144"/>
            </w:pPr>
            <w:r w:rsidRPr="00913DA5">
              <w:rPr>
                <w:lang w:eastAsia="en-US"/>
              </w:rPr>
              <w:t>Invite Parties to ensure the full, equal and meaningful participation of women from all backgrounds and stakeholders from all levels of society in national consultations on NDC implementation and review</w:t>
            </w:r>
            <w:r>
              <w:rPr>
                <w:lang w:eastAsia="en-US"/>
              </w:rPr>
              <w:t>;</w:t>
            </w:r>
          </w:p>
          <w:p w14:paraId="753D7E03" w14:textId="77777777" w:rsidR="00603234" w:rsidRDefault="00603234" w:rsidP="00603234">
            <w:pPr>
              <w:rPr>
                <w:lang w:val="en-US" w:eastAsia="en-US"/>
              </w:rPr>
            </w:pPr>
            <w:r>
              <w:rPr>
                <w:lang w:val="en-US" w:eastAsia="en-US"/>
              </w:rPr>
              <w:t xml:space="preserve">Request </w:t>
            </w:r>
            <w:r w:rsidRPr="00463675">
              <w:rPr>
                <w:lang w:val="en-US" w:eastAsia="en-US"/>
              </w:rPr>
              <w:t xml:space="preserve">the secretariat </w:t>
            </w:r>
            <w:r>
              <w:rPr>
                <w:lang w:val="en-US" w:eastAsia="en-US"/>
              </w:rPr>
              <w:t>to</w:t>
            </w:r>
            <w:r w:rsidRPr="00463675">
              <w:rPr>
                <w:lang w:val="en-US" w:eastAsia="en-US"/>
              </w:rPr>
              <w:t xml:space="preserve"> establish a directive to support </w:t>
            </w:r>
            <w:r>
              <w:rPr>
                <w:lang w:val="en-US" w:eastAsia="en-US"/>
              </w:rPr>
              <w:t xml:space="preserve">the secretariat’s participation </w:t>
            </w:r>
            <w:r w:rsidRPr="00463675">
              <w:rPr>
                <w:lang w:val="en-US" w:eastAsia="en-US"/>
              </w:rPr>
              <w:t xml:space="preserve">in panels that respect gender parity and </w:t>
            </w:r>
            <w:r>
              <w:rPr>
                <w:lang w:val="en-US" w:eastAsia="en-US"/>
              </w:rPr>
              <w:t>to restrain</w:t>
            </w:r>
            <w:r w:rsidRPr="00463675">
              <w:rPr>
                <w:lang w:val="en-US" w:eastAsia="en-US"/>
              </w:rPr>
              <w:t xml:space="preserve"> </w:t>
            </w:r>
            <w:r>
              <w:rPr>
                <w:lang w:val="en-US" w:eastAsia="en-US"/>
              </w:rPr>
              <w:t>its</w:t>
            </w:r>
            <w:r w:rsidRPr="00463675">
              <w:rPr>
                <w:lang w:val="en-US" w:eastAsia="en-US"/>
              </w:rPr>
              <w:t xml:space="preserve"> participation in all-male panels</w:t>
            </w:r>
            <w:r>
              <w:rPr>
                <w:lang w:val="en-US" w:eastAsia="en-US"/>
              </w:rPr>
              <w:t>;</w:t>
            </w:r>
            <w:r w:rsidRPr="00463675">
              <w:rPr>
                <w:lang w:val="en-US" w:eastAsia="en-US"/>
              </w:rPr>
              <w:t xml:space="preserve"> </w:t>
            </w:r>
          </w:p>
          <w:p w14:paraId="531838FE" w14:textId="77777777" w:rsidR="00603234" w:rsidRDefault="00603234" w:rsidP="00603234">
            <w:pPr>
              <w:rPr>
                <w:lang w:val="en-US" w:eastAsia="en-US"/>
              </w:rPr>
            </w:pPr>
          </w:p>
          <w:p w14:paraId="634F4482" w14:textId="77777777" w:rsidR="00603234" w:rsidRPr="00352746" w:rsidRDefault="00603234" w:rsidP="00603234">
            <w:r w:rsidRPr="00352746">
              <w:t>Ensur</w:t>
            </w:r>
            <w:r>
              <w:t>e</w:t>
            </w:r>
            <w:r w:rsidRPr="00352746">
              <w:t xml:space="preserve"> </w:t>
            </w:r>
            <w:r>
              <w:t xml:space="preserve">that </w:t>
            </w:r>
            <w:r w:rsidRPr="00352746">
              <w:t xml:space="preserve">women’s participation and leadership is visible and being recognized, </w:t>
            </w:r>
            <w:r>
              <w:t>such as</w:t>
            </w:r>
            <w:r w:rsidRPr="00352746">
              <w:t xml:space="preserve"> through media, communications, </w:t>
            </w:r>
            <w:r>
              <w:t xml:space="preserve">and </w:t>
            </w:r>
            <w:r w:rsidRPr="00352746">
              <w:t xml:space="preserve">storytelling to promote </w:t>
            </w:r>
            <w:r>
              <w:t>female</w:t>
            </w:r>
            <w:r w:rsidRPr="00352746">
              <w:t xml:space="preserve"> scientific experts</w:t>
            </w:r>
            <w:r>
              <w:t>’</w:t>
            </w:r>
            <w:r w:rsidRPr="00352746">
              <w:t xml:space="preserve"> and other leaders’ voices</w:t>
            </w:r>
            <w:r>
              <w:t>,</w:t>
            </w:r>
            <w:r w:rsidRPr="00352746">
              <w:t xml:space="preserve"> </w:t>
            </w:r>
            <w:r>
              <w:t>and</w:t>
            </w:r>
            <w:r w:rsidRPr="00352746">
              <w:t xml:space="preserve"> provid</w:t>
            </w:r>
            <w:r>
              <w:t>e</w:t>
            </w:r>
            <w:r w:rsidRPr="00352746">
              <w:t xml:space="preserve"> </w:t>
            </w:r>
            <w:r>
              <w:t xml:space="preserve">relevant </w:t>
            </w:r>
            <w:r w:rsidRPr="00352746">
              <w:t>training</w:t>
            </w:r>
            <w:r>
              <w:t>;</w:t>
            </w:r>
            <w:r w:rsidRPr="00352746">
              <w:t xml:space="preserve"> </w:t>
            </w:r>
          </w:p>
          <w:p w14:paraId="73042011" w14:textId="77777777" w:rsidR="00603234" w:rsidRPr="00463675" w:rsidRDefault="00603234" w:rsidP="00603234">
            <w:pPr>
              <w:rPr>
                <w:lang w:val="en-US" w:eastAsia="en-US"/>
              </w:rPr>
            </w:pPr>
          </w:p>
          <w:p w14:paraId="004F1B26" w14:textId="77777777" w:rsidR="00603234" w:rsidRDefault="00603234" w:rsidP="00603234">
            <w:pPr>
              <w:spacing w:afterLines="60" w:after="144"/>
            </w:pPr>
            <w:r w:rsidRPr="00913DA5">
              <w:lastRenderedPageBreak/>
              <w:t>Invite Parties to commit to gender balance in co-leadership or rotating leadership positions</w:t>
            </w:r>
            <w:r>
              <w:t>,</w:t>
            </w:r>
            <w:r w:rsidRPr="00913DA5">
              <w:t xml:space="preserve"> and among speakers when constituting panels</w:t>
            </w:r>
            <w:r>
              <w:t>;</w:t>
            </w:r>
            <w:r w:rsidRPr="00913DA5">
              <w:t xml:space="preserve"> </w:t>
            </w:r>
          </w:p>
          <w:p w14:paraId="75D134BA" w14:textId="77777777" w:rsidR="00603234" w:rsidRDefault="00603234" w:rsidP="00603234">
            <w:r>
              <w:rPr>
                <w:rFonts w:cstheme="minorHAnsi"/>
              </w:rPr>
              <w:t xml:space="preserve">Promote </w:t>
            </w:r>
            <w:r>
              <w:t>equality and empowerment in terms of women’s leadership, decision-making, influence and voice across the UNFCCC;</w:t>
            </w:r>
          </w:p>
          <w:p w14:paraId="75E0BF0D" w14:textId="77777777" w:rsidR="00603234" w:rsidRPr="00AD00DB" w:rsidRDefault="00603234" w:rsidP="00603234">
            <w:pPr>
              <w:rPr>
                <w:lang w:val="en-US" w:eastAsia="en-US"/>
              </w:rPr>
            </w:pPr>
          </w:p>
          <w:p w14:paraId="4A0E4B23" w14:textId="77777777" w:rsidR="00603234" w:rsidRDefault="00603234" w:rsidP="00603234">
            <w:pPr>
              <w:rPr>
                <w:lang w:val="en-US" w:eastAsia="en-US"/>
              </w:rPr>
            </w:pPr>
            <w:r>
              <w:rPr>
                <w:lang w:val="en-US" w:eastAsia="en-US"/>
              </w:rPr>
              <w:t>Invite Parties to c</w:t>
            </w:r>
            <w:r w:rsidRPr="00463675">
              <w:rPr>
                <w:lang w:val="en-US" w:eastAsia="en-US"/>
              </w:rPr>
              <w:t xml:space="preserve">ontinue </w:t>
            </w:r>
            <w:r>
              <w:rPr>
                <w:lang w:val="en-US" w:eastAsia="en-US"/>
              </w:rPr>
              <w:t xml:space="preserve">to </w:t>
            </w:r>
            <w:r w:rsidRPr="00463675">
              <w:rPr>
                <w:lang w:val="en-US" w:eastAsia="en-US"/>
              </w:rPr>
              <w:t>support and promot</w:t>
            </w:r>
            <w:r>
              <w:rPr>
                <w:lang w:val="en-US" w:eastAsia="en-US"/>
              </w:rPr>
              <w:t>e</w:t>
            </w:r>
            <w:r w:rsidRPr="00463675">
              <w:rPr>
                <w:lang w:val="en-US" w:eastAsia="en-US"/>
              </w:rPr>
              <w:t xml:space="preserve"> women</w:t>
            </w:r>
            <w:r>
              <w:rPr>
                <w:lang w:val="en-US" w:eastAsia="en-US"/>
              </w:rPr>
              <w:t>’s</w:t>
            </w:r>
            <w:r w:rsidRPr="00463675">
              <w:rPr>
                <w:lang w:val="en-US" w:eastAsia="en-US"/>
              </w:rPr>
              <w:t xml:space="preserve"> participation and leadership in the </w:t>
            </w:r>
            <w:r>
              <w:rPr>
                <w:lang w:val="en-US" w:eastAsia="en-US"/>
              </w:rPr>
              <w:t>science, technology, engineering and mathematics sector;</w:t>
            </w:r>
          </w:p>
          <w:p w14:paraId="21654978" w14:textId="77777777" w:rsidR="00603234" w:rsidRDefault="00603234" w:rsidP="00603234">
            <w:pPr>
              <w:rPr>
                <w:lang w:val="en-US" w:eastAsia="en-US"/>
              </w:rPr>
            </w:pPr>
          </w:p>
          <w:p w14:paraId="45C04C92" w14:textId="77777777" w:rsidR="00603234" w:rsidRDefault="00603234" w:rsidP="00603234">
            <w:r>
              <w:t>Promote the creation of</w:t>
            </w:r>
            <w:r w:rsidRPr="007D196D">
              <w:t xml:space="preserve"> safe and accessible spaces</w:t>
            </w:r>
            <w:r>
              <w:t xml:space="preserve"> for women’s participation</w:t>
            </w:r>
            <w:r w:rsidRPr="007D196D">
              <w:t xml:space="preserve"> (</w:t>
            </w:r>
            <w:r>
              <w:t>which</w:t>
            </w:r>
            <w:r w:rsidRPr="007D196D">
              <w:t xml:space="preserve"> may require funds, childcare solutions</w:t>
            </w:r>
            <w:r>
              <w:t xml:space="preserve"> and </w:t>
            </w:r>
            <w:r w:rsidRPr="007D196D">
              <w:t>adaptations</w:t>
            </w:r>
            <w:r>
              <w:t xml:space="preserve"> to encourage it);</w:t>
            </w:r>
          </w:p>
          <w:p w14:paraId="7D465DEB" w14:textId="77777777" w:rsidR="00603234" w:rsidRDefault="00603234" w:rsidP="00603234"/>
          <w:p w14:paraId="0F8DFB42" w14:textId="77777777" w:rsidR="00603234" w:rsidRDefault="00603234" w:rsidP="00603234">
            <w:r>
              <w:t>Invite the IPCC to e</w:t>
            </w:r>
            <w:r w:rsidRPr="00352746">
              <w:t>stablish</w:t>
            </w:r>
            <w:r>
              <w:t xml:space="preserve"> a</w:t>
            </w:r>
            <w:r w:rsidRPr="00352746">
              <w:t xml:space="preserve"> </w:t>
            </w:r>
            <w:r>
              <w:t>g</w:t>
            </w:r>
            <w:r w:rsidRPr="00352746">
              <w:t xml:space="preserve">ender </w:t>
            </w:r>
            <w:r>
              <w:t>c</w:t>
            </w:r>
            <w:r w:rsidRPr="00352746">
              <w:t>ommittee</w:t>
            </w:r>
            <w:r>
              <w:t xml:space="preserve"> to</w:t>
            </w:r>
            <w:r w:rsidRPr="00352746">
              <w:t xml:space="preserve"> </w:t>
            </w:r>
            <w:r>
              <w:t>m</w:t>
            </w:r>
            <w:r w:rsidRPr="00352746">
              <w:t>onitor gender balance in national nominations and pa</w:t>
            </w:r>
            <w:r>
              <w:t>rticipation in IPCC activities, encourage governments to set up targets for gender balance in the nomination process, as well as encourage nomination of gender focal points;</w:t>
            </w:r>
          </w:p>
          <w:p w14:paraId="54ECC241" w14:textId="77777777" w:rsidR="00603234" w:rsidRDefault="00603234" w:rsidP="00603234"/>
          <w:p w14:paraId="19E5290F" w14:textId="19273211" w:rsidR="00603234" w:rsidRDefault="00603234" w:rsidP="00603234">
            <w:r>
              <w:t xml:space="preserve">Promote positive change through </w:t>
            </w:r>
            <w:r w:rsidRPr="00463675">
              <w:t>rol</w:t>
            </w:r>
            <w:r>
              <w:t>e models to challenge</w:t>
            </w:r>
            <w:r w:rsidRPr="00463675">
              <w:t xml:space="preserve"> common assumptions about who </w:t>
            </w:r>
            <w:r>
              <w:t>should</w:t>
            </w:r>
            <w:r w:rsidRPr="00463675">
              <w:t xml:space="preserve"> work on which topics, </w:t>
            </w:r>
            <w:r>
              <w:t xml:space="preserve">and </w:t>
            </w:r>
            <w:r w:rsidRPr="00463675">
              <w:t xml:space="preserve">work towards higher female participation in finance and technology as well as </w:t>
            </w:r>
            <w:r>
              <w:t>greater</w:t>
            </w:r>
            <w:r w:rsidRPr="00463675">
              <w:t xml:space="preserve"> involvement of men </w:t>
            </w:r>
            <w:r>
              <w:t>in addressing</w:t>
            </w:r>
            <w:r w:rsidR="00B54988">
              <w:t xml:space="preserve"> topics such as </w:t>
            </w:r>
            <w:proofErr w:type="spellStart"/>
            <w:r w:rsidR="00B54988">
              <w:t>gende</w:t>
            </w:r>
            <w:proofErr w:type="spellEnd"/>
            <w:r w:rsidR="00B54988">
              <w:t>;</w:t>
            </w:r>
          </w:p>
          <w:p w14:paraId="0FB871F9" w14:textId="31F90EFC" w:rsidR="00B54988" w:rsidRDefault="00B54988" w:rsidP="00603234"/>
          <w:p w14:paraId="3AC0B5DC" w14:textId="6BC7A65E" w:rsidR="00B54988" w:rsidRDefault="00B54988" w:rsidP="00603234">
            <w:r>
              <w:t>Strengthen the capacities of local women’s organizations to understand UNFCCC’s climate finance and climate technology transfer mechanisms by organizing mentor</w:t>
            </w:r>
            <w:r w:rsidR="00A27C1C">
              <w:t>ing</w:t>
            </w:r>
            <w:r>
              <w:t xml:space="preserve"> workshops during COP for the award winners of the Gender-Just Climate Solutions;</w:t>
            </w:r>
          </w:p>
          <w:p w14:paraId="65464614" w14:textId="53FB56B0" w:rsidR="00A27C1C" w:rsidRDefault="00A27C1C" w:rsidP="00603234"/>
          <w:p w14:paraId="0764D814" w14:textId="77777777" w:rsidR="00603234" w:rsidRPr="00757E1C" w:rsidRDefault="00603234" w:rsidP="00603234">
            <w:pPr>
              <w:rPr>
                <w:lang w:val="en-US" w:eastAsia="en-US"/>
              </w:rPr>
            </w:pPr>
          </w:p>
          <w:p w14:paraId="66582706" w14:textId="42C23083" w:rsidR="00603234" w:rsidRPr="00603234" w:rsidRDefault="00603234" w:rsidP="00603234">
            <w:pPr>
              <w:spacing w:before="40" w:after="120"/>
              <w:ind w:right="113"/>
            </w:pPr>
            <w:r>
              <w:t>Encourage stakeholders</w:t>
            </w:r>
            <w:r w:rsidRPr="007D196D">
              <w:t xml:space="preserve"> to allow job sharing in leadership positions to </w:t>
            </w:r>
            <w:r>
              <w:t>account</w:t>
            </w:r>
            <w:r w:rsidRPr="007D196D">
              <w:t xml:space="preserve"> for childcare needs, with a </w:t>
            </w:r>
            <w:proofErr w:type="gramStart"/>
            <w:r w:rsidRPr="007D196D">
              <w:t>particular focus</w:t>
            </w:r>
            <w:proofErr w:type="gramEnd"/>
            <w:r w:rsidRPr="007D196D">
              <w:t xml:space="preserve"> on promoting women’s leadership </w:t>
            </w:r>
            <w:r>
              <w:t>of</w:t>
            </w:r>
            <w:r w:rsidRPr="007D196D">
              <w:t xml:space="preserve"> grass</w:t>
            </w:r>
            <w:r>
              <w:t>-</w:t>
            </w:r>
            <w:r w:rsidRPr="007D196D">
              <w:t>roots and indigenous groups</w:t>
            </w:r>
            <w:r>
              <w:t>.</w:t>
            </w:r>
          </w:p>
        </w:tc>
      </w:tr>
      <w:tr w:rsidR="00603234" w:rsidRPr="00603234" w14:paraId="66493DFB" w14:textId="77777777" w:rsidTr="00566486">
        <w:tc>
          <w:tcPr>
            <w:tcW w:w="0" w:type="auto"/>
            <w:shd w:val="clear" w:color="auto" w:fill="auto"/>
          </w:tcPr>
          <w:p w14:paraId="05738F20" w14:textId="6CC95D78" w:rsidR="00603234" w:rsidRPr="00603234" w:rsidRDefault="00603234" w:rsidP="00603234">
            <w:pPr>
              <w:spacing w:before="40" w:after="120"/>
              <w:ind w:right="113"/>
            </w:pPr>
            <w:r>
              <w:lastRenderedPageBreak/>
              <w:t>B.1.</w:t>
            </w:r>
          </w:p>
        </w:tc>
        <w:tc>
          <w:tcPr>
            <w:tcW w:w="0" w:type="auto"/>
            <w:shd w:val="clear" w:color="auto" w:fill="auto"/>
          </w:tcPr>
          <w:p w14:paraId="7E04EB24" w14:textId="77777777" w:rsidR="00603234" w:rsidRDefault="00603234" w:rsidP="00603234">
            <w:pPr>
              <w:spacing w:before="40" w:after="40" w:line="220" w:lineRule="exact"/>
            </w:pPr>
            <w:r>
              <w:t>Some Parties (Australia, Canada, the EU) reported to have contributed to promoting gender equality and the presence of women in UNFCCC processes.</w:t>
            </w:r>
          </w:p>
          <w:p w14:paraId="1DBDB9CB" w14:textId="77777777" w:rsidR="00603234" w:rsidRDefault="00603234" w:rsidP="00603234">
            <w:pPr>
              <w:spacing w:before="40" w:after="40" w:line="220" w:lineRule="exact"/>
            </w:pPr>
            <w:r>
              <w:t>UN Women reported to support the participation of 30 female experts and delegates in UNFCCC meetings and other related climate change meetings in 2018 and 2019.</w:t>
            </w:r>
          </w:p>
          <w:p w14:paraId="3D467C97" w14:textId="128D6203" w:rsidR="00603234" w:rsidRPr="00603234" w:rsidRDefault="00603234" w:rsidP="00603234">
            <w:pPr>
              <w:spacing w:before="40" w:after="120"/>
              <w:ind w:right="113"/>
            </w:pPr>
            <w:r>
              <w:t>The secretariat’s travel fund, Women Delegates Fund, financed through voluntary contributions from Parties and administered by WEDO, has supported over 63 trips of female delegates to six meetings.</w:t>
            </w:r>
          </w:p>
        </w:tc>
        <w:tc>
          <w:tcPr>
            <w:tcW w:w="0" w:type="auto"/>
            <w:shd w:val="clear" w:color="auto" w:fill="auto"/>
          </w:tcPr>
          <w:p w14:paraId="2ECBE2BD" w14:textId="77777777" w:rsidR="00603234" w:rsidRDefault="00603234" w:rsidP="00603234">
            <w:r>
              <w:t>The Women Delegates Fund highlighted that a</w:t>
            </w:r>
            <w:r w:rsidRPr="00463675">
              <w:t xml:space="preserve">dditional efforts </w:t>
            </w:r>
            <w:r>
              <w:t xml:space="preserve">for </w:t>
            </w:r>
            <w:r w:rsidRPr="00463675">
              <w:t>complementary training and travel support are required to meet the current demand from vulnerable developing countries</w:t>
            </w:r>
            <w:r>
              <w:t>;</w:t>
            </w:r>
          </w:p>
          <w:p w14:paraId="5EC63BA2" w14:textId="77777777" w:rsidR="00603234" w:rsidRDefault="00603234" w:rsidP="00603234"/>
          <w:p w14:paraId="75EAA0EC" w14:textId="77777777" w:rsidR="00603234" w:rsidRDefault="00603234" w:rsidP="00603234">
            <w:pPr>
              <w:rPr>
                <w:lang w:val="en-US" w:eastAsia="en-US"/>
              </w:rPr>
            </w:pPr>
            <w:r>
              <w:t>Invite Party and non-Party stakeholders to support travel funds through voluntary contributions to enhance the participation of women delegates from developing countries, ensuring clarity and transparency on the mechanism on how travel funds select participants, by</w:t>
            </w:r>
            <w:r w:rsidRPr="000414EF">
              <w:rPr>
                <w:lang w:val="en-US" w:eastAsia="en-US"/>
              </w:rPr>
              <w:t xml:space="preserve"> </w:t>
            </w:r>
            <w:r>
              <w:rPr>
                <w:lang w:val="en-US" w:eastAsia="en-US"/>
              </w:rPr>
              <w:t>institutionalizing</w:t>
            </w:r>
            <w:r w:rsidRPr="00463675">
              <w:rPr>
                <w:lang w:val="en-US" w:eastAsia="en-US"/>
              </w:rPr>
              <w:t xml:space="preserve"> travel funds for </w:t>
            </w:r>
            <w:r>
              <w:rPr>
                <w:lang w:val="en-US" w:eastAsia="en-US"/>
              </w:rPr>
              <w:lastRenderedPageBreak/>
              <w:t>female</w:t>
            </w:r>
            <w:r w:rsidRPr="00463675">
              <w:rPr>
                <w:lang w:val="en-US" w:eastAsia="en-US"/>
              </w:rPr>
              <w:t xml:space="preserve"> delegates through quotas in the UNFCCC travel fund, or assign</w:t>
            </w:r>
            <w:r>
              <w:rPr>
                <w:lang w:val="en-US" w:eastAsia="en-US"/>
              </w:rPr>
              <w:t>ing</w:t>
            </w:r>
            <w:r w:rsidRPr="00463675">
              <w:rPr>
                <w:lang w:val="en-US" w:eastAsia="en-US"/>
              </w:rPr>
              <w:t xml:space="preserve"> resources directly to national or regional organizations </w:t>
            </w:r>
            <w:r>
              <w:rPr>
                <w:lang w:val="en-US" w:eastAsia="en-US"/>
              </w:rPr>
              <w:t>in</w:t>
            </w:r>
            <w:r w:rsidRPr="00463675">
              <w:rPr>
                <w:lang w:val="en-US" w:eastAsia="en-US"/>
              </w:rPr>
              <w:t xml:space="preserve"> developing countries</w:t>
            </w:r>
            <w:r>
              <w:rPr>
                <w:lang w:val="en-US" w:eastAsia="en-US"/>
              </w:rPr>
              <w:t>;</w:t>
            </w:r>
          </w:p>
          <w:p w14:paraId="452C6D3A" w14:textId="77777777" w:rsidR="00603234" w:rsidRPr="00463675" w:rsidRDefault="00603234" w:rsidP="00603234">
            <w:pPr>
              <w:rPr>
                <w:lang w:val="en-US" w:eastAsia="en-US"/>
              </w:rPr>
            </w:pPr>
          </w:p>
          <w:p w14:paraId="54672EB3" w14:textId="77777777" w:rsidR="00603234" w:rsidRPr="00913DA5" w:rsidRDefault="00603234" w:rsidP="00603234">
            <w:pPr>
              <w:spacing w:afterLines="60" w:after="144"/>
              <w:rPr>
                <w:lang w:eastAsia="en-US"/>
              </w:rPr>
            </w:pPr>
            <w:r w:rsidRPr="00913DA5">
              <w:t xml:space="preserve">Invite </w:t>
            </w:r>
            <w:r w:rsidRPr="00913DA5">
              <w:rPr>
                <w:lang w:eastAsia="en-US"/>
              </w:rPr>
              <w:t>Parties, United Nations entities and observer organizations to support gender-balanced delegations by applying affirmative action; for instance, dedicating budget to meeting needs specific to gender</w:t>
            </w:r>
            <w:r>
              <w:rPr>
                <w:lang w:eastAsia="en-US"/>
              </w:rPr>
              <w:t>;</w:t>
            </w:r>
          </w:p>
          <w:p w14:paraId="157760B2" w14:textId="77777777" w:rsidR="00603234" w:rsidRDefault="00603234" w:rsidP="00603234">
            <w:r>
              <w:t>Increase</w:t>
            </w:r>
            <w:r w:rsidRPr="007D196D">
              <w:t xml:space="preserve"> contributions to travel funds by global </w:t>
            </w:r>
            <w:r>
              <w:t>N</w:t>
            </w:r>
            <w:r w:rsidRPr="007D196D">
              <w:t xml:space="preserve">orth countries to support participation by global </w:t>
            </w:r>
            <w:r>
              <w:t>S</w:t>
            </w:r>
            <w:r w:rsidRPr="007D196D">
              <w:t>outh</w:t>
            </w:r>
            <w:r>
              <w:t xml:space="preserve"> countries; </w:t>
            </w:r>
          </w:p>
          <w:p w14:paraId="1FC55413" w14:textId="77777777" w:rsidR="00603234" w:rsidRDefault="00603234" w:rsidP="00603234"/>
          <w:p w14:paraId="70371459" w14:textId="77777777" w:rsidR="00603234" w:rsidRPr="007D196D" w:rsidRDefault="00603234" w:rsidP="00603234">
            <w:r>
              <w:t>Promote female p</w:t>
            </w:r>
            <w:r w:rsidRPr="007D196D">
              <w:t>articipation across all age groups</w:t>
            </w:r>
            <w:r>
              <w:t>;</w:t>
            </w:r>
          </w:p>
          <w:p w14:paraId="0C14840F" w14:textId="77777777" w:rsidR="00603234" w:rsidRDefault="00603234" w:rsidP="00603234"/>
          <w:p w14:paraId="54268F03" w14:textId="0A1AF251" w:rsidR="00603234" w:rsidRPr="00603234" w:rsidRDefault="00603234" w:rsidP="00603234">
            <w:pPr>
              <w:spacing w:before="40" w:after="120"/>
              <w:ind w:right="113"/>
            </w:pPr>
            <w:r w:rsidRPr="000D551F">
              <w:t xml:space="preserve">Assess the gender composition of relevant ministries and build the capacity of ministries in general </w:t>
            </w:r>
            <w:proofErr w:type="gramStart"/>
            <w:r w:rsidRPr="000D551F">
              <w:t>so as to</w:t>
            </w:r>
            <w:proofErr w:type="gramEnd"/>
            <w:r w:rsidRPr="000D551F">
              <w:t xml:space="preserve"> have qualified women available to serve in national delegations</w:t>
            </w:r>
            <w:r>
              <w:t>.</w:t>
            </w:r>
          </w:p>
        </w:tc>
      </w:tr>
      <w:tr w:rsidR="00603234" w:rsidRPr="00603234" w14:paraId="33446269" w14:textId="77777777" w:rsidTr="00566486">
        <w:tc>
          <w:tcPr>
            <w:tcW w:w="0" w:type="auto"/>
            <w:shd w:val="clear" w:color="auto" w:fill="auto"/>
          </w:tcPr>
          <w:p w14:paraId="22DBA27F" w14:textId="255B0FA7" w:rsidR="00603234" w:rsidRPr="00603234" w:rsidRDefault="00603234" w:rsidP="00603234">
            <w:pPr>
              <w:spacing w:before="40" w:after="120"/>
              <w:ind w:right="113"/>
            </w:pPr>
            <w:r>
              <w:lastRenderedPageBreak/>
              <w:t>B.2.</w:t>
            </w:r>
          </w:p>
        </w:tc>
        <w:tc>
          <w:tcPr>
            <w:tcW w:w="0" w:type="auto"/>
            <w:shd w:val="clear" w:color="auto" w:fill="auto"/>
          </w:tcPr>
          <w:p w14:paraId="54F5C895" w14:textId="77777777" w:rsidR="00603234" w:rsidRDefault="00603234" w:rsidP="00603234">
            <w:pPr>
              <w:spacing w:before="40" w:after="40" w:line="220" w:lineRule="exact"/>
            </w:pPr>
            <w:r w:rsidRPr="00E15B51">
              <w:t>Gender composition reports published</w:t>
            </w:r>
          </w:p>
          <w:p w14:paraId="741CDE82" w14:textId="77777777" w:rsidR="00603234" w:rsidRPr="00FE33E1" w:rsidRDefault="00603234" w:rsidP="00603234">
            <w:pPr>
              <w:spacing w:before="40" w:after="40" w:line="220" w:lineRule="exact"/>
            </w:pPr>
            <w:r w:rsidRPr="00FE33E1">
              <w:t xml:space="preserve">2017: </w:t>
            </w:r>
            <w:hyperlink r:id="rId15" w:tgtFrame="_self" w:history="1">
              <w:r w:rsidRPr="00B26675">
                <w:rPr>
                  <w:rStyle w:val="Hyperlink"/>
                </w:rPr>
                <w:t>FCCC/CP/2017/6</w:t>
              </w:r>
            </w:hyperlink>
          </w:p>
          <w:p w14:paraId="12910E07" w14:textId="77777777" w:rsidR="00603234" w:rsidRPr="00FE33E1" w:rsidRDefault="00603234" w:rsidP="00603234">
            <w:pPr>
              <w:spacing w:before="40" w:after="40" w:line="220" w:lineRule="exact"/>
            </w:pPr>
            <w:r w:rsidRPr="00FE33E1">
              <w:t xml:space="preserve">2018: </w:t>
            </w:r>
            <w:hyperlink r:id="rId16" w:tgtFrame="_self" w:history="1">
              <w:r w:rsidRPr="00B26675">
                <w:rPr>
                  <w:rStyle w:val="Hyperlink"/>
                </w:rPr>
                <w:t>FCCC/CP/2018/3</w:t>
              </w:r>
            </w:hyperlink>
          </w:p>
          <w:p w14:paraId="5EF5B395" w14:textId="61D3CC20" w:rsidR="00603234" w:rsidRPr="00603234" w:rsidRDefault="00603234" w:rsidP="00603234">
            <w:pPr>
              <w:spacing w:before="40" w:after="120"/>
              <w:ind w:right="113"/>
            </w:pPr>
            <w:r w:rsidRPr="00FE33E1">
              <w:t xml:space="preserve">2019: </w:t>
            </w:r>
            <w:hyperlink r:id="rId17" w:tgtFrame="_blank" w:history="1">
              <w:r w:rsidRPr="00B26675">
                <w:rPr>
                  <w:rStyle w:val="Hyperlink"/>
                </w:rPr>
                <w:t>FCCC/CP/2019/9</w:t>
              </w:r>
            </w:hyperlink>
          </w:p>
        </w:tc>
        <w:tc>
          <w:tcPr>
            <w:tcW w:w="0" w:type="auto"/>
            <w:shd w:val="clear" w:color="auto" w:fill="auto"/>
          </w:tcPr>
          <w:p w14:paraId="46CED01D" w14:textId="77777777" w:rsidR="00603234" w:rsidRDefault="00603234" w:rsidP="00603234">
            <w:pPr>
              <w:spacing w:before="40" w:after="120"/>
              <w:ind w:right="113"/>
            </w:pPr>
            <w:r w:rsidRPr="00463675">
              <w:t>Continu</w:t>
            </w:r>
            <w:r>
              <w:t>e</w:t>
            </w:r>
            <w:r w:rsidRPr="00463675">
              <w:t xml:space="preserve"> to share information on the gender composition of UNFCCC constituted bodies and national delegations</w:t>
            </w:r>
            <w:r>
              <w:t>;</w:t>
            </w:r>
          </w:p>
          <w:p w14:paraId="12F745FB" w14:textId="0712B557" w:rsidR="00603234" w:rsidRPr="00603234" w:rsidRDefault="00603234" w:rsidP="00603234">
            <w:pPr>
              <w:spacing w:before="40" w:after="120"/>
              <w:ind w:right="113"/>
            </w:pPr>
            <w:r w:rsidRPr="00913DA5">
              <w:t>Use a more visually striking and accessible reporting format for the gender composition report</w:t>
            </w:r>
            <w:r>
              <w:t>.</w:t>
            </w:r>
          </w:p>
        </w:tc>
      </w:tr>
      <w:tr w:rsidR="00603234" w:rsidRPr="00603234" w14:paraId="225B725D" w14:textId="77777777" w:rsidTr="00566486">
        <w:tc>
          <w:tcPr>
            <w:tcW w:w="0" w:type="auto"/>
            <w:shd w:val="clear" w:color="auto" w:fill="auto"/>
          </w:tcPr>
          <w:p w14:paraId="618020C5" w14:textId="070C8BED" w:rsidR="00603234" w:rsidRPr="00603234" w:rsidRDefault="00603234" w:rsidP="00603234">
            <w:pPr>
              <w:spacing w:before="40" w:after="120"/>
              <w:ind w:right="113"/>
            </w:pPr>
            <w:r>
              <w:t>B.3.</w:t>
            </w:r>
          </w:p>
        </w:tc>
        <w:tc>
          <w:tcPr>
            <w:tcW w:w="0" w:type="auto"/>
            <w:shd w:val="clear" w:color="auto" w:fill="auto"/>
          </w:tcPr>
          <w:p w14:paraId="154AE090" w14:textId="77777777" w:rsidR="00603234" w:rsidRDefault="00603234" w:rsidP="00603234">
            <w:pPr>
              <w:spacing w:before="40" w:after="40" w:line="220" w:lineRule="exact"/>
            </w:pPr>
            <w:r>
              <w:t>The EU, Switzerland, UN Women and the European Capacity Building have implemented different capacity-building strategies for women on negotiation under UNFCCC process.</w:t>
            </w:r>
          </w:p>
          <w:p w14:paraId="7495AE3B" w14:textId="77777777" w:rsidR="00603234" w:rsidRDefault="00603234" w:rsidP="00603234">
            <w:pPr>
              <w:spacing w:before="40" w:after="40" w:line="220" w:lineRule="exact"/>
            </w:pPr>
            <w:r>
              <w:t xml:space="preserve">The Women Delegates Fund has been key to delivering </w:t>
            </w:r>
            <w:proofErr w:type="gramStart"/>
            <w:r>
              <w:t>five night</w:t>
            </w:r>
            <w:proofErr w:type="gramEnd"/>
            <w:r>
              <w:t xml:space="preserve"> schools for 144 delegates, consisting of pre-session training in drafting text for interventions to strengthen the participants’ capacity to effectively engage in the negotiations.</w:t>
            </w:r>
          </w:p>
          <w:p w14:paraId="0B76227A" w14:textId="2D49F6EF" w:rsidR="00603234" w:rsidRPr="00603234" w:rsidRDefault="00603234" w:rsidP="00603234">
            <w:pPr>
              <w:spacing w:before="40" w:after="120"/>
              <w:ind w:right="113"/>
            </w:pPr>
            <w:r>
              <w:t>The secretariat co-hosted networking events with WEDO at COP 23 and SBI 48 for female delegates to share ideas.</w:t>
            </w:r>
          </w:p>
        </w:tc>
        <w:tc>
          <w:tcPr>
            <w:tcW w:w="0" w:type="auto"/>
            <w:shd w:val="clear" w:color="auto" w:fill="auto"/>
          </w:tcPr>
          <w:p w14:paraId="73C3850C" w14:textId="77777777" w:rsidR="00603234" w:rsidRDefault="00603234" w:rsidP="00603234">
            <w:pPr>
              <w:rPr>
                <w:lang w:val="en-US" w:eastAsia="en-US"/>
              </w:rPr>
            </w:pPr>
            <w:r w:rsidRPr="00463675">
              <w:rPr>
                <w:lang w:val="en-US" w:eastAsia="en-US"/>
              </w:rPr>
              <w:t>Organiz</w:t>
            </w:r>
            <w:r>
              <w:rPr>
                <w:lang w:val="en-US" w:eastAsia="en-US"/>
              </w:rPr>
              <w:t>e</w:t>
            </w:r>
            <w:r w:rsidRPr="00463675">
              <w:rPr>
                <w:lang w:val="en-US" w:eastAsia="en-US"/>
              </w:rPr>
              <w:t xml:space="preserve"> regional and national training for female delegates and negotiators in skills </w:t>
            </w:r>
            <w:r>
              <w:rPr>
                <w:lang w:val="en-US" w:eastAsia="en-US"/>
              </w:rPr>
              <w:t>relevant to</w:t>
            </w:r>
            <w:r w:rsidRPr="00463675">
              <w:rPr>
                <w:lang w:val="en-US" w:eastAsia="en-US"/>
              </w:rPr>
              <w:t xml:space="preserve"> the UNFCCC process</w:t>
            </w:r>
            <w:r>
              <w:rPr>
                <w:lang w:val="en-US" w:eastAsia="en-US"/>
              </w:rPr>
              <w:t>;</w:t>
            </w:r>
          </w:p>
          <w:p w14:paraId="2ED41146" w14:textId="77777777" w:rsidR="00603234" w:rsidRPr="00463675" w:rsidRDefault="00603234" w:rsidP="00603234">
            <w:pPr>
              <w:rPr>
                <w:lang w:val="en-US" w:eastAsia="en-US"/>
              </w:rPr>
            </w:pPr>
          </w:p>
          <w:p w14:paraId="18A78445" w14:textId="166BEE9C" w:rsidR="00603234" w:rsidRDefault="00603234" w:rsidP="00603234">
            <w:r w:rsidRPr="00352746">
              <w:t>Promot</w:t>
            </w:r>
            <w:r>
              <w:t>e</w:t>
            </w:r>
            <w:r w:rsidRPr="00352746">
              <w:t xml:space="preserve"> mentorship opportunities with senior </w:t>
            </w:r>
            <w:r>
              <w:t>female</w:t>
            </w:r>
            <w:r w:rsidRPr="00352746">
              <w:t xml:space="preserve"> negotiators, especially for women </w:t>
            </w:r>
            <w:r>
              <w:t>from the least developed countries,</w:t>
            </w:r>
            <w:r w:rsidRPr="00352746">
              <w:t xml:space="preserve"> and opportunities, spaces</w:t>
            </w:r>
            <w:r>
              <w:t xml:space="preserve"> and </w:t>
            </w:r>
            <w:r w:rsidRPr="00352746">
              <w:t>events for younger women to interact with women in leadership positions</w:t>
            </w:r>
            <w:r w:rsidR="00B54988">
              <w:t>;</w:t>
            </w:r>
          </w:p>
          <w:p w14:paraId="6D8A1CBC" w14:textId="77777777" w:rsidR="00603234" w:rsidRPr="00352746" w:rsidRDefault="00603234" w:rsidP="00603234"/>
          <w:p w14:paraId="667D580C" w14:textId="77777777" w:rsidR="00603234" w:rsidRPr="00913DA5" w:rsidRDefault="00603234" w:rsidP="00603234">
            <w:pPr>
              <w:spacing w:afterLines="60" w:after="144"/>
            </w:pPr>
            <w:r w:rsidRPr="00913DA5">
              <w:t>Invite the secretariat, Parties and observer organizations to provide training opportunities to female delegates beyond during or just before UNFCCC meetings</w:t>
            </w:r>
            <w:r>
              <w:t>;</w:t>
            </w:r>
          </w:p>
          <w:p w14:paraId="4E154DEE" w14:textId="71A7B905" w:rsidR="00603234" w:rsidRPr="00603234" w:rsidRDefault="00603234" w:rsidP="00603234">
            <w:pPr>
              <w:spacing w:before="40" w:after="120"/>
              <w:ind w:right="113"/>
            </w:pPr>
            <w:r>
              <w:t>Allocate</w:t>
            </w:r>
            <w:r w:rsidRPr="00352746">
              <w:t xml:space="preserve"> greater attention and resources to support</w:t>
            </w:r>
            <w:r>
              <w:t>ing the capacity and presence of</w:t>
            </w:r>
            <w:r w:rsidRPr="00352746">
              <w:t xml:space="preserve"> grass-root women’s movements and local and indigenous women</w:t>
            </w:r>
            <w:r>
              <w:t>,</w:t>
            </w:r>
            <w:r w:rsidRPr="00352746">
              <w:t xml:space="preserve"> </w:t>
            </w:r>
            <w:r>
              <w:t>and</w:t>
            </w:r>
            <w:r w:rsidRPr="00352746">
              <w:t xml:space="preserve"> separat</w:t>
            </w:r>
            <w:r>
              <w:t>e</w:t>
            </w:r>
            <w:r w:rsidRPr="00352746">
              <w:t xml:space="preserve"> this from support</w:t>
            </w:r>
            <w:r>
              <w:t>ing</w:t>
            </w:r>
            <w:r w:rsidRPr="00352746">
              <w:t xml:space="preserve"> women as part of their national delegations</w:t>
            </w:r>
            <w:r>
              <w:t>;</w:t>
            </w:r>
          </w:p>
        </w:tc>
      </w:tr>
      <w:tr w:rsidR="00603234" w:rsidRPr="00603234" w14:paraId="3CD4C1D7" w14:textId="77777777" w:rsidTr="00566486">
        <w:tc>
          <w:tcPr>
            <w:tcW w:w="0" w:type="auto"/>
            <w:shd w:val="clear" w:color="auto" w:fill="auto"/>
          </w:tcPr>
          <w:p w14:paraId="293F1787" w14:textId="1EE21789" w:rsidR="00603234" w:rsidRPr="00603234" w:rsidRDefault="00603234" w:rsidP="00603234">
            <w:pPr>
              <w:spacing w:before="40" w:after="120"/>
              <w:ind w:right="113"/>
            </w:pPr>
            <w:r>
              <w:t>B.4.</w:t>
            </w:r>
          </w:p>
        </w:tc>
        <w:tc>
          <w:tcPr>
            <w:tcW w:w="0" w:type="auto"/>
            <w:shd w:val="clear" w:color="auto" w:fill="auto"/>
          </w:tcPr>
          <w:p w14:paraId="7476634B" w14:textId="0992FF13" w:rsidR="00603234" w:rsidRPr="00603234" w:rsidRDefault="00603234" w:rsidP="00603234">
            <w:pPr>
              <w:spacing w:before="40" w:after="120"/>
              <w:ind w:right="113"/>
            </w:pPr>
            <w:r>
              <w:t xml:space="preserve">Chile, Madagascar, Liberia and UN Women reported efforts on targeted training for women in climate change. </w:t>
            </w:r>
          </w:p>
        </w:tc>
        <w:tc>
          <w:tcPr>
            <w:tcW w:w="0" w:type="auto"/>
            <w:shd w:val="clear" w:color="auto" w:fill="auto"/>
          </w:tcPr>
          <w:p w14:paraId="4A71EDE6" w14:textId="0CA785EA" w:rsidR="00603234" w:rsidRPr="00913DA5" w:rsidRDefault="006D3EE7" w:rsidP="00603234">
            <w:pPr>
              <w:spacing w:before="120" w:afterLines="60" w:after="144"/>
            </w:pPr>
            <w:r>
              <w:t xml:space="preserve">Support formal and non-formal education and training programmes targeted at women and girls at the national, regional and local levels, with a </w:t>
            </w:r>
            <w:proofErr w:type="gramStart"/>
            <w:r>
              <w:t>particular focus</w:t>
            </w:r>
            <w:proofErr w:type="gramEnd"/>
            <w:r>
              <w:t xml:space="preserve"> on S.T.E.M. and renewable energy and climate adaptation technologies;</w:t>
            </w:r>
          </w:p>
          <w:p w14:paraId="7CCC187F" w14:textId="0FC07EC7" w:rsidR="00603234" w:rsidRPr="00603234" w:rsidRDefault="00603234" w:rsidP="00603234">
            <w:pPr>
              <w:spacing w:before="40" w:after="120"/>
              <w:ind w:right="113"/>
            </w:pPr>
            <w:r w:rsidRPr="00913DA5">
              <w:lastRenderedPageBreak/>
              <w:t>Allocate greater attention and resources to supporting indigenous and local women</w:t>
            </w:r>
            <w:r>
              <w:t>;</w:t>
            </w:r>
          </w:p>
        </w:tc>
      </w:tr>
      <w:tr w:rsidR="00603234" w:rsidRPr="00603234" w14:paraId="49A57A62" w14:textId="77777777" w:rsidTr="00566486">
        <w:tc>
          <w:tcPr>
            <w:tcW w:w="0" w:type="auto"/>
            <w:shd w:val="clear" w:color="auto" w:fill="auto"/>
          </w:tcPr>
          <w:p w14:paraId="491D18C4" w14:textId="3178033D" w:rsidR="00603234" w:rsidRPr="00603234" w:rsidRDefault="00603234" w:rsidP="00603234">
            <w:pPr>
              <w:spacing w:before="40" w:after="120"/>
              <w:ind w:right="113"/>
            </w:pPr>
            <w:r>
              <w:lastRenderedPageBreak/>
              <w:t>Priority area C</w:t>
            </w:r>
          </w:p>
        </w:tc>
        <w:tc>
          <w:tcPr>
            <w:tcW w:w="0" w:type="auto"/>
            <w:shd w:val="clear" w:color="auto" w:fill="auto"/>
          </w:tcPr>
          <w:p w14:paraId="7C4BF1DD" w14:textId="77777777" w:rsidR="00603234" w:rsidRPr="00603234" w:rsidRDefault="00603234" w:rsidP="00603234">
            <w:pPr>
              <w:spacing w:before="40" w:after="120"/>
              <w:ind w:right="113"/>
            </w:pPr>
          </w:p>
        </w:tc>
        <w:tc>
          <w:tcPr>
            <w:tcW w:w="0" w:type="auto"/>
            <w:shd w:val="clear" w:color="auto" w:fill="auto"/>
          </w:tcPr>
          <w:p w14:paraId="66CC532F" w14:textId="77777777" w:rsidR="00603234" w:rsidRDefault="00603234" w:rsidP="00603234">
            <w:pPr>
              <w:spacing w:before="40" w:after="120"/>
              <w:ind w:right="113"/>
            </w:pPr>
            <w:r w:rsidRPr="00913DA5">
              <w:t>Ensure more coherence in</w:t>
            </w:r>
            <w:r>
              <w:t xml:space="preserve"> the implementation of</w:t>
            </w:r>
            <w:r w:rsidRPr="00913DA5">
              <w:t xml:space="preserve"> gender</w:t>
            </w:r>
            <w:r>
              <w:t>-related</w:t>
            </w:r>
            <w:r w:rsidRPr="00913DA5">
              <w:t xml:space="preserve"> mandates between and within countries</w:t>
            </w:r>
            <w:r>
              <w:t>;</w:t>
            </w:r>
          </w:p>
          <w:p w14:paraId="190607BD" w14:textId="4D7FCF71" w:rsidR="00D363E8" w:rsidRDefault="00603234" w:rsidP="00603234">
            <w:pPr>
              <w:spacing w:before="40" w:after="120"/>
              <w:ind w:right="113"/>
            </w:pPr>
            <w:r>
              <w:t>B</w:t>
            </w:r>
            <w:r w:rsidRPr="00463675">
              <w:t>road</w:t>
            </w:r>
            <w:r>
              <w:t>en</w:t>
            </w:r>
            <w:r w:rsidRPr="00463675">
              <w:t xml:space="preserve"> the scope of coherence to include other aspects of the UNFCCC beyond </w:t>
            </w:r>
            <w:r>
              <w:t xml:space="preserve">the </w:t>
            </w:r>
            <w:r w:rsidRPr="00463675">
              <w:t xml:space="preserve">constituted bodies, </w:t>
            </w:r>
          </w:p>
          <w:p w14:paraId="088AA340" w14:textId="66626EB9" w:rsidR="00603234" w:rsidRPr="00603234" w:rsidRDefault="00603234" w:rsidP="00603234">
            <w:pPr>
              <w:spacing w:before="40" w:after="120"/>
              <w:ind w:right="113"/>
            </w:pPr>
            <w:r>
              <w:t xml:space="preserve">The International Organization for Migration </w:t>
            </w:r>
            <w:r w:rsidRPr="00463675">
              <w:t>call</w:t>
            </w:r>
            <w:r>
              <w:t>ed</w:t>
            </w:r>
            <w:r w:rsidRPr="00463675">
              <w:t xml:space="preserve"> for the </w:t>
            </w:r>
            <w:r>
              <w:t>WIM Executive Committee and the task force on displacement to consider</w:t>
            </w:r>
            <w:r w:rsidRPr="00463675">
              <w:t xml:space="preserve"> gender-equality concerns.</w:t>
            </w:r>
          </w:p>
        </w:tc>
      </w:tr>
      <w:tr w:rsidR="00603234" w:rsidRPr="00603234" w14:paraId="52557B42" w14:textId="77777777" w:rsidTr="00566486">
        <w:tc>
          <w:tcPr>
            <w:tcW w:w="0" w:type="auto"/>
            <w:shd w:val="clear" w:color="auto" w:fill="auto"/>
          </w:tcPr>
          <w:p w14:paraId="6C54DAEA" w14:textId="502A4B6B" w:rsidR="00603234" w:rsidRPr="00603234" w:rsidRDefault="00603234" w:rsidP="00603234">
            <w:pPr>
              <w:spacing w:before="40" w:after="120"/>
              <w:ind w:right="113"/>
            </w:pPr>
            <w:r>
              <w:t>C.1.</w:t>
            </w:r>
          </w:p>
        </w:tc>
        <w:tc>
          <w:tcPr>
            <w:tcW w:w="0" w:type="auto"/>
            <w:shd w:val="clear" w:color="auto" w:fill="auto"/>
          </w:tcPr>
          <w:p w14:paraId="06F84BA2" w14:textId="77777777" w:rsidR="00603234" w:rsidRDefault="00566486" w:rsidP="00603234">
            <w:pPr>
              <w:spacing w:before="40" w:after="40" w:line="220" w:lineRule="exact"/>
            </w:pPr>
            <w:hyperlink r:id="rId18" w:history="1">
              <w:r w:rsidR="00603234" w:rsidRPr="00B63AE4">
                <w:rPr>
                  <w:rStyle w:val="Hyperlink"/>
                </w:rPr>
                <w:t>Dialogue</w:t>
              </w:r>
            </w:hyperlink>
            <w:r w:rsidR="00603234" w:rsidRPr="00913DA5">
              <w:t xml:space="preserve"> held at SBI 48</w:t>
            </w:r>
            <w:r w:rsidR="00603234">
              <w:t>.</w:t>
            </w:r>
          </w:p>
          <w:p w14:paraId="0E5F30A2" w14:textId="7E7A2A57" w:rsidR="00603234" w:rsidRPr="00603234" w:rsidRDefault="00603234" w:rsidP="00603234">
            <w:pPr>
              <w:spacing w:before="40" w:after="120"/>
              <w:ind w:right="113"/>
            </w:pPr>
            <w:r>
              <w:t>During the dialogue, some representatives noted that their body had not yet had an opportunity to consider the recommendations in the technical paper, and the bodies that had already done so expressed that the paper had provided them with concrete ideas for integrating gender into their workstreams, and in general there was appreciation for and acknowledgement of the usefulness of the paper and the feasibility of the recommendations.</w:t>
            </w:r>
          </w:p>
        </w:tc>
        <w:tc>
          <w:tcPr>
            <w:tcW w:w="0" w:type="auto"/>
            <w:shd w:val="clear" w:color="auto" w:fill="auto"/>
          </w:tcPr>
          <w:p w14:paraId="693EA285" w14:textId="77777777" w:rsidR="00603234" w:rsidRDefault="00603234" w:rsidP="00603234">
            <w:r>
              <w:t>F</w:t>
            </w:r>
            <w:r w:rsidRPr="00463675">
              <w:t xml:space="preserve">ocused expertise to support </w:t>
            </w:r>
            <w:r>
              <w:t>constituted bodies in</w:t>
            </w:r>
            <w:r w:rsidRPr="00463675">
              <w:t xml:space="preserve"> identif</w:t>
            </w:r>
            <w:r>
              <w:t>ying</w:t>
            </w:r>
            <w:r w:rsidRPr="00463675">
              <w:t xml:space="preserve"> </w:t>
            </w:r>
            <w:r>
              <w:t>how</w:t>
            </w:r>
            <w:r w:rsidRPr="00463675">
              <w:t xml:space="preserve"> to promote the integration of gender considerations in</w:t>
            </w:r>
            <w:r>
              <w:t>to their workstreams;</w:t>
            </w:r>
          </w:p>
          <w:p w14:paraId="22EDB710" w14:textId="77777777" w:rsidR="00603234" w:rsidRDefault="00603234" w:rsidP="00603234"/>
          <w:p w14:paraId="1494A620" w14:textId="77777777" w:rsidR="00603234" w:rsidRDefault="00603234" w:rsidP="00603234">
            <w:r>
              <w:t>M</w:t>
            </w:r>
            <w:r w:rsidRPr="00463675">
              <w:t xml:space="preserve">ore coherence and collaboration across bodies to improve coordinated action, increase synergy and </w:t>
            </w:r>
            <w:r>
              <w:t>avoid duplication of efforts;</w:t>
            </w:r>
          </w:p>
          <w:p w14:paraId="25B5CDC7" w14:textId="77777777" w:rsidR="00603234" w:rsidRDefault="00603234" w:rsidP="00603234"/>
          <w:p w14:paraId="4AA40EF4" w14:textId="77777777" w:rsidR="00603234" w:rsidRDefault="00603234" w:rsidP="00603234">
            <w:r>
              <w:t xml:space="preserve">Clarification of the </w:t>
            </w:r>
            <w:r w:rsidRPr="00463675">
              <w:t xml:space="preserve">role that gender consideration should </w:t>
            </w:r>
            <w:r>
              <w:t>play</w:t>
            </w:r>
            <w:r w:rsidRPr="00463675">
              <w:t xml:space="preserve"> in each constituted body’s workstream</w:t>
            </w:r>
            <w:r>
              <w:t>;</w:t>
            </w:r>
          </w:p>
          <w:p w14:paraId="12DE814F" w14:textId="77777777" w:rsidR="00603234" w:rsidRDefault="00603234" w:rsidP="00603234">
            <w:r>
              <w:t xml:space="preserve"> </w:t>
            </w:r>
          </w:p>
          <w:p w14:paraId="7D135EEE" w14:textId="77777777" w:rsidR="00603234" w:rsidRDefault="00603234" w:rsidP="00603234">
            <w:r w:rsidRPr="00326DF9">
              <w:t>Appoint a gender focal point, enabled and supported by leadership</w:t>
            </w:r>
            <w:r>
              <w:t xml:space="preserve"> within a constituted body</w:t>
            </w:r>
            <w:r w:rsidRPr="00326DF9">
              <w:t xml:space="preserve">, to provide continuity and expertise and to </w:t>
            </w:r>
            <w:r>
              <w:t>promote</w:t>
            </w:r>
            <w:r w:rsidRPr="00326DF9">
              <w:t xml:space="preserve"> discussion on </w:t>
            </w:r>
            <w:r>
              <w:t>gender</w:t>
            </w:r>
            <w:r w:rsidRPr="00326DF9">
              <w:t>;</w:t>
            </w:r>
          </w:p>
          <w:p w14:paraId="6B2DC93E" w14:textId="77777777" w:rsidR="00603234" w:rsidRPr="00326DF9" w:rsidRDefault="00603234" w:rsidP="00603234"/>
          <w:p w14:paraId="568E483B" w14:textId="77777777" w:rsidR="00603234" w:rsidRDefault="00603234" w:rsidP="00603234">
            <w:r w:rsidRPr="00326DF9">
              <w:t>Ma</w:t>
            </w:r>
            <w:r>
              <w:t>k</w:t>
            </w:r>
            <w:r w:rsidRPr="00326DF9">
              <w:t>e available (</w:t>
            </w:r>
            <w:r>
              <w:t xml:space="preserve">via </w:t>
            </w:r>
            <w:r w:rsidRPr="00326DF9">
              <w:t>funds and technical expertise) opportunities for building institutional capacit</w:t>
            </w:r>
            <w:r>
              <w:t>y;</w:t>
            </w:r>
            <w:r w:rsidRPr="00326DF9">
              <w:t xml:space="preserve"> </w:t>
            </w:r>
          </w:p>
          <w:p w14:paraId="2B75F140" w14:textId="77777777" w:rsidR="00603234" w:rsidRDefault="00603234" w:rsidP="00603234"/>
          <w:p w14:paraId="74D9606F" w14:textId="66B4FAB7" w:rsidR="00603234" w:rsidRPr="00603234" w:rsidRDefault="00603234" w:rsidP="00603234">
            <w:pPr>
              <w:spacing w:before="40" w:after="120"/>
              <w:ind w:right="113"/>
            </w:pPr>
            <w:r>
              <w:t>U</w:t>
            </w:r>
            <w:r w:rsidRPr="00326DF9">
              <w:t>ndertak</w:t>
            </w:r>
            <w:r>
              <w:t>e</w:t>
            </w:r>
            <w:r w:rsidRPr="00326DF9">
              <w:t xml:space="preserve"> gender-related risk </w:t>
            </w:r>
            <w:r w:rsidRPr="00497AAE">
              <w:t>assessment</w:t>
            </w:r>
            <w:r w:rsidRPr="00326DF9">
              <w:t xml:space="preserve"> or gender </w:t>
            </w:r>
            <w:proofErr w:type="gramStart"/>
            <w:r w:rsidRPr="00326DF9">
              <w:t>analysis</w:t>
            </w:r>
            <w:r>
              <w:t>,</w:t>
            </w:r>
            <w:r w:rsidRPr="00326DF9">
              <w:t xml:space="preserve"> </w:t>
            </w:r>
            <w:r w:rsidRPr="00497AAE">
              <w:t>and</w:t>
            </w:r>
            <w:proofErr w:type="gramEnd"/>
            <w:r w:rsidRPr="00497AAE">
              <w:t xml:space="preserve"> develop</w:t>
            </w:r>
            <w:r w:rsidRPr="00326DF9">
              <w:t xml:space="preserve"> gender-related indicators and logic frameworks for climate projects</w:t>
            </w:r>
            <w:r>
              <w:t>.</w:t>
            </w:r>
          </w:p>
        </w:tc>
      </w:tr>
      <w:tr w:rsidR="00603234" w:rsidRPr="00603234" w14:paraId="7FAF3586" w14:textId="77777777" w:rsidTr="00566486">
        <w:tc>
          <w:tcPr>
            <w:tcW w:w="0" w:type="auto"/>
            <w:shd w:val="clear" w:color="auto" w:fill="auto"/>
          </w:tcPr>
          <w:p w14:paraId="34667369" w14:textId="16DD758F" w:rsidR="00603234" w:rsidRPr="00603234" w:rsidRDefault="00603234" w:rsidP="00603234">
            <w:pPr>
              <w:spacing w:before="40" w:after="120"/>
              <w:ind w:right="113"/>
            </w:pPr>
            <w:r>
              <w:t>C.2.</w:t>
            </w:r>
          </w:p>
        </w:tc>
        <w:tc>
          <w:tcPr>
            <w:tcW w:w="0" w:type="auto"/>
            <w:shd w:val="clear" w:color="auto" w:fill="auto"/>
          </w:tcPr>
          <w:p w14:paraId="2FB7370E" w14:textId="77777777" w:rsidR="00603234" w:rsidRDefault="00603234" w:rsidP="00603234">
            <w:pPr>
              <w:spacing w:before="40" w:after="40" w:line="220" w:lineRule="exact"/>
            </w:pPr>
            <w:r>
              <w:t xml:space="preserve">The secretariat provided capacity-building to the Adaptation Committee, CTCN Advisory Board, CDM Executive Board Committee, PCCB, TEC and SCF. The secretariat is currently preparing training for the other bodies. </w:t>
            </w:r>
          </w:p>
          <w:p w14:paraId="22C7D9D9" w14:textId="77777777" w:rsidR="00603234" w:rsidRDefault="00603234" w:rsidP="00603234">
            <w:pPr>
              <w:spacing w:before="40" w:after="40" w:line="220" w:lineRule="exact"/>
            </w:pPr>
            <w:proofErr w:type="gramStart"/>
            <w:r>
              <w:t>As a result of</w:t>
            </w:r>
            <w:proofErr w:type="gramEnd"/>
            <w:r>
              <w:t xml:space="preserve"> that capacity-building, several constituted bodies have taken specific measures to integrate gender considerations into their work: </w:t>
            </w:r>
          </w:p>
          <w:p w14:paraId="67FD116D" w14:textId="77777777" w:rsidR="00603234" w:rsidRDefault="00603234" w:rsidP="00603234">
            <w:pPr>
              <w:pStyle w:val="ListParagraph"/>
              <w:numPr>
                <w:ilvl w:val="0"/>
                <w:numId w:val="8"/>
              </w:numPr>
              <w:spacing w:before="40" w:after="40" w:line="220" w:lineRule="exact"/>
            </w:pPr>
            <w:r>
              <w:t xml:space="preserve">AC </w:t>
            </w:r>
            <w:r w:rsidRPr="009C7D8C">
              <w:t xml:space="preserve">nominated a gender focal point. In 2019, the AC prepared a </w:t>
            </w:r>
            <w:hyperlink r:id="rId19" w:history="1">
              <w:r w:rsidRPr="003D1078">
                <w:rPr>
                  <w:rStyle w:val="Hyperlink"/>
                </w:rPr>
                <w:t>concept note</w:t>
              </w:r>
            </w:hyperlink>
            <w:r w:rsidRPr="009C7D8C">
              <w:t xml:space="preserve"> assessing how best to incorporate gender considerations into adaptation action and its workplan activities and </w:t>
            </w:r>
            <w:hyperlink r:id="rId20" w:history="1">
              <w:r w:rsidRPr="00705A55">
                <w:rPr>
                  <w:rStyle w:val="Hyperlink"/>
                </w:rPr>
                <w:t>called for submissions</w:t>
              </w:r>
            </w:hyperlink>
            <w:r w:rsidRPr="009C7D8C">
              <w:t xml:space="preserve"> from Parties on how to mainstream gender considerations in national adaptation planning and implementation</w:t>
            </w:r>
            <w:r>
              <w:t>;</w:t>
            </w:r>
            <w:r w:rsidRPr="009C7D8C">
              <w:t xml:space="preserve"> </w:t>
            </w:r>
          </w:p>
          <w:p w14:paraId="72927A41" w14:textId="77777777" w:rsidR="00603234" w:rsidRDefault="00603234" w:rsidP="00603234">
            <w:pPr>
              <w:pStyle w:val="ListParagraph"/>
              <w:numPr>
                <w:ilvl w:val="0"/>
                <w:numId w:val="8"/>
              </w:numPr>
              <w:spacing w:before="40" w:after="40" w:line="220" w:lineRule="exact"/>
            </w:pPr>
            <w:r>
              <w:lastRenderedPageBreak/>
              <w:t xml:space="preserve">The PCCB </w:t>
            </w:r>
            <w:r w:rsidRPr="009C7D8C">
              <w:t xml:space="preserve">has conducted several activities that included discussions on gender, such as a </w:t>
            </w:r>
            <w:hyperlink r:id="rId21" w:history="1">
              <w:r w:rsidRPr="00705A55">
                <w:rPr>
                  <w:rStyle w:val="Hyperlink"/>
                </w:rPr>
                <w:t>capacity-building session</w:t>
              </w:r>
            </w:hyperlink>
            <w:r w:rsidRPr="009C7D8C">
              <w:t xml:space="preserve"> on climate change and human rights in collaboration with the Office of the High Commissioner for Human Rights, where an online training tool was designed; </w:t>
            </w:r>
          </w:p>
          <w:p w14:paraId="786912E2" w14:textId="77777777" w:rsidR="00603234" w:rsidRDefault="00603234" w:rsidP="00603234">
            <w:pPr>
              <w:pStyle w:val="ListParagraph"/>
              <w:numPr>
                <w:ilvl w:val="0"/>
                <w:numId w:val="8"/>
              </w:numPr>
              <w:spacing w:before="40" w:after="40" w:line="220" w:lineRule="exact"/>
            </w:pPr>
            <w:r>
              <w:t>T</w:t>
            </w:r>
            <w:r w:rsidRPr="009C7D8C">
              <w:t xml:space="preserve">he WIM Executive Committee </w:t>
            </w:r>
            <w:r>
              <w:t>i</w:t>
            </w:r>
            <w:r w:rsidRPr="009C7D8C">
              <w:t xml:space="preserve">s considering gender in selecting experts and contributors to activities in its five-year rolling workplan, </w:t>
            </w:r>
            <w:proofErr w:type="gramStart"/>
            <w:r w:rsidRPr="009C7D8C">
              <w:t>taking action</w:t>
            </w:r>
            <w:proofErr w:type="gramEnd"/>
            <w:r w:rsidRPr="009C7D8C">
              <w:t xml:space="preserve"> to address the urgent need for gender-disaggregated data to inform comprehensive risk management approaches, and collaborating with relevant organizations and stakeholders in developing and assimilating gender-related products</w:t>
            </w:r>
            <w:r>
              <w:t>;</w:t>
            </w:r>
          </w:p>
          <w:p w14:paraId="59665437" w14:textId="7206714B" w:rsidR="00603234" w:rsidRPr="00603234" w:rsidRDefault="00603234" w:rsidP="00603234">
            <w:pPr>
              <w:spacing w:before="40" w:after="120"/>
              <w:ind w:right="113"/>
            </w:pPr>
            <w:r>
              <w:t xml:space="preserve">The TEC discussed </w:t>
            </w:r>
            <w:r w:rsidRPr="009C7D8C">
              <w:t>at its 19</w:t>
            </w:r>
            <w:r w:rsidRPr="009C7D8C">
              <w:rPr>
                <w:vertAlign w:val="superscript"/>
              </w:rPr>
              <w:t>th</w:t>
            </w:r>
            <w:r w:rsidRPr="009C7D8C">
              <w:t xml:space="preserve"> meeting </w:t>
            </w:r>
            <w:r>
              <w:t>a</w:t>
            </w:r>
            <w:r w:rsidRPr="009C7D8C">
              <w:t xml:space="preserve"> </w:t>
            </w:r>
            <w:hyperlink r:id="rId22" w:history="1">
              <w:r w:rsidRPr="00201805">
                <w:rPr>
                  <w:rStyle w:val="Hyperlink"/>
                </w:rPr>
                <w:t>concept note</w:t>
              </w:r>
            </w:hyperlink>
            <w:r w:rsidRPr="009C7D8C">
              <w:t xml:space="preserve"> on the linkages between gender and technology development and transfer, </w:t>
            </w:r>
            <w:r>
              <w:t xml:space="preserve">and </w:t>
            </w:r>
            <w:r w:rsidRPr="009C7D8C">
              <w:t>agreed to include gender considerations in its workplan</w:t>
            </w:r>
            <w:r>
              <w:t>;</w:t>
            </w:r>
          </w:p>
        </w:tc>
        <w:tc>
          <w:tcPr>
            <w:tcW w:w="0" w:type="auto"/>
            <w:shd w:val="clear" w:color="auto" w:fill="auto"/>
          </w:tcPr>
          <w:p w14:paraId="48032FD9" w14:textId="77777777" w:rsidR="00603234" w:rsidRPr="00913DA5" w:rsidRDefault="00603234" w:rsidP="00603234">
            <w:pPr>
              <w:spacing w:before="120" w:afterLines="60" w:after="144"/>
            </w:pPr>
            <w:r w:rsidRPr="00913DA5">
              <w:lastRenderedPageBreak/>
              <w:t xml:space="preserve">Continue to provide capacity-building and maintain regular dialogue among the </w:t>
            </w:r>
            <w:r w:rsidRPr="00675756">
              <w:t>constituted bodies on the integration of gender into their work</w:t>
            </w:r>
            <w:r>
              <w:t>;</w:t>
            </w:r>
            <w:r w:rsidRPr="00675756">
              <w:t xml:space="preserve"> </w:t>
            </w:r>
          </w:p>
          <w:p w14:paraId="3D4F6ADA" w14:textId="77777777" w:rsidR="00603234" w:rsidRPr="00913DA5" w:rsidRDefault="00603234" w:rsidP="00603234">
            <w:pPr>
              <w:spacing w:afterLines="60" w:after="144"/>
            </w:pPr>
            <w:r w:rsidRPr="00675756">
              <w:t>Make</w:t>
            </w:r>
            <w:r w:rsidRPr="00913DA5">
              <w:t xml:space="preserve"> information on the gender-related work of the constituted bodies more visible and accessible, such as on the UNFCCC website</w:t>
            </w:r>
            <w:r>
              <w:t>;</w:t>
            </w:r>
          </w:p>
          <w:p w14:paraId="65941C45" w14:textId="77777777" w:rsidR="00D363E8" w:rsidRDefault="00603234" w:rsidP="00D363E8">
            <w:pPr>
              <w:spacing w:before="40" w:after="120"/>
              <w:ind w:right="113"/>
            </w:pPr>
            <w:r w:rsidRPr="00E30F20">
              <w:t>Request the secretariat to organize dialogues with the Chairs of the subsidiary and constituted bodies to exchange views on how to advance the integration of the gender dimension into their respective areas of work and on mee</w:t>
            </w:r>
            <w:r w:rsidR="00D363E8">
              <w:t>ting the goal of gender balance. L</w:t>
            </w:r>
            <w:r w:rsidR="00D363E8" w:rsidRPr="00463675">
              <w:t xml:space="preserve">ink </w:t>
            </w:r>
            <w:r w:rsidR="00D363E8">
              <w:t xml:space="preserve">the </w:t>
            </w:r>
            <w:r w:rsidR="00D363E8" w:rsidRPr="00463675">
              <w:t xml:space="preserve">dialogue with </w:t>
            </w:r>
            <w:r w:rsidR="00D363E8">
              <w:t>the</w:t>
            </w:r>
            <w:r w:rsidR="00D363E8" w:rsidRPr="00463675">
              <w:t xml:space="preserve"> </w:t>
            </w:r>
            <w:r w:rsidR="00D363E8">
              <w:t>c</w:t>
            </w:r>
            <w:r w:rsidR="00D363E8" w:rsidRPr="00463675">
              <w:t xml:space="preserve">hairs of </w:t>
            </w:r>
            <w:r w:rsidR="00D363E8">
              <w:t xml:space="preserve">the </w:t>
            </w:r>
            <w:r w:rsidR="00D363E8" w:rsidRPr="00463675">
              <w:lastRenderedPageBreak/>
              <w:t>constituted bodies to the annual synthesis report on progress</w:t>
            </w:r>
            <w:r w:rsidR="00D363E8">
              <w:t>,</w:t>
            </w:r>
            <w:r w:rsidR="00D363E8" w:rsidRPr="00463675">
              <w:t xml:space="preserve"> and </w:t>
            </w:r>
            <w:r w:rsidR="00D363E8">
              <w:t>establish</w:t>
            </w:r>
            <w:r w:rsidR="00D363E8" w:rsidRPr="00463675">
              <w:t xml:space="preserve"> resources to ensure institutionalized capacity-building for new </w:t>
            </w:r>
            <w:r w:rsidR="00D363E8">
              <w:t xml:space="preserve">body </w:t>
            </w:r>
            <w:r w:rsidR="00D363E8" w:rsidRPr="00463675">
              <w:t>members</w:t>
            </w:r>
            <w:r w:rsidR="00D363E8">
              <w:t>;</w:t>
            </w:r>
          </w:p>
          <w:p w14:paraId="186D24E0" w14:textId="77777777" w:rsidR="00603234" w:rsidRDefault="00603234" w:rsidP="00603234"/>
          <w:p w14:paraId="2E2C5182" w14:textId="77777777" w:rsidR="00603234" w:rsidRPr="00A40D9C" w:rsidRDefault="00603234" w:rsidP="00603234">
            <w:pPr>
              <w:rPr>
                <w:lang w:val="en-US" w:eastAsia="en-US"/>
              </w:rPr>
            </w:pPr>
            <w:r w:rsidRPr="00A40D9C">
              <w:rPr>
                <w:lang w:val="en-US" w:eastAsia="en-US"/>
              </w:rPr>
              <w:t>Request the constituted bodies to report annually on their implementation of gender-related mandates and request the secretariat to prepare a synthesis report thereon;</w:t>
            </w:r>
          </w:p>
          <w:p w14:paraId="753FC18A" w14:textId="77777777" w:rsidR="00603234" w:rsidRDefault="00603234" w:rsidP="00603234"/>
          <w:p w14:paraId="29F0B8C1" w14:textId="77777777" w:rsidR="00603234" w:rsidRDefault="00603234" w:rsidP="00603234">
            <w:r w:rsidRPr="00463675">
              <w:t>Counter the conflation of gender balance and integration of gender considerations</w:t>
            </w:r>
            <w:r>
              <w:t>,</w:t>
            </w:r>
            <w:r w:rsidRPr="00463675">
              <w:t xml:space="preserve"> especially in </w:t>
            </w:r>
            <w:r>
              <w:t xml:space="preserve">relation to the </w:t>
            </w:r>
            <w:r w:rsidRPr="00463675">
              <w:t xml:space="preserve">constituted bodies, </w:t>
            </w:r>
            <w:r>
              <w:t>such</w:t>
            </w:r>
            <w:r w:rsidRPr="00463675">
              <w:t xml:space="preserve"> </w:t>
            </w:r>
            <w:r>
              <w:t xml:space="preserve">as </w:t>
            </w:r>
            <w:r w:rsidRPr="00463675">
              <w:t>through clearer distinction in the formulation of activities and through further training</w:t>
            </w:r>
            <w:r>
              <w:t>;</w:t>
            </w:r>
          </w:p>
          <w:p w14:paraId="12EC9411" w14:textId="77777777" w:rsidR="00603234" w:rsidRPr="007771E5" w:rsidRDefault="00603234" w:rsidP="00603234">
            <w:pPr>
              <w:rPr>
                <w:lang w:val="en-US" w:eastAsia="en-US"/>
              </w:rPr>
            </w:pPr>
          </w:p>
          <w:p w14:paraId="45B9B05A" w14:textId="18F8FC63" w:rsidR="00603234" w:rsidRPr="00603234" w:rsidRDefault="00603234" w:rsidP="00603234">
            <w:pPr>
              <w:spacing w:before="40" w:after="120"/>
              <w:ind w:right="113"/>
            </w:pPr>
            <w:r w:rsidRPr="00E30F20">
              <w:t>Request the constituted bodies to appoint a gender focal point</w:t>
            </w:r>
            <w:r>
              <w:t>.</w:t>
            </w:r>
          </w:p>
        </w:tc>
      </w:tr>
      <w:tr w:rsidR="00603234" w:rsidRPr="00603234" w14:paraId="5F18548C" w14:textId="77777777" w:rsidTr="00566486">
        <w:tc>
          <w:tcPr>
            <w:tcW w:w="0" w:type="auto"/>
            <w:shd w:val="clear" w:color="auto" w:fill="auto"/>
          </w:tcPr>
          <w:p w14:paraId="7FA544CB" w14:textId="1F908057" w:rsidR="00603234" w:rsidRPr="00603234" w:rsidRDefault="00603234" w:rsidP="00603234">
            <w:pPr>
              <w:spacing w:before="40" w:after="120"/>
              <w:ind w:right="113"/>
            </w:pPr>
            <w:r>
              <w:lastRenderedPageBreak/>
              <w:t>C.3.</w:t>
            </w:r>
          </w:p>
        </w:tc>
        <w:tc>
          <w:tcPr>
            <w:tcW w:w="0" w:type="auto"/>
            <w:shd w:val="clear" w:color="auto" w:fill="auto"/>
          </w:tcPr>
          <w:p w14:paraId="024D2E57" w14:textId="7C353A8F" w:rsidR="00603234" w:rsidRPr="00603234" w:rsidRDefault="00603234" w:rsidP="00603234">
            <w:pPr>
              <w:spacing w:before="40" w:after="120"/>
              <w:ind w:right="113"/>
            </w:pPr>
            <w:r w:rsidRPr="00463675">
              <w:t xml:space="preserve">The secretariat is strengthening its collaboration with </w:t>
            </w:r>
            <w:r>
              <w:t>United Nations</w:t>
            </w:r>
            <w:r w:rsidRPr="00463675">
              <w:t xml:space="preserve"> entities </w:t>
            </w:r>
            <w:proofErr w:type="gramStart"/>
            <w:r w:rsidRPr="00463675">
              <w:t>in order to</w:t>
            </w:r>
            <w:proofErr w:type="gramEnd"/>
            <w:r w:rsidRPr="00463675">
              <w:t xml:space="preserve"> mainstream gender considerations in various climate change thematic areas. The secretariat is an active participant in relation to the United Nations System-wide Action Plan on Gender Equality and the Empowerment of Women and the Inter-Agency Network on Women and Gender Equality</w:t>
            </w:r>
            <w:r>
              <w:t>.</w:t>
            </w:r>
          </w:p>
        </w:tc>
        <w:tc>
          <w:tcPr>
            <w:tcW w:w="0" w:type="auto"/>
            <w:shd w:val="clear" w:color="auto" w:fill="auto"/>
          </w:tcPr>
          <w:p w14:paraId="22F71BE3" w14:textId="77777777" w:rsidR="00603234" w:rsidRPr="00913DA5" w:rsidRDefault="00603234" w:rsidP="00603234">
            <w:pPr>
              <w:spacing w:before="120" w:afterLines="60" w:after="144"/>
              <w:rPr>
                <w:lang w:eastAsia="en-US"/>
              </w:rPr>
            </w:pPr>
            <w:r w:rsidRPr="00913DA5">
              <w:rPr>
                <w:lang w:eastAsia="en-US"/>
              </w:rPr>
              <w:t>Request the secretariat to prepare a technical paper and guidance note on gender mainstreaming in global discussions and in all thematic areas taking into consideration aspects of the Paris Agreement</w:t>
            </w:r>
          </w:p>
          <w:p w14:paraId="7CF59699" w14:textId="77777777" w:rsidR="00603234" w:rsidRDefault="00603234" w:rsidP="00603234">
            <w:pPr>
              <w:spacing w:afterLines="60" w:after="144"/>
              <w:rPr>
                <w:lang w:eastAsia="en-US"/>
              </w:rPr>
            </w:pPr>
            <w:r w:rsidRPr="00675756">
              <w:rPr>
                <w:lang w:eastAsia="en-US"/>
              </w:rPr>
              <w:t>Request the secretariat to organize, in cooperation with Parties and interested organizations, a workshop to</w:t>
            </w:r>
            <w:r w:rsidRPr="00E30F20">
              <w:t xml:space="preserve"> review the progress of existing gender mandates and considering options and best practices for enhancing gender equality considerations in existing UNFCCC processes</w:t>
            </w:r>
            <w:r>
              <w:rPr>
                <w:lang w:eastAsia="en-US"/>
              </w:rPr>
              <w:t>;</w:t>
            </w:r>
          </w:p>
          <w:p w14:paraId="749F6231" w14:textId="77777777" w:rsidR="00603234" w:rsidRPr="00913DA5" w:rsidRDefault="00603234" w:rsidP="00603234">
            <w:pPr>
              <w:spacing w:afterLines="60" w:after="144"/>
              <w:rPr>
                <w:lang w:eastAsia="en-US"/>
              </w:rPr>
            </w:pPr>
            <w:r w:rsidRPr="00463675">
              <w:t>Defin</w:t>
            </w:r>
            <w:r>
              <w:t>e</w:t>
            </w:r>
            <w:r w:rsidRPr="00463675">
              <w:t xml:space="preserve"> how further work on gender and climate change delivered by treaty bodies or other agencies can be more visible under the UNFCCC</w:t>
            </w:r>
            <w:r>
              <w:t>;</w:t>
            </w:r>
          </w:p>
          <w:p w14:paraId="65F76631" w14:textId="2186E052" w:rsidR="00603234" w:rsidRPr="00603234" w:rsidRDefault="00603234" w:rsidP="00603234">
            <w:pPr>
              <w:spacing w:before="40" w:after="120"/>
              <w:ind w:right="113"/>
            </w:pPr>
            <w:r w:rsidRPr="00913DA5">
              <w:rPr>
                <w:lang w:eastAsia="en-US"/>
              </w:rPr>
              <w:t>Report on the effects of climate change and gender on the realization of the gender goals under the 2030 Agenda for Sustainable Development</w:t>
            </w:r>
          </w:p>
        </w:tc>
      </w:tr>
      <w:tr w:rsidR="00603234" w:rsidRPr="00603234" w14:paraId="590A25C9" w14:textId="77777777" w:rsidTr="00566486">
        <w:tc>
          <w:tcPr>
            <w:tcW w:w="0" w:type="auto"/>
            <w:shd w:val="clear" w:color="auto" w:fill="auto"/>
          </w:tcPr>
          <w:p w14:paraId="43705B2C" w14:textId="11BB2A1F" w:rsidR="00603234" w:rsidRPr="00603234" w:rsidRDefault="00603234" w:rsidP="00603234">
            <w:pPr>
              <w:spacing w:before="40" w:after="120"/>
              <w:ind w:right="113"/>
            </w:pPr>
            <w:r>
              <w:t>Priority area D</w:t>
            </w:r>
          </w:p>
        </w:tc>
        <w:tc>
          <w:tcPr>
            <w:tcW w:w="0" w:type="auto"/>
            <w:shd w:val="clear" w:color="auto" w:fill="auto"/>
          </w:tcPr>
          <w:p w14:paraId="4866786E" w14:textId="77777777" w:rsidR="00603234" w:rsidRPr="00603234" w:rsidRDefault="00603234" w:rsidP="00603234">
            <w:pPr>
              <w:spacing w:before="40" w:after="120"/>
              <w:ind w:right="113"/>
            </w:pPr>
          </w:p>
        </w:tc>
        <w:tc>
          <w:tcPr>
            <w:tcW w:w="0" w:type="auto"/>
            <w:shd w:val="clear" w:color="auto" w:fill="auto"/>
          </w:tcPr>
          <w:p w14:paraId="4E5880A1" w14:textId="77777777" w:rsidR="00603234" w:rsidRDefault="00603234" w:rsidP="00603234">
            <w:r>
              <w:t xml:space="preserve">Extend the </w:t>
            </w:r>
            <w:r w:rsidRPr="00CC3C90">
              <w:t>scope</w:t>
            </w:r>
            <w:r>
              <w:t xml:space="preserve"> of the priority area</w:t>
            </w:r>
            <w:r w:rsidRPr="00CC3C90">
              <w:t xml:space="preserve"> to better reflect the principle of supporting implem</w:t>
            </w:r>
            <w:r>
              <w:t xml:space="preserve">entation at the national level, identifying </w:t>
            </w:r>
            <w:r w:rsidRPr="00CC3C90">
              <w:t xml:space="preserve">beneficiaries, stakeholders and responsible actors in implementing </w:t>
            </w:r>
            <w:r>
              <w:t>gender-responsive climate action;</w:t>
            </w:r>
          </w:p>
          <w:p w14:paraId="344B8E56" w14:textId="77777777" w:rsidR="00603234" w:rsidRDefault="00603234" w:rsidP="00603234"/>
          <w:p w14:paraId="51A037A8" w14:textId="77777777" w:rsidR="00603234" w:rsidRDefault="00603234" w:rsidP="00603234">
            <w:r w:rsidRPr="00497AAE">
              <w:t>Review and possibly realign or consolidate</w:t>
            </w:r>
            <w:r w:rsidDel="006E0688">
              <w:t xml:space="preserve"> </w:t>
            </w:r>
            <w:r w:rsidRPr="00EB01ED">
              <w:t>priority area</w:t>
            </w:r>
            <w:r>
              <w:t xml:space="preserve"> D with capacity-building (priority area A), </w:t>
            </w:r>
            <w:r w:rsidRPr="00497AAE">
              <w:t>with</w:t>
            </w:r>
            <w:r>
              <w:t xml:space="preserve"> recommendations </w:t>
            </w:r>
            <w:r w:rsidRPr="00497AAE">
              <w:t>including</w:t>
            </w:r>
            <w:r>
              <w:t xml:space="preserve"> to:</w:t>
            </w:r>
          </w:p>
          <w:p w14:paraId="0A840DA3" w14:textId="77777777" w:rsidR="00603234" w:rsidRDefault="00603234" w:rsidP="00603234">
            <w:pPr>
              <w:pStyle w:val="ListParagraph"/>
              <w:numPr>
                <w:ilvl w:val="0"/>
                <w:numId w:val="11"/>
              </w:numPr>
              <w:ind w:left="360"/>
            </w:pPr>
            <w:r>
              <w:t xml:space="preserve">Support </w:t>
            </w:r>
            <w:r w:rsidRPr="00497AAE">
              <w:t>Parties in sharing</w:t>
            </w:r>
            <w:r>
              <w:t xml:space="preserve"> knowledge </w:t>
            </w:r>
            <w:r w:rsidRPr="00F1018E">
              <w:t xml:space="preserve">and experience </w:t>
            </w:r>
            <w:r w:rsidRPr="00497AAE">
              <w:t>of</w:t>
            </w:r>
            <w:r w:rsidRPr="00F1018E">
              <w:t xml:space="preserve"> gender-responsive implementation of the Paris Agreeme</w:t>
            </w:r>
            <w:r>
              <w:t xml:space="preserve">nt; </w:t>
            </w:r>
          </w:p>
          <w:p w14:paraId="070BE562" w14:textId="77777777" w:rsidR="00603234" w:rsidRPr="00CC3C90" w:rsidRDefault="00603234" w:rsidP="00603234">
            <w:pPr>
              <w:pStyle w:val="ListParagraph"/>
              <w:numPr>
                <w:ilvl w:val="0"/>
                <w:numId w:val="11"/>
              </w:numPr>
              <w:ind w:left="360"/>
            </w:pPr>
            <w:r w:rsidRPr="00CC3C90">
              <w:t>Provid</w:t>
            </w:r>
            <w:r>
              <w:t>e</w:t>
            </w:r>
            <w:r w:rsidRPr="00CC3C90">
              <w:t xml:space="preserve"> technical support to less developed communities for them to access channels of finance, or </w:t>
            </w:r>
            <w:r w:rsidRPr="00497AAE">
              <w:t>tailor</w:t>
            </w:r>
            <w:r w:rsidRPr="00CC3C90">
              <w:t xml:space="preserve"> the procedural structure of climate finance to be inclusive of all beneficiaries, especially women’s groups and organizations;</w:t>
            </w:r>
          </w:p>
          <w:p w14:paraId="6E6B98CC" w14:textId="77777777" w:rsidR="00603234" w:rsidRDefault="00603234" w:rsidP="00603234">
            <w:pPr>
              <w:pStyle w:val="ListParagraph"/>
              <w:numPr>
                <w:ilvl w:val="0"/>
                <w:numId w:val="11"/>
              </w:numPr>
              <w:ind w:left="360"/>
            </w:pPr>
            <w:r w:rsidRPr="00CC3C90">
              <w:lastRenderedPageBreak/>
              <w:t>Provid</w:t>
            </w:r>
            <w:r>
              <w:t>e</w:t>
            </w:r>
            <w:r w:rsidRPr="00CC3C90">
              <w:t xml:space="preserve"> an overview of available technical assistance for gender-respons</w:t>
            </w:r>
            <w:r>
              <w:t xml:space="preserve">ive climate action and </w:t>
            </w:r>
            <w:r w:rsidRPr="00497AAE">
              <w:t>policy</w:t>
            </w:r>
            <w:r>
              <w:t>, and vice versa, and assess</w:t>
            </w:r>
            <w:r w:rsidRPr="00CC3C90">
              <w:t xml:space="preserve"> the technic</w:t>
            </w:r>
            <w:r>
              <w:t>al assistance that is required;</w:t>
            </w:r>
          </w:p>
          <w:p w14:paraId="30D1ACCB" w14:textId="77777777" w:rsidR="00603234" w:rsidRDefault="00603234" w:rsidP="00603234">
            <w:pPr>
              <w:pStyle w:val="ListParagraph"/>
              <w:numPr>
                <w:ilvl w:val="0"/>
                <w:numId w:val="11"/>
              </w:numPr>
              <w:ind w:left="360"/>
            </w:pPr>
            <w:r w:rsidRPr="00913DA5">
              <w:rPr>
                <w:lang w:eastAsia="en-US"/>
              </w:rPr>
              <w:t>Develop a community of practice and knowledge hubs to provide technical advice to Parties to accelerate their implementation of gender-responsive national initiatives</w:t>
            </w:r>
          </w:p>
          <w:p w14:paraId="76DEA3C3" w14:textId="77777777" w:rsidR="00603234" w:rsidRPr="00CC3C90" w:rsidRDefault="00603234" w:rsidP="00603234">
            <w:pPr>
              <w:pStyle w:val="ListParagraph"/>
              <w:numPr>
                <w:ilvl w:val="0"/>
                <w:numId w:val="11"/>
              </w:numPr>
              <w:ind w:left="360"/>
            </w:pPr>
            <w:r w:rsidRPr="00497AAE">
              <w:t>Create</w:t>
            </w:r>
            <w:r w:rsidRPr="00CC3C90">
              <w:t xml:space="preserve"> a database of local and regional gender experts and experts versed in the respective languages, cultural settings and gender and climate change who can provide capacity-building </w:t>
            </w:r>
            <w:r w:rsidRPr="00497AAE">
              <w:t>and</w:t>
            </w:r>
            <w:r w:rsidRPr="00CC3C90">
              <w:t xml:space="preserve"> technical support</w:t>
            </w:r>
            <w:r>
              <w:t>;</w:t>
            </w:r>
          </w:p>
          <w:p w14:paraId="563D5CA2" w14:textId="77777777" w:rsidR="00603234" w:rsidRDefault="00603234" w:rsidP="00603234">
            <w:pPr>
              <w:pStyle w:val="ListParagraph"/>
              <w:numPr>
                <w:ilvl w:val="0"/>
                <w:numId w:val="11"/>
              </w:numPr>
              <w:ind w:left="360"/>
            </w:pPr>
            <w:r w:rsidRPr="00675756">
              <w:rPr>
                <w:lang w:eastAsia="en-US"/>
              </w:rPr>
              <w:t xml:space="preserve">Share knowledge on the integration of </w:t>
            </w:r>
            <w:r w:rsidRPr="00913DA5">
              <w:rPr>
                <w:lang w:eastAsia="en-US"/>
              </w:rPr>
              <w:t>gender into NDCs (results, impacts achieved, main challenges)</w:t>
            </w:r>
          </w:p>
          <w:p w14:paraId="0B17A92B" w14:textId="659AC681" w:rsidR="00603234" w:rsidRDefault="00603234" w:rsidP="00603234">
            <w:pPr>
              <w:pStyle w:val="ListParagraph"/>
              <w:numPr>
                <w:ilvl w:val="0"/>
                <w:numId w:val="11"/>
              </w:numPr>
              <w:ind w:left="360"/>
            </w:pPr>
            <w:r>
              <w:t xml:space="preserve">Share best practices in, and </w:t>
            </w:r>
            <w:r w:rsidR="00E320EB">
              <w:t>challenges to, creating policies</w:t>
            </w:r>
            <w:r>
              <w:t xml:space="preserve"> and programmes that help women to secure jobs in their local economies given ongoing energy and environmental transition, particularly in relation to industries more vulnerable to the effects of climate change;</w:t>
            </w:r>
          </w:p>
          <w:p w14:paraId="25C182D5" w14:textId="77777777" w:rsidR="00603234" w:rsidRDefault="00603234" w:rsidP="00603234">
            <w:pPr>
              <w:pStyle w:val="ListParagraph"/>
              <w:numPr>
                <w:ilvl w:val="0"/>
                <w:numId w:val="11"/>
              </w:numPr>
              <w:ind w:left="360"/>
            </w:pPr>
            <w:r w:rsidRPr="00913DA5">
              <w:t xml:space="preserve">Identify and systematize </w:t>
            </w:r>
            <w:proofErr w:type="spellStart"/>
            <w:r w:rsidRPr="00497AAE">
              <w:t>upscalable</w:t>
            </w:r>
            <w:proofErr w:type="spellEnd"/>
            <w:r w:rsidRPr="00913DA5">
              <w:t xml:space="preserve"> and replicable gender-responsive projects and </w:t>
            </w:r>
            <w:r w:rsidRPr="00497AAE">
              <w:t>technologies;</w:t>
            </w:r>
            <w:r>
              <w:t xml:space="preserve"> </w:t>
            </w:r>
          </w:p>
          <w:p w14:paraId="0BC4DF4D" w14:textId="77777777" w:rsidR="00603234" w:rsidRDefault="00603234" w:rsidP="00603234">
            <w:pPr>
              <w:pStyle w:val="ListParagraph"/>
              <w:numPr>
                <w:ilvl w:val="0"/>
                <w:numId w:val="11"/>
              </w:numPr>
              <w:ind w:left="360"/>
            </w:pPr>
            <w:r w:rsidRPr="00CC3C90">
              <w:t>Track the progress and impact of capacity-building to showcase the results;</w:t>
            </w:r>
          </w:p>
          <w:p w14:paraId="1AB7501C" w14:textId="77777777" w:rsidR="00603234" w:rsidRPr="00CC3C90" w:rsidRDefault="00603234" w:rsidP="00603234">
            <w:pPr>
              <w:pStyle w:val="ListParagraph"/>
              <w:ind w:left="360"/>
            </w:pPr>
          </w:p>
          <w:p w14:paraId="0589126D" w14:textId="77777777" w:rsidR="00603234" w:rsidRPr="00F83757" w:rsidRDefault="00603234" w:rsidP="00603234">
            <w:pPr>
              <w:rPr>
                <w:lang w:val="en-US" w:eastAsia="en-US"/>
              </w:rPr>
            </w:pPr>
            <w:r w:rsidRPr="00F83757">
              <w:rPr>
                <w:lang w:val="en-US" w:eastAsia="en-US"/>
              </w:rPr>
              <w:t>Reinforce reporting as</w:t>
            </w:r>
            <w:r w:rsidRPr="00F83757" w:rsidDel="00EB01ED">
              <w:rPr>
                <w:lang w:val="en-US" w:eastAsia="en-US"/>
              </w:rPr>
              <w:t xml:space="preserve"> </w:t>
            </w:r>
            <w:r w:rsidRPr="00F83757">
              <w:rPr>
                <w:lang w:val="en-US" w:eastAsia="en-US"/>
              </w:rPr>
              <w:t xml:space="preserve">key to strengthening implementation, including by: </w:t>
            </w:r>
          </w:p>
          <w:p w14:paraId="76948150" w14:textId="77777777" w:rsidR="00603234" w:rsidRPr="0071398B" w:rsidRDefault="00603234" w:rsidP="00603234">
            <w:pPr>
              <w:pStyle w:val="ListParagraph"/>
              <w:numPr>
                <w:ilvl w:val="0"/>
                <w:numId w:val="12"/>
              </w:numPr>
              <w:ind w:left="360"/>
            </w:pPr>
            <w:r w:rsidRPr="009D75AB">
              <w:t>Report</w:t>
            </w:r>
            <w:r>
              <w:t>ing</w:t>
            </w:r>
            <w:r w:rsidRPr="009D75AB">
              <w:t xml:space="preserve"> on gender-responsiveness and the recognition of traditional </w:t>
            </w:r>
            <w:r w:rsidRPr="0071398B">
              <w:t>knowledge when reporting on adaptation programmes;</w:t>
            </w:r>
          </w:p>
          <w:p w14:paraId="3A31D03A" w14:textId="77777777" w:rsidR="00603234" w:rsidRPr="0071398B" w:rsidRDefault="00603234" w:rsidP="00603234">
            <w:pPr>
              <w:pStyle w:val="ListParagraph"/>
              <w:numPr>
                <w:ilvl w:val="0"/>
                <w:numId w:val="12"/>
              </w:numPr>
              <w:ind w:left="360"/>
            </w:pPr>
            <w:r w:rsidRPr="00497AAE">
              <w:t>Measuring, publicizing</w:t>
            </w:r>
            <w:r w:rsidRPr="0071398B">
              <w:t xml:space="preserve"> (for transparency and accountability) and progressively </w:t>
            </w:r>
            <w:r w:rsidRPr="00497AAE">
              <w:t>increasing</w:t>
            </w:r>
            <w:r w:rsidRPr="0071398B">
              <w:t xml:space="preserve"> the funds available for gender-responsive projects at the national and international level;</w:t>
            </w:r>
          </w:p>
          <w:p w14:paraId="240E05C8" w14:textId="77777777" w:rsidR="00603234" w:rsidRDefault="00603234" w:rsidP="00603234">
            <w:pPr>
              <w:pStyle w:val="ListParagraph"/>
              <w:numPr>
                <w:ilvl w:val="0"/>
                <w:numId w:val="12"/>
              </w:numPr>
              <w:ind w:left="360"/>
            </w:pPr>
            <w:r w:rsidRPr="0071398B">
              <w:t>Track</w:t>
            </w:r>
            <w:r>
              <w:t>ing</w:t>
            </w:r>
            <w:r w:rsidRPr="0071398B">
              <w:t xml:space="preserve"> and assess</w:t>
            </w:r>
            <w:r>
              <w:t>ing</w:t>
            </w:r>
            <w:r w:rsidRPr="0071398B">
              <w:t xml:space="preserve"> the impact of climate finance on the enhancement of women’s lives through climate action</w:t>
            </w:r>
            <w:r w:rsidRPr="00497AAE">
              <w:t>.</w:t>
            </w:r>
          </w:p>
          <w:p w14:paraId="490092C9" w14:textId="77777777" w:rsidR="00603234" w:rsidRPr="006A1496" w:rsidRDefault="00603234" w:rsidP="00603234">
            <w:pPr>
              <w:pStyle w:val="ListParagraph"/>
              <w:numPr>
                <w:ilvl w:val="0"/>
                <w:numId w:val="12"/>
              </w:numPr>
              <w:ind w:left="360"/>
            </w:pPr>
            <w:r w:rsidRPr="006A1496">
              <w:rPr>
                <w:lang w:val="en-US" w:eastAsia="en-US"/>
              </w:rPr>
              <w:t>Invite Parties to track progress and share knowledge</w:t>
            </w:r>
            <w:r w:rsidRPr="006A1496" w:rsidDel="0092043F">
              <w:rPr>
                <w:lang w:val="en-US" w:eastAsia="en-US"/>
              </w:rPr>
              <w:t xml:space="preserve"> </w:t>
            </w:r>
            <w:r w:rsidRPr="006A1496">
              <w:rPr>
                <w:lang w:val="en-US" w:eastAsia="en-US"/>
              </w:rPr>
              <w:t xml:space="preserve">in the adoption and implementation of gender-responsive climate change action plans, policies or strategies, via their regular reporting (e.g. in terms of percentage of climate-related </w:t>
            </w:r>
            <w:proofErr w:type="spellStart"/>
            <w:r w:rsidRPr="006A1496">
              <w:rPr>
                <w:lang w:val="en-US" w:eastAsia="en-US"/>
              </w:rPr>
              <w:t>programmes</w:t>
            </w:r>
            <w:proofErr w:type="spellEnd"/>
            <w:r w:rsidRPr="006A1496">
              <w:rPr>
                <w:lang w:val="en-US" w:eastAsia="en-US"/>
              </w:rPr>
              <w:t xml:space="preserve"> that incorporate gender considerations);</w:t>
            </w:r>
          </w:p>
          <w:p w14:paraId="360C0DA6" w14:textId="77777777" w:rsidR="00603234" w:rsidRDefault="00603234" w:rsidP="00603234">
            <w:pPr>
              <w:rPr>
                <w:lang w:eastAsia="en-US"/>
              </w:rPr>
            </w:pPr>
          </w:p>
          <w:p w14:paraId="077470F9" w14:textId="71669A4C" w:rsidR="00603234" w:rsidRDefault="00603234" w:rsidP="00603234">
            <w:pPr>
              <w:rPr>
                <w:lang w:val="en-US" w:eastAsia="en-US"/>
              </w:rPr>
            </w:pPr>
            <w:r w:rsidRPr="00F83757">
              <w:rPr>
                <w:lang w:val="en-US" w:eastAsia="en-US"/>
              </w:rPr>
              <w:t xml:space="preserve">Invite Parties to implement saving and revenue measures from fossil fuel subsidy reform and reallocate the government funds to benefit gender-responsive climate projects; </w:t>
            </w:r>
          </w:p>
          <w:p w14:paraId="083A5A03" w14:textId="77777777" w:rsidR="009373BD" w:rsidRPr="00F83757" w:rsidRDefault="009373BD" w:rsidP="00603234">
            <w:pPr>
              <w:rPr>
                <w:lang w:val="en-US" w:eastAsia="en-US"/>
              </w:rPr>
            </w:pPr>
          </w:p>
          <w:p w14:paraId="32C958F6" w14:textId="68F67A60" w:rsidR="009373BD" w:rsidRPr="009373BD" w:rsidRDefault="009373BD" w:rsidP="009373BD">
            <w:pPr>
              <w:pStyle w:val="Default"/>
              <w:rPr>
                <w:rFonts w:ascii="Times New Roman" w:eastAsia="SimSun" w:hAnsi="Times New Roman" w:cs="Times New Roman"/>
                <w:color w:val="auto"/>
                <w:sz w:val="20"/>
                <w:szCs w:val="20"/>
              </w:rPr>
            </w:pPr>
            <w:r>
              <w:rPr>
                <w:rFonts w:ascii="Times New Roman" w:eastAsia="SimSun" w:hAnsi="Times New Roman" w:cs="Times New Roman"/>
                <w:color w:val="auto"/>
                <w:sz w:val="20"/>
                <w:szCs w:val="20"/>
              </w:rPr>
              <w:t>Invite Parties</w:t>
            </w:r>
            <w:r w:rsidRPr="009373BD">
              <w:rPr>
                <w:rFonts w:ascii="Times New Roman" w:eastAsia="SimSun" w:hAnsi="Times New Roman" w:cs="Times New Roman"/>
                <w:color w:val="auto"/>
                <w:sz w:val="20"/>
                <w:szCs w:val="20"/>
              </w:rPr>
              <w:t xml:space="preserve"> to accelerate implementation of their NDCs and formulation of long-term low greenhouse gas emission development strategies, </w:t>
            </w:r>
            <w:r>
              <w:rPr>
                <w:rFonts w:ascii="Times New Roman" w:eastAsia="SimSun" w:hAnsi="Times New Roman" w:cs="Times New Roman"/>
                <w:color w:val="auto"/>
                <w:sz w:val="20"/>
                <w:szCs w:val="20"/>
              </w:rPr>
              <w:t>and</w:t>
            </w:r>
            <w:r w:rsidRPr="009373BD">
              <w:rPr>
                <w:rFonts w:ascii="Times New Roman" w:eastAsia="SimSun" w:hAnsi="Times New Roman" w:cs="Times New Roman"/>
                <w:color w:val="auto"/>
                <w:sz w:val="20"/>
                <w:szCs w:val="20"/>
              </w:rPr>
              <w:t xml:space="preserve"> promot</w:t>
            </w:r>
            <w:r>
              <w:rPr>
                <w:rFonts w:ascii="Times New Roman" w:eastAsia="SimSun" w:hAnsi="Times New Roman" w:cs="Times New Roman"/>
                <w:color w:val="auto"/>
                <w:sz w:val="20"/>
                <w:szCs w:val="20"/>
              </w:rPr>
              <w:t>e</w:t>
            </w:r>
            <w:r w:rsidRPr="009373BD">
              <w:rPr>
                <w:rFonts w:ascii="Times New Roman" w:eastAsia="SimSun" w:hAnsi="Times New Roman" w:cs="Times New Roman"/>
                <w:color w:val="auto"/>
                <w:sz w:val="20"/>
                <w:szCs w:val="20"/>
              </w:rPr>
              <w:t xml:space="preserve"> </w:t>
            </w:r>
            <w:r w:rsidRPr="009373BD">
              <w:rPr>
                <w:rFonts w:ascii="Times New Roman" w:eastAsia="SimSun" w:hAnsi="Times New Roman" w:cs="Times New Roman"/>
                <w:color w:val="auto"/>
                <w:sz w:val="20"/>
                <w:szCs w:val="20"/>
              </w:rPr>
              <w:lastRenderedPageBreak/>
              <w:t>the integration of gender considerations and an articulation of the role of National Gender</w:t>
            </w:r>
            <w:r>
              <w:rPr>
                <w:rFonts w:ascii="Times New Roman" w:eastAsia="SimSun" w:hAnsi="Times New Roman" w:cs="Times New Roman"/>
                <w:color w:val="auto"/>
                <w:sz w:val="20"/>
                <w:szCs w:val="20"/>
              </w:rPr>
              <w:t xml:space="preserve"> Focal Points;</w:t>
            </w:r>
          </w:p>
          <w:p w14:paraId="191EC7DE" w14:textId="77777777" w:rsidR="00603234" w:rsidRPr="00675756" w:rsidRDefault="00603234" w:rsidP="00603234">
            <w:pPr>
              <w:rPr>
                <w:lang w:eastAsia="en-US"/>
              </w:rPr>
            </w:pPr>
          </w:p>
          <w:p w14:paraId="4CE64718" w14:textId="1B6A0FE7" w:rsidR="00603234" w:rsidRDefault="00603234" w:rsidP="00603234">
            <w:pPr>
              <w:rPr>
                <w:lang w:val="en-US" w:eastAsia="en-US"/>
              </w:rPr>
            </w:pPr>
            <w:r w:rsidRPr="00F83757">
              <w:rPr>
                <w:lang w:val="en-US" w:eastAsia="en-US"/>
              </w:rPr>
              <w:t xml:space="preserve">Encourage Parties and relevant organizations and stakeholders to integrate gender equality across climate change funding </w:t>
            </w:r>
            <w:proofErr w:type="spellStart"/>
            <w:r w:rsidRPr="00F83757">
              <w:rPr>
                <w:lang w:val="en-US" w:eastAsia="en-US"/>
              </w:rPr>
              <w:t>programmes</w:t>
            </w:r>
            <w:proofErr w:type="spellEnd"/>
            <w:r w:rsidRPr="00F83757">
              <w:rPr>
                <w:lang w:val="en-US" w:eastAsia="en-US"/>
              </w:rPr>
              <w:t xml:space="preserve"> and climate policy, for example by using existing methodologies (e.g. OECD gender equality indicators</w:t>
            </w:r>
            <w:r w:rsidR="00D97D13">
              <w:rPr>
                <w:lang w:val="en-US" w:eastAsia="en-US"/>
              </w:rPr>
              <w:t xml:space="preserve">, WECF </w:t>
            </w:r>
            <w:r w:rsidR="00D97D13">
              <w:t>Gender Impact and Monitoring Tool</w:t>
            </w:r>
            <w:r w:rsidRPr="00F83757">
              <w:rPr>
                <w:lang w:val="en-US" w:eastAsia="en-US"/>
              </w:rPr>
              <w:t>);</w:t>
            </w:r>
          </w:p>
          <w:p w14:paraId="39424D71" w14:textId="77777777" w:rsidR="00603234" w:rsidRPr="00F83757" w:rsidRDefault="00603234" w:rsidP="00603234">
            <w:pPr>
              <w:rPr>
                <w:lang w:val="en-US" w:eastAsia="en-US"/>
              </w:rPr>
            </w:pPr>
          </w:p>
          <w:p w14:paraId="3FA1CD34" w14:textId="77777777" w:rsidR="00603234" w:rsidRDefault="00603234" w:rsidP="00603234">
            <w:pPr>
              <w:rPr>
                <w:lang w:val="en-US" w:eastAsia="en-US"/>
              </w:rPr>
            </w:pPr>
            <w:r w:rsidRPr="00F83757">
              <w:rPr>
                <w:lang w:val="en-US" w:eastAsia="en-US"/>
              </w:rPr>
              <w:t>Invite Parties, donors and non-Party stakeholders to promote and enhance innovative tools that demonstrate and measure the transformative power of women’s and girls’ leadership in modifying patterns of consumption to reduce carbon emissions;</w:t>
            </w:r>
          </w:p>
          <w:p w14:paraId="3D4A25F9" w14:textId="77777777" w:rsidR="00603234" w:rsidRPr="00F83757" w:rsidRDefault="00603234" w:rsidP="00603234">
            <w:pPr>
              <w:rPr>
                <w:lang w:val="en-US" w:eastAsia="en-US"/>
              </w:rPr>
            </w:pPr>
          </w:p>
          <w:p w14:paraId="609F9261" w14:textId="77777777" w:rsidR="00603234" w:rsidRDefault="00603234" w:rsidP="00603234">
            <w:pPr>
              <w:rPr>
                <w:lang w:val="en-US" w:eastAsia="en-US"/>
              </w:rPr>
            </w:pPr>
            <w:r w:rsidRPr="00F83757">
              <w:rPr>
                <w:lang w:val="en-US" w:eastAsia="en-US"/>
              </w:rPr>
              <w:t>Encourage Parties, donors and non-Party stakeholders to support and promote initiatives that foster women’s and girls’ full participation and leadership in mitigation and adaptation measures, including in science, technology, research and development;</w:t>
            </w:r>
          </w:p>
          <w:p w14:paraId="64BF73AB" w14:textId="77777777" w:rsidR="00603234" w:rsidRPr="00F83757" w:rsidRDefault="00603234" w:rsidP="00603234">
            <w:pPr>
              <w:rPr>
                <w:lang w:val="en-US" w:eastAsia="en-US"/>
              </w:rPr>
            </w:pPr>
          </w:p>
          <w:p w14:paraId="1FC55E8F" w14:textId="087D1121" w:rsidR="00603234" w:rsidRDefault="00603234" w:rsidP="00603234">
            <w:pPr>
              <w:rPr>
                <w:lang w:val="en-US" w:eastAsia="en-US"/>
              </w:rPr>
            </w:pPr>
            <w:r w:rsidRPr="00F83757">
              <w:rPr>
                <w:lang w:val="en-US" w:eastAsia="en-US"/>
              </w:rPr>
              <w:t>Invite Parties, donors and observers to commit to and support the Secretary-General’s Climate Action Summit initiative on climate action that contributes to gender equality and the empowerment of women and girls;</w:t>
            </w:r>
          </w:p>
          <w:p w14:paraId="4106D34A" w14:textId="77777777" w:rsidR="009373BD" w:rsidRDefault="009373BD" w:rsidP="00603234">
            <w:pPr>
              <w:rPr>
                <w:lang w:val="en-US" w:eastAsia="en-US"/>
              </w:rPr>
            </w:pPr>
          </w:p>
          <w:p w14:paraId="516DA049" w14:textId="762560F5" w:rsidR="00603234" w:rsidRDefault="00603234" w:rsidP="00603234">
            <w:r w:rsidRPr="00E30F20">
              <w:t>Request United Nations entities and other development partners to support Parties in carrying out gender analysis in the context of climate change;</w:t>
            </w:r>
          </w:p>
          <w:p w14:paraId="13058FB7" w14:textId="57672AEF" w:rsidR="005D10A9" w:rsidRDefault="005D10A9" w:rsidP="00603234"/>
          <w:p w14:paraId="4443E6BA" w14:textId="77777777" w:rsidR="009373BD" w:rsidRDefault="009373BD" w:rsidP="009373BD">
            <w:pPr>
              <w:rPr>
                <w:lang w:val="en-US" w:eastAsia="en-US"/>
              </w:rPr>
            </w:pPr>
            <w:r w:rsidRPr="00F83757">
              <w:rPr>
                <w:lang w:val="en-US" w:eastAsia="en-US"/>
              </w:rPr>
              <w:t xml:space="preserve">Request UN Women, in alliance with Parties and organizations, to develop a community of practice and knowledge hubs (i.e. on transport, renewables, REDD+, landscape restoration, urbanism) to provide technical advice and build the capacity of Parties to accelerate gender-responsive national initiatives, </w:t>
            </w:r>
            <w:proofErr w:type="spellStart"/>
            <w:r w:rsidRPr="00F83757">
              <w:rPr>
                <w:lang w:val="en-US" w:eastAsia="en-US"/>
              </w:rPr>
              <w:t>programmes</w:t>
            </w:r>
            <w:proofErr w:type="spellEnd"/>
            <w:r w:rsidRPr="00F83757">
              <w:rPr>
                <w:lang w:val="en-US" w:eastAsia="en-US"/>
              </w:rPr>
              <w:t xml:space="preserve"> and projects;</w:t>
            </w:r>
          </w:p>
          <w:p w14:paraId="7BF74B3A" w14:textId="77777777" w:rsidR="009373BD" w:rsidRPr="00F83757" w:rsidRDefault="009373BD" w:rsidP="009373BD">
            <w:pPr>
              <w:rPr>
                <w:lang w:val="en-US" w:eastAsia="en-US"/>
              </w:rPr>
            </w:pPr>
          </w:p>
          <w:p w14:paraId="590DF238" w14:textId="77777777" w:rsidR="009373BD" w:rsidRDefault="009373BD" w:rsidP="009373BD">
            <w:pPr>
              <w:rPr>
                <w:lang w:val="en-US" w:eastAsia="en-US"/>
              </w:rPr>
            </w:pPr>
            <w:r w:rsidRPr="00F83757">
              <w:rPr>
                <w:lang w:val="en-US" w:eastAsia="en-US"/>
              </w:rPr>
              <w:t>Request the IPCC to develop a gender policy and implementation plan, providing objectives and goals, means of action, and ways of monitoring the development of gender balance and treatment of gender-related issues at the IPCC;</w:t>
            </w:r>
          </w:p>
          <w:p w14:paraId="07123BD1" w14:textId="77777777" w:rsidR="009373BD" w:rsidRPr="00F83757" w:rsidRDefault="009373BD" w:rsidP="009373BD">
            <w:pPr>
              <w:rPr>
                <w:lang w:val="en-US" w:eastAsia="en-US"/>
              </w:rPr>
            </w:pPr>
          </w:p>
          <w:p w14:paraId="618D82DC" w14:textId="0CE22C22" w:rsidR="009373BD" w:rsidRDefault="009373BD" w:rsidP="009373BD">
            <w:pPr>
              <w:rPr>
                <w:lang w:val="en-US" w:eastAsia="en-US"/>
              </w:rPr>
            </w:pPr>
            <w:r w:rsidRPr="00F83757">
              <w:rPr>
                <w:lang w:val="en-US" w:eastAsia="en-US"/>
              </w:rPr>
              <w:t xml:space="preserve">Invite Parties to hold finance fairs, at the local or national level, with climate experts and funds, including domestic funds, to exchange information on climate finance, and enhance the capacity of women’s groups related to developing proposals and implementing projects and </w:t>
            </w:r>
            <w:proofErr w:type="spellStart"/>
            <w:r w:rsidRPr="00F83757">
              <w:rPr>
                <w:lang w:val="en-US" w:eastAsia="en-US"/>
              </w:rPr>
              <w:t>programmes</w:t>
            </w:r>
            <w:proofErr w:type="spellEnd"/>
            <w:r w:rsidRPr="00F83757">
              <w:rPr>
                <w:lang w:val="en-US" w:eastAsia="en-US"/>
              </w:rPr>
              <w:t xml:space="preserve">; </w:t>
            </w:r>
          </w:p>
          <w:p w14:paraId="5BC3D1A4" w14:textId="77777777" w:rsidR="009373BD" w:rsidRDefault="009373BD" w:rsidP="009373BD">
            <w:pPr>
              <w:rPr>
                <w:lang w:val="en-US" w:eastAsia="en-US"/>
              </w:rPr>
            </w:pPr>
          </w:p>
          <w:p w14:paraId="6876A9AB" w14:textId="77777777" w:rsidR="005D10A9" w:rsidRDefault="005D10A9" w:rsidP="005D10A9">
            <w:r w:rsidRPr="00E30F20">
              <w:t>Identify more gender-responsive technologies, and feed the knowledge of indigenous peoples and local communities into the annual</w:t>
            </w:r>
            <w:r w:rsidRPr="00E30F20" w:rsidDel="0092043F">
              <w:t xml:space="preserve"> </w:t>
            </w:r>
            <w:r w:rsidRPr="00E30F20">
              <w:t>report of the TEC;</w:t>
            </w:r>
          </w:p>
          <w:p w14:paraId="794B737A" w14:textId="40D74087" w:rsidR="006D3EE7" w:rsidRDefault="006D3EE7" w:rsidP="00603234">
            <w:pPr>
              <w:spacing w:before="120" w:afterLines="60" w:after="144"/>
            </w:pPr>
            <w:r>
              <w:t>Facilitate the implementation of a collaborative technology transfer scheme between developed and developing countries, that consistently ensures that implementers are gender-responsive;</w:t>
            </w:r>
          </w:p>
          <w:p w14:paraId="1CD34872" w14:textId="4AB1393E" w:rsidR="006D3EE7" w:rsidRDefault="006D3EE7" w:rsidP="00603234">
            <w:pPr>
              <w:spacing w:before="120" w:afterLines="60" w:after="144"/>
            </w:pPr>
            <w:r>
              <w:t>Request the TEC to identify up-scalable and replicable projects with gender responsive technology integration, including from good and best practices (such as award schemes) of grassroots women’s climate projects, in cooperation with CTCN, the Women and Gender Constituency and other relevant stakeholders;</w:t>
            </w:r>
          </w:p>
          <w:p w14:paraId="0BEDD0D3" w14:textId="15FCC5C5" w:rsidR="006D3EE7" w:rsidRDefault="006D3EE7" w:rsidP="00603234">
            <w:pPr>
              <w:spacing w:before="120" w:afterLines="60" w:after="144"/>
            </w:pPr>
            <w:r>
              <w:t xml:space="preserve">Request the TEC to develop a policy brief on gender and technologies, </w:t>
            </w:r>
          </w:p>
          <w:p w14:paraId="1D3BDEE0" w14:textId="18FDF6E3" w:rsidR="00460DC3" w:rsidRDefault="00460DC3" w:rsidP="00603234">
            <w:pPr>
              <w:spacing w:before="120" w:afterLines="60" w:after="144"/>
            </w:pPr>
            <w:r>
              <w:t xml:space="preserve">Enhance TEC and CTCN internal training on gender tools and gender strategies and the assessment of all conducted TA’s and capacity building missions; </w:t>
            </w:r>
          </w:p>
          <w:p w14:paraId="20FC9C16" w14:textId="77777777" w:rsidR="00460DC3" w:rsidRDefault="00460DC3" w:rsidP="00460DC3">
            <w:r w:rsidRPr="00391A6B">
              <w:t xml:space="preserve">Foster cooperation between the CTCN and women-focused science-technology organizations operating at the national level to support implementation of national gender-responsive </w:t>
            </w:r>
            <w:r w:rsidRPr="00463675">
              <w:t>polic</w:t>
            </w:r>
            <w:r>
              <w:t>y;</w:t>
            </w:r>
          </w:p>
          <w:p w14:paraId="75AAFCCA" w14:textId="203DAE11" w:rsidR="00603234" w:rsidRPr="00757E1C" w:rsidRDefault="00603234" w:rsidP="00603234">
            <w:pPr>
              <w:spacing w:before="120" w:afterLines="60" w:after="144"/>
            </w:pPr>
            <w:r w:rsidRPr="00757E1C">
              <w:t>Promote the inclusion of gender budgeting in the process of NDC implementation;</w:t>
            </w:r>
          </w:p>
          <w:p w14:paraId="3BB0BD48" w14:textId="644E0558" w:rsidR="00603234" w:rsidRDefault="00603234" w:rsidP="00603234">
            <w:pPr>
              <w:rPr>
                <w:lang w:val="en-US" w:eastAsia="en-US"/>
              </w:rPr>
            </w:pPr>
            <w:r w:rsidRPr="00F83757">
              <w:rPr>
                <w:lang w:val="en-US" w:eastAsia="en-US"/>
              </w:rPr>
              <w:t>Communicate the linkages between means of gender-responsive implementation and implementing the Paris Agreement;</w:t>
            </w:r>
          </w:p>
          <w:p w14:paraId="202FE1D6" w14:textId="77777777" w:rsidR="006D3EE7" w:rsidRDefault="006D3EE7" w:rsidP="00603234">
            <w:pPr>
              <w:rPr>
                <w:lang w:val="en-US" w:eastAsia="en-US"/>
              </w:rPr>
            </w:pPr>
          </w:p>
          <w:p w14:paraId="6D379C94" w14:textId="51006C09" w:rsidR="00603234" w:rsidRDefault="00D97D13" w:rsidP="00603234">
            <w:r>
              <w:t>Better integrate youth in consultations and decision-making processes about technology transfer at national level;</w:t>
            </w:r>
          </w:p>
          <w:p w14:paraId="183D6BD1" w14:textId="77777777" w:rsidR="002D168C" w:rsidRDefault="002D168C" w:rsidP="00603234"/>
          <w:p w14:paraId="2EE979EC" w14:textId="64995D93" w:rsidR="00D97D13" w:rsidRDefault="002D168C" w:rsidP="00603234">
            <w:r>
              <w:t>Promote and support alternative finance models which create opportunities for women to access technology development and transfer where traditionally men dominate the access to technical education and employment (cooperatives</w:t>
            </w:r>
            <w:r w:rsidR="009B464B">
              <w:t>, self-help groups, management groups);</w:t>
            </w:r>
          </w:p>
          <w:p w14:paraId="6AA7BE3F" w14:textId="403A5BAA" w:rsidR="009B464B" w:rsidRDefault="009B464B" w:rsidP="00603234"/>
          <w:p w14:paraId="19DB6E5D" w14:textId="1E9C841A" w:rsidR="009B464B" w:rsidRDefault="009B464B" w:rsidP="00603234">
            <w:pPr>
              <w:rPr>
                <w:lang w:val="en-US" w:eastAsia="en-US"/>
              </w:rPr>
            </w:pPr>
            <w:r>
              <w:t>Parties to create dedicated small grant facilities at national or regional level, accessible for local women and indigenous peoples, with the aim to support their initiatives for gender responsive technologies and their active and equal participation in climate policy planning and implementation</w:t>
            </w:r>
          </w:p>
          <w:p w14:paraId="620417BB" w14:textId="77777777" w:rsidR="002D168C" w:rsidRDefault="002D168C" w:rsidP="00603234">
            <w:pPr>
              <w:rPr>
                <w:lang w:val="en-US" w:eastAsia="en-US"/>
              </w:rPr>
            </w:pPr>
          </w:p>
          <w:p w14:paraId="1E26FED0" w14:textId="5ACF6AB2" w:rsidR="00603234" w:rsidRPr="00603234" w:rsidRDefault="00603234" w:rsidP="00603234">
            <w:pPr>
              <w:spacing w:before="40" w:after="120"/>
              <w:ind w:right="113"/>
            </w:pPr>
            <w:r w:rsidRPr="003D6401">
              <w:lastRenderedPageBreak/>
              <w:t>Urge implementing entities and financial service providers to dedicate specific funds for mitigation and adaptation initiatives led by women and women’s organizations and networks</w:t>
            </w:r>
            <w:r>
              <w:t>.</w:t>
            </w:r>
          </w:p>
        </w:tc>
      </w:tr>
      <w:tr w:rsidR="00603234" w:rsidRPr="00603234" w14:paraId="3F0EDB6C" w14:textId="77777777" w:rsidTr="00566486">
        <w:tc>
          <w:tcPr>
            <w:tcW w:w="0" w:type="auto"/>
            <w:shd w:val="clear" w:color="auto" w:fill="auto"/>
          </w:tcPr>
          <w:p w14:paraId="75588102" w14:textId="5D479855" w:rsidR="00603234" w:rsidRPr="00603234" w:rsidRDefault="00603234" w:rsidP="00603234">
            <w:pPr>
              <w:spacing w:before="40" w:after="120"/>
              <w:ind w:right="113"/>
            </w:pPr>
            <w:r>
              <w:lastRenderedPageBreak/>
              <w:t>D.1.</w:t>
            </w:r>
          </w:p>
        </w:tc>
        <w:tc>
          <w:tcPr>
            <w:tcW w:w="0" w:type="auto"/>
            <w:shd w:val="clear" w:color="auto" w:fill="auto"/>
          </w:tcPr>
          <w:p w14:paraId="5F5A26A1" w14:textId="6D159307" w:rsidR="00603234" w:rsidRPr="00603234" w:rsidRDefault="00603234" w:rsidP="00603234">
            <w:pPr>
              <w:spacing w:before="40" w:after="120"/>
              <w:ind w:right="113"/>
            </w:pPr>
            <w:r w:rsidRPr="00384BCD">
              <w:t xml:space="preserve">A dialogue has yet to be organized; the SCF included gender considerations in the </w:t>
            </w:r>
            <w:hyperlink r:id="rId23" w:history="1">
              <w:r w:rsidRPr="00201805">
                <w:rPr>
                  <w:rStyle w:val="Hyperlink"/>
                </w:rPr>
                <w:t>2019 SCF Forum</w:t>
              </w:r>
            </w:hyperlink>
            <w:r>
              <w:t>;</w:t>
            </w:r>
          </w:p>
        </w:tc>
        <w:tc>
          <w:tcPr>
            <w:tcW w:w="0" w:type="auto"/>
            <w:shd w:val="clear" w:color="auto" w:fill="auto"/>
          </w:tcPr>
          <w:p w14:paraId="623D0B33" w14:textId="77777777" w:rsidR="00603234" w:rsidRDefault="00603234" w:rsidP="00603234">
            <w:r>
              <w:t xml:space="preserve">Invite the SCF to host the dialogue; </w:t>
            </w:r>
          </w:p>
          <w:p w14:paraId="5AE389E1" w14:textId="77777777" w:rsidR="00603234" w:rsidRDefault="00603234" w:rsidP="00603234"/>
          <w:p w14:paraId="662D5B39" w14:textId="77777777" w:rsidR="00603234" w:rsidRDefault="00603234" w:rsidP="00603234">
            <w:r>
              <w:t>Request the SCF to invite the operating entities of the Financial Mechanism to prioritize increasing access to funds and enhance the financial readiness of gender-responsive climate interventions, and to discuss this at the 2020 SCF Forum;</w:t>
            </w:r>
          </w:p>
          <w:p w14:paraId="7511756B" w14:textId="77777777" w:rsidR="00603234" w:rsidRDefault="00603234" w:rsidP="00603234"/>
          <w:p w14:paraId="39D2704C" w14:textId="77777777" w:rsidR="00603234" w:rsidRDefault="00603234" w:rsidP="00603234">
            <w:r>
              <w:t>Provide guidance to the operating entities of the Financial Mechanism on moving from a gender-sensitive to a gender-responsive approach when assigning funds, and encourage them to develop simplified procedures to facilitate direct access to climate finance for grass-roots women’s organizations and indigenous and local communities;</w:t>
            </w:r>
          </w:p>
          <w:p w14:paraId="592AF923" w14:textId="77777777" w:rsidR="00603234" w:rsidRDefault="00603234" w:rsidP="00603234"/>
          <w:p w14:paraId="60A49246" w14:textId="77777777" w:rsidR="00603234" w:rsidRDefault="00603234" w:rsidP="00603234">
            <w:pPr>
              <w:rPr>
                <w:lang w:val="en-US" w:eastAsia="en-US"/>
              </w:rPr>
            </w:pPr>
            <w:r w:rsidRPr="00A67AC3">
              <w:rPr>
                <w:lang w:val="en-US" w:eastAsia="en-US"/>
              </w:rPr>
              <w:t>Request the operating entities of the Financial Mechanism to institute the provision of support</w:t>
            </w:r>
            <w:r w:rsidRPr="00A67AC3" w:rsidDel="007A12C8">
              <w:rPr>
                <w:lang w:val="en-US" w:eastAsia="en-US"/>
              </w:rPr>
              <w:t xml:space="preserve"> </w:t>
            </w:r>
            <w:r w:rsidRPr="00A67AC3">
              <w:rPr>
                <w:lang w:val="en-US" w:eastAsia="en-US"/>
              </w:rPr>
              <w:t xml:space="preserve">at the ground level to strengthen the role of local women’s and indigenous people’s groups and local communities as executing entities for on-the-ground project or </w:t>
            </w:r>
            <w:proofErr w:type="spellStart"/>
            <w:r w:rsidRPr="00A67AC3">
              <w:rPr>
                <w:lang w:val="en-US" w:eastAsia="en-US"/>
              </w:rPr>
              <w:t>programme</w:t>
            </w:r>
            <w:proofErr w:type="spellEnd"/>
            <w:r w:rsidRPr="00A67AC3">
              <w:rPr>
                <w:lang w:val="en-US" w:eastAsia="en-US"/>
              </w:rPr>
              <w:t xml:space="preserve"> implementation in partnership with accredited implementing entities; </w:t>
            </w:r>
          </w:p>
          <w:p w14:paraId="248C6A1D" w14:textId="77777777" w:rsidR="00603234" w:rsidRPr="00A67AC3" w:rsidRDefault="00603234" w:rsidP="00603234">
            <w:pPr>
              <w:rPr>
                <w:lang w:val="en-US" w:eastAsia="en-US"/>
              </w:rPr>
            </w:pPr>
          </w:p>
          <w:p w14:paraId="39CF967A" w14:textId="77777777" w:rsidR="00603234" w:rsidRDefault="00603234" w:rsidP="00603234">
            <w:pPr>
              <w:rPr>
                <w:lang w:val="en-US" w:eastAsia="en-US"/>
              </w:rPr>
            </w:pPr>
            <w:r w:rsidRPr="00CC3C90">
              <w:rPr>
                <w:lang w:val="en-US" w:eastAsia="en-US"/>
              </w:rPr>
              <w:t xml:space="preserve">Call </w:t>
            </w:r>
            <w:r>
              <w:rPr>
                <w:lang w:val="en-US" w:eastAsia="en-US"/>
              </w:rPr>
              <w:t>up</w:t>
            </w:r>
            <w:r w:rsidRPr="00CC3C90">
              <w:rPr>
                <w:lang w:val="en-US" w:eastAsia="en-US"/>
              </w:rPr>
              <w:t xml:space="preserve">on implementing entities and financial service providers (including multilateral and regional development banks, climate funds, bilateral development agencies, national banks, cooperatives, local government and city coalitions, philanthropic organizations and the private sector) to commit to earmarking specific funds for mitigation and adaptation initiatives led by women and women’s groups; </w:t>
            </w:r>
          </w:p>
          <w:p w14:paraId="6BCCAC25" w14:textId="77777777" w:rsidR="00603234" w:rsidRPr="00CC3C90" w:rsidRDefault="00603234" w:rsidP="00603234">
            <w:pPr>
              <w:rPr>
                <w:lang w:val="en-US" w:eastAsia="en-US"/>
              </w:rPr>
            </w:pPr>
          </w:p>
          <w:p w14:paraId="25F501E0" w14:textId="77777777" w:rsidR="00603234" w:rsidRDefault="00603234" w:rsidP="00603234">
            <w:pPr>
              <w:rPr>
                <w:lang w:val="en-US" w:eastAsia="en-US"/>
              </w:rPr>
            </w:pPr>
            <w:r>
              <w:rPr>
                <w:lang w:val="en-US" w:eastAsia="en-US"/>
              </w:rPr>
              <w:t xml:space="preserve">Request the </w:t>
            </w:r>
            <w:r w:rsidRPr="00497AAE">
              <w:rPr>
                <w:lang w:val="en-US" w:eastAsia="en-US"/>
              </w:rPr>
              <w:t>Financial Mechanism</w:t>
            </w:r>
            <w:r>
              <w:rPr>
                <w:lang w:val="en-US" w:eastAsia="en-US"/>
              </w:rPr>
              <w:t xml:space="preserve"> to e</w:t>
            </w:r>
            <w:r w:rsidRPr="00CC3C90">
              <w:rPr>
                <w:lang w:val="en-US" w:eastAsia="en-US"/>
              </w:rPr>
              <w:t>ncourag</w:t>
            </w:r>
            <w:r>
              <w:rPr>
                <w:lang w:val="en-US" w:eastAsia="en-US"/>
              </w:rPr>
              <w:t>e</w:t>
            </w:r>
            <w:r w:rsidRPr="00CC3C90">
              <w:rPr>
                <w:lang w:val="en-US" w:eastAsia="en-US"/>
              </w:rPr>
              <w:t xml:space="preserve"> commercial banks and other private sector actors to promote gender-responsive banking procedures and support women’s </w:t>
            </w:r>
            <w:r>
              <w:rPr>
                <w:lang w:val="en-US" w:eastAsia="en-US"/>
              </w:rPr>
              <w:t xml:space="preserve">and indigenous people’s </w:t>
            </w:r>
            <w:r w:rsidRPr="00CC3C90">
              <w:rPr>
                <w:lang w:val="en-US" w:eastAsia="en-US"/>
              </w:rPr>
              <w:t>access to resources for climate adaptation and mitigation action;</w:t>
            </w:r>
          </w:p>
          <w:p w14:paraId="4355C0B9" w14:textId="77777777" w:rsidR="00603234" w:rsidRPr="00F83757" w:rsidRDefault="00603234" w:rsidP="00603234">
            <w:pPr>
              <w:rPr>
                <w:highlight w:val="yellow"/>
                <w:lang w:eastAsia="en-US"/>
              </w:rPr>
            </w:pPr>
          </w:p>
          <w:p w14:paraId="2088E6E6" w14:textId="4BCF4496" w:rsidR="00603234" w:rsidRPr="00603234" w:rsidRDefault="00603234" w:rsidP="00603234">
            <w:pPr>
              <w:spacing w:before="40" w:after="120"/>
              <w:ind w:right="113"/>
            </w:pPr>
            <w:r w:rsidRPr="00497AAE">
              <w:t xml:space="preserve">Encourage climate finance provision through domestic commercial banks and </w:t>
            </w:r>
            <w:r w:rsidRPr="00497AAE">
              <w:rPr>
                <w:lang w:val="en-US" w:eastAsia="en-US"/>
              </w:rPr>
              <w:t>ensure that benefits accrue to women as customers</w:t>
            </w:r>
            <w:r>
              <w:rPr>
                <w:lang w:val="en-US" w:eastAsia="en-US"/>
              </w:rPr>
              <w:t>.</w:t>
            </w:r>
          </w:p>
        </w:tc>
      </w:tr>
      <w:tr w:rsidR="00603234" w:rsidRPr="00603234" w14:paraId="4F2DBC99" w14:textId="77777777" w:rsidTr="00566486">
        <w:tc>
          <w:tcPr>
            <w:tcW w:w="0" w:type="auto"/>
            <w:shd w:val="clear" w:color="auto" w:fill="auto"/>
          </w:tcPr>
          <w:p w14:paraId="38049E38" w14:textId="21E04BBD" w:rsidR="00603234" w:rsidRPr="00603234" w:rsidRDefault="00603234" w:rsidP="00603234">
            <w:pPr>
              <w:spacing w:before="40" w:after="120"/>
              <w:ind w:right="113"/>
            </w:pPr>
            <w:r>
              <w:t>D.2.</w:t>
            </w:r>
          </w:p>
        </w:tc>
        <w:tc>
          <w:tcPr>
            <w:tcW w:w="0" w:type="auto"/>
            <w:shd w:val="clear" w:color="auto" w:fill="auto"/>
          </w:tcPr>
          <w:p w14:paraId="6FB65E63" w14:textId="77777777" w:rsidR="00603234" w:rsidRDefault="00603234" w:rsidP="00603234">
            <w:pPr>
              <w:spacing w:before="40" w:after="40" w:line="220" w:lineRule="exact"/>
              <w:rPr>
                <w:lang w:val="en-US"/>
              </w:rPr>
            </w:pPr>
            <w:r>
              <w:rPr>
                <w:lang w:val="en-US"/>
              </w:rPr>
              <w:t xml:space="preserve">Kenya and FAO submitted inputs. </w:t>
            </w:r>
          </w:p>
          <w:p w14:paraId="243697F9" w14:textId="424FFD11" w:rsidR="00603234" w:rsidRPr="00603234" w:rsidRDefault="00603234" w:rsidP="00603234">
            <w:pPr>
              <w:spacing w:before="40" w:after="120"/>
              <w:ind w:right="113"/>
            </w:pPr>
            <w:r w:rsidRPr="00463675">
              <w:lastRenderedPageBreak/>
              <w:t xml:space="preserve">In cooperation with UNEP DTU Partnership, the </w:t>
            </w:r>
            <w:r>
              <w:t>w</w:t>
            </w:r>
            <w:r w:rsidRPr="00463675">
              <w:t xml:space="preserve">omen and </w:t>
            </w:r>
            <w:r>
              <w:t>g</w:t>
            </w:r>
            <w:r w:rsidRPr="00463675">
              <w:t xml:space="preserve">ender </w:t>
            </w:r>
            <w:r>
              <w:t>c</w:t>
            </w:r>
            <w:r w:rsidRPr="00463675">
              <w:t>onstituency and the</w:t>
            </w:r>
            <w:r>
              <w:t xml:space="preserve"> CTCN</w:t>
            </w:r>
            <w:r w:rsidRPr="00463675">
              <w:t xml:space="preserve">, the secretariat held an event on </w:t>
            </w:r>
            <w:hyperlink r:id="rId24" w:history="1">
              <w:r w:rsidRPr="00F43E89">
                <w:rPr>
                  <w:rStyle w:val="Hyperlink"/>
                </w:rPr>
                <w:t>Gender Day at COP 24</w:t>
              </w:r>
            </w:hyperlink>
            <w:r w:rsidRPr="00463675">
              <w:t xml:space="preserve"> on capacity</w:t>
            </w:r>
            <w:r>
              <w:t>-</w:t>
            </w:r>
            <w:r w:rsidRPr="00463675">
              <w:t>building of operating entities and relevant stakeholders in order to strengthen gender considerations in TNA</w:t>
            </w:r>
            <w:r>
              <w:t>s</w:t>
            </w:r>
            <w:r w:rsidRPr="00463675">
              <w:t xml:space="preserve"> for implementation of the Paris Agreement</w:t>
            </w:r>
            <w:r>
              <w:rPr>
                <w:lang w:val="en-US"/>
              </w:rPr>
              <w:t>.</w:t>
            </w:r>
          </w:p>
        </w:tc>
        <w:tc>
          <w:tcPr>
            <w:tcW w:w="0" w:type="auto"/>
            <w:shd w:val="clear" w:color="auto" w:fill="auto"/>
          </w:tcPr>
          <w:p w14:paraId="5D70E5D3" w14:textId="62E587A0" w:rsidR="00603234" w:rsidRPr="00603234" w:rsidRDefault="00603234" w:rsidP="00603234">
            <w:pPr>
              <w:spacing w:before="40" w:after="120"/>
              <w:ind w:right="113"/>
            </w:pPr>
            <w:r w:rsidRPr="00913DA5">
              <w:rPr>
                <w:lang w:eastAsia="en-US"/>
              </w:rPr>
              <w:lastRenderedPageBreak/>
              <w:t xml:space="preserve">In cooperation with the UNEP DTU Partnership and CTCN, provide training to relevant stakeholders and Parties on how to conduct gender-responsive </w:t>
            </w:r>
            <w:r w:rsidRPr="00913DA5">
              <w:rPr>
                <w:lang w:eastAsia="en-US"/>
              </w:rPr>
              <w:lastRenderedPageBreak/>
              <w:t xml:space="preserve">TNAs, encourage </w:t>
            </w:r>
            <w:r w:rsidR="00460DC3">
              <w:rPr>
                <w:lang w:eastAsia="en-US"/>
              </w:rPr>
              <w:t xml:space="preserve">to </w:t>
            </w:r>
            <w:r w:rsidRPr="00913DA5">
              <w:rPr>
                <w:lang w:eastAsia="en-US"/>
              </w:rPr>
              <w:t>and support local or national technical training programmes on technology targeted at women and women’s groups</w:t>
            </w:r>
            <w:r>
              <w:rPr>
                <w:lang w:eastAsia="en-US"/>
              </w:rPr>
              <w:t>;</w:t>
            </w:r>
          </w:p>
        </w:tc>
      </w:tr>
      <w:tr w:rsidR="00603234" w:rsidRPr="00603234" w14:paraId="7CC3E7BB" w14:textId="77777777" w:rsidTr="00566486">
        <w:tc>
          <w:tcPr>
            <w:tcW w:w="0" w:type="auto"/>
            <w:shd w:val="clear" w:color="auto" w:fill="auto"/>
          </w:tcPr>
          <w:p w14:paraId="28A91778" w14:textId="1997EF05" w:rsidR="00603234" w:rsidRPr="00603234" w:rsidRDefault="00603234" w:rsidP="00603234">
            <w:pPr>
              <w:spacing w:before="40" w:after="120"/>
              <w:ind w:right="113"/>
            </w:pPr>
            <w:r>
              <w:lastRenderedPageBreak/>
              <w:t>D.3.</w:t>
            </w:r>
          </w:p>
        </w:tc>
        <w:tc>
          <w:tcPr>
            <w:tcW w:w="0" w:type="auto"/>
            <w:shd w:val="clear" w:color="auto" w:fill="auto"/>
          </w:tcPr>
          <w:p w14:paraId="79F620EB" w14:textId="11AC4DD2" w:rsidR="00603234" w:rsidRPr="00603234" w:rsidRDefault="00603234" w:rsidP="00603234">
            <w:pPr>
              <w:spacing w:before="40" w:after="120"/>
              <w:ind w:right="113"/>
            </w:pPr>
            <w:r>
              <w:rPr>
                <w:lang w:val="en-US"/>
              </w:rPr>
              <w:t>UNDP and UN Women have reported progress in this area. UNDP has developed c</w:t>
            </w:r>
            <w:proofErr w:type="spellStart"/>
            <w:r w:rsidRPr="009C7D8C">
              <w:t>limate</w:t>
            </w:r>
            <w:proofErr w:type="spellEnd"/>
            <w:r w:rsidRPr="009C7D8C">
              <w:t xml:space="preserve"> financing and budgeting solutions for countries throughout Asia-Pacific</w:t>
            </w:r>
            <w:r>
              <w:t xml:space="preserve">. UN Women </w:t>
            </w:r>
            <w:r w:rsidRPr="009C7D8C">
              <w:t>has developed a climate change and gender-responsive budgeting toolkit for parliamentarians in the Caribbean</w:t>
            </w:r>
          </w:p>
        </w:tc>
        <w:tc>
          <w:tcPr>
            <w:tcW w:w="0" w:type="auto"/>
            <w:shd w:val="clear" w:color="auto" w:fill="auto"/>
          </w:tcPr>
          <w:p w14:paraId="7259DEC4" w14:textId="7ACAC865" w:rsidR="00603234" w:rsidRPr="00603234" w:rsidRDefault="00603234" w:rsidP="00603234">
            <w:pPr>
              <w:spacing w:before="40" w:after="120"/>
              <w:ind w:right="113"/>
            </w:pPr>
            <w:r>
              <w:rPr>
                <w:lang w:eastAsia="en-US"/>
              </w:rPr>
              <w:t>No specific recommendations</w:t>
            </w:r>
          </w:p>
        </w:tc>
      </w:tr>
      <w:tr w:rsidR="00603234" w:rsidRPr="00603234" w14:paraId="2C4F3BA8" w14:textId="77777777" w:rsidTr="00566486">
        <w:tc>
          <w:tcPr>
            <w:tcW w:w="0" w:type="auto"/>
            <w:shd w:val="clear" w:color="auto" w:fill="auto"/>
          </w:tcPr>
          <w:p w14:paraId="029DEBBF" w14:textId="5D8D3B36" w:rsidR="00603234" w:rsidRPr="00603234" w:rsidRDefault="00603234" w:rsidP="00603234">
            <w:pPr>
              <w:spacing w:before="40" w:after="120"/>
              <w:ind w:right="113"/>
            </w:pPr>
            <w:r>
              <w:t>Priority area E</w:t>
            </w:r>
          </w:p>
        </w:tc>
        <w:tc>
          <w:tcPr>
            <w:tcW w:w="0" w:type="auto"/>
            <w:shd w:val="clear" w:color="auto" w:fill="auto"/>
          </w:tcPr>
          <w:p w14:paraId="7F69A6C5" w14:textId="77777777" w:rsidR="00603234" w:rsidRPr="00603234" w:rsidRDefault="00603234" w:rsidP="00603234">
            <w:pPr>
              <w:spacing w:before="40" w:after="120"/>
              <w:ind w:right="113"/>
            </w:pPr>
          </w:p>
        </w:tc>
        <w:tc>
          <w:tcPr>
            <w:tcW w:w="0" w:type="auto"/>
            <w:shd w:val="clear" w:color="auto" w:fill="auto"/>
          </w:tcPr>
          <w:p w14:paraId="5076C3B3" w14:textId="77777777" w:rsidR="00603234" w:rsidRDefault="00603234" w:rsidP="00603234">
            <w:pPr>
              <w:spacing w:before="40" w:after="120"/>
              <w:ind w:right="113"/>
            </w:pPr>
            <w:r w:rsidRPr="005712BB">
              <w:t xml:space="preserve">Most Parties considered that there should be a greater focus on developing, collecting and analysing gender-related data, and that a gender reporting mechanism should be elaborated </w:t>
            </w:r>
            <w:proofErr w:type="gramStart"/>
            <w:r w:rsidRPr="005712BB">
              <w:t>in order to</w:t>
            </w:r>
            <w:proofErr w:type="gramEnd"/>
            <w:r w:rsidRPr="005712BB">
              <w:t xml:space="preserve"> collect relevant data on mainstreaming gender in climate change </w:t>
            </w:r>
            <w:r w:rsidRPr="00497AAE">
              <w:t>policy</w:t>
            </w:r>
            <w:r w:rsidRPr="005712BB">
              <w:t>, plans and strategies</w:t>
            </w:r>
            <w:r>
              <w:t>. Other recommendations include:</w:t>
            </w:r>
          </w:p>
          <w:p w14:paraId="773E915A" w14:textId="77777777" w:rsidR="00603234" w:rsidRDefault="00603234" w:rsidP="00603234">
            <w:r>
              <w:t>Develop</w:t>
            </w:r>
            <w:r w:rsidRPr="005712BB">
              <w:t xml:space="preserve"> targets and indicators in the next phase of the GAP for evaluating progress and identifying areas for improvement</w:t>
            </w:r>
            <w:r>
              <w:t>;</w:t>
            </w:r>
          </w:p>
          <w:p w14:paraId="316270D8" w14:textId="77777777" w:rsidR="00B8682C" w:rsidRDefault="00B8682C" w:rsidP="00603234"/>
          <w:p w14:paraId="1876BD2C" w14:textId="77777777" w:rsidR="00603234" w:rsidRPr="00E30F20" w:rsidRDefault="00603234" w:rsidP="00603234">
            <w:pPr>
              <w:rPr>
                <w:lang w:val="en-US" w:eastAsia="en-US"/>
              </w:rPr>
            </w:pPr>
            <w:r w:rsidRPr="00E30F20">
              <w:rPr>
                <w:lang w:val="en-US" w:eastAsia="en-US"/>
              </w:rPr>
              <w:t>Invite Parties to track progress by including in their regular reporting to United Nations bodies and under other related forums information on</w:t>
            </w:r>
            <w:r w:rsidRPr="00E30F20" w:rsidDel="0099522E">
              <w:rPr>
                <w:lang w:val="en-US" w:eastAsia="en-US"/>
              </w:rPr>
              <w:t xml:space="preserve"> </w:t>
            </w:r>
            <w:r w:rsidRPr="00E30F20">
              <w:rPr>
                <w:lang w:val="en-US" w:eastAsia="en-US"/>
              </w:rPr>
              <w:t xml:space="preserve">efforts, action and initiatives supporting implementation of gender-responsive climate policy and </w:t>
            </w:r>
            <w:proofErr w:type="spellStart"/>
            <w:r w:rsidRPr="00E30F20">
              <w:rPr>
                <w:lang w:val="en-US" w:eastAsia="en-US"/>
              </w:rPr>
              <w:t>programmes</w:t>
            </w:r>
            <w:proofErr w:type="spellEnd"/>
            <w:r w:rsidRPr="00E30F20">
              <w:rPr>
                <w:lang w:val="en-US" w:eastAsia="en-US"/>
              </w:rPr>
              <w:t xml:space="preserve">, and the percentage of climate-related </w:t>
            </w:r>
            <w:proofErr w:type="spellStart"/>
            <w:r w:rsidRPr="00E30F20">
              <w:rPr>
                <w:lang w:val="en-US" w:eastAsia="en-US"/>
              </w:rPr>
              <w:t>programmes</w:t>
            </w:r>
            <w:proofErr w:type="spellEnd"/>
            <w:r w:rsidRPr="00E30F20">
              <w:rPr>
                <w:lang w:val="en-US" w:eastAsia="en-US"/>
              </w:rPr>
              <w:t xml:space="preserve"> that incorporate gender considerations;</w:t>
            </w:r>
          </w:p>
          <w:p w14:paraId="1E43F357" w14:textId="77777777" w:rsidR="00603234" w:rsidRDefault="00603234" w:rsidP="00603234">
            <w:pPr>
              <w:rPr>
                <w:lang w:val="en-US" w:eastAsia="en-US"/>
              </w:rPr>
            </w:pPr>
          </w:p>
          <w:p w14:paraId="2FDB067B" w14:textId="77777777" w:rsidR="00603234" w:rsidRDefault="00603234" w:rsidP="00603234">
            <w:pPr>
              <w:rPr>
                <w:color w:val="C0504D" w:themeColor="accent2"/>
                <w:lang w:val="en-US" w:eastAsia="en-US"/>
              </w:rPr>
            </w:pPr>
            <w:r w:rsidRPr="00A40D9C">
              <w:rPr>
                <w:lang w:val="en-US" w:eastAsia="en-US"/>
              </w:rPr>
              <w:t>Support Parties in developing gender-responsive indicators for monitoring and reporting on climate action and national measurement, reporting and verification systems, and encourage them to share relevant knowledge and best practices;</w:t>
            </w:r>
            <w:r w:rsidRPr="00A40D9C">
              <w:rPr>
                <w:color w:val="C0504D" w:themeColor="accent2"/>
                <w:lang w:val="en-US" w:eastAsia="en-US"/>
              </w:rPr>
              <w:t xml:space="preserve"> </w:t>
            </w:r>
          </w:p>
          <w:p w14:paraId="0094672B" w14:textId="77777777" w:rsidR="00603234" w:rsidRPr="00A40D9C" w:rsidRDefault="00603234" w:rsidP="00603234">
            <w:pPr>
              <w:rPr>
                <w:lang w:val="en-US" w:eastAsia="en-US"/>
              </w:rPr>
            </w:pPr>
          </w:p>
          <w:p w14:paraId="58467EDD" w14:textId="77777777" w:rsidR="00603234" w:rsidRDefault="00603234" w:rsidP="00603234">
            <w:r w:rsidRPr="005712BB">
              <w:t xml:space="preserve">Develop qualitative and quantitative indicators to help Parties establish benchmarks </w:t>
            </w:r>
            <w:r w:rsidRPr="00497AAE">
              <w:t>of</w:t>
            </w:r>
            <w:r w:rsidRPr="005712BB">
              <w:t xml:space="preserve"> progress, particularly in relation to implementation and access to finance;</w:t>
            </w:r>
          </w:p>
          <w:p w14:paraId="237DBE81" w14:textId="77777777" w:rsidR="00603234" w:rsidRPr="005712BB" w:rsidRDefault="00603234" w:rsidP="00603234"/>
          <w:p w14:paraId="2A020E1E" w14:textId="77777777" w:rsidR="00603234" w:rsidRPr="00522DB9" w:rsidRDefault="00603234" w:rsidP="00603234">
            <w:r w:rsidRPr="00522DB9">
              <w:t>Request the secretariat to include requirements for reporting on progress in gender mainstreaming in the UNFCCC reporting guidelines (such as those for national communications, NDCs and biennial update reports);</w:t>
            </w:r>
          </w:p>
          <w:p w14:paraId="2BE451AB" w14:textId="77777777" w:rsidR="00603234" w:rsidRPr="005712BB" w:rsidRDefault="00603234" w:rsidP="00603234"/>
          <w:p w14:paraId="711DCC82" w14:textId="20422E34" w:rsidR="00603234" w:rsidRDefault="00603234" w:rsidP="00603234">
            <w:r w:rsidRPr="005712BB">
              <w:t xml:space="preserve">Request the secretariat to keep track </w:t>
            </w:r>
            <w:r>
              <w:t xml:space="preserve">of </w:t>
            </w:r>
            <w:r w:rsidRPr="005712BB">
              <w:t>and produce a synthesis report on Parties that have</w:t>
            </w:r>
            <w:r w:rsidRPr="005712BB" w:rsidDel="007A12C8">
              <w:t xml:space="preserve"> </w:t>
            </w:r>
            <w:r w:rsidRPr="005712BB">
              <w:t xml:space="preserve">gender-responsive climate change action plans, policies or </w:t>
            </w:r>
            <w:r w:rsidRPr="005712BB">
              <w:lastRenderedPageBreak/>
              <w:t>strategies</w:t>
            </w:r>
            <w:r w:rsidR="003502BA">
              <w:t xml:space="preserve"> (Costa Rica suggested at the end of 2020, and then annually)</w:t>
            </w:r>
            <w:r>
              <w:t>,</w:t>
            </w:r>
            <w:r w:rsidRPr="005712BB">
              <w:t xml:space="preserve"> and to track and analyse the primary regular reporting by Parties to United Nations bodies and other related forums in relation to efforts, </w:t>
            </w:r>
            <w:r w:rsidRPr="00497AAE">
              <w:t>action</w:t>
            </w:r>
            <w:r w:rsidRPr="005712BB">
              <w:t xml:space="preserve"> and initiatives supporting implementation of gender-responsive climate </w:t>
            </w:r>
            <w:r w:rsidRPr="00497AAE">
              <w:t>policy</w:t>
            </w:r>
            <w:r w:rsidRPr="005712BB">
              <w:t xml:space="preserve"> and </w:t>
            </w:r>
            <w:r w:rsidRPr="00497AAE">
              <w:t>action</w:t>
            </w:r>
            <w:r w:rsidRPr="005712BB">
              <w:t>;</w:t>
            </w:r>
          </w:p>
          <w:p w14:paraId="1F3B8AB2" w14:textId="77777777" w:rsidR="00603234" w:rsidRDefault="00603234" w:rsidP="00603234"/>
          <w:p w14:paraId="4A447EB1" w14:textId="77777777" w:rsidR="00603234" w:rsidRDefault="00603234" w:rsidP="00603234">
            <w:pPr>
              <w:rPr>
                <w:lang w:val="en-US" w:eastAsia="en-US"/>
              </w:rPr>
            </w:pPr>
            <w:r w:rsidRPr="005712BB">
              <w:rPr>
                <w:lang w:val="en-US" w:eastAsia="en-US"/>
              </w:rPr>
              <w:t>Request the secretariat to report</w:t>
            </w:r>
            <w:r w:rsidRPr="007A12C8">
              <w:rPr>
                <w:lang w:val="en-US" w:eastAsia="en-US"/>
              </w:rPr>
              <w:t xml:space="preserve"> biennially</w:t>
            </w:r>
            <w:r w:rsidRPr="005712BB">
              <w:rPr>
                <w:lang w:val="en-US" w:eastAsia="en-US"/>
              </w:rPr>
              <w:t xml:space="preserve"> on the implementation of the GAP, including on the use and management of financial resources managed by the secretariat for the LWPG and the GAP; </w:t>
            </w:r>
          </w:p>
          <w:p w14:paraId="40BD36B3" w14:textId="77777777" w:rsidR="00603234" w:rsidRDefault="00603234" w:rsidP="00603234">
            <w:pPr>
              <w:rPr>
                <w:lang w:val="en-US" w:eastAsia="en-US"/>
              </w:rPr>
            </w:pPr>
          </w:p>
          <w:p w14:paraId="35E8482B" w14:textId="77777777" w:rsidR="00603234" w:rsidRPr="00757E1C" w:rsidRDefault="00603234" w:rsidP="00603234">
            <w:pPr>
              <w:rPr>
                <w:lang w:val="en-US" w:eastAsia="en-US"/>
              </w:rPr>
            </w:pPr>
            <w:r w:rsidRPr="00757E1C">
              <w:rPr>
                <w:lang w:val="en-US" w:eastAsia="en-US"/>
              </w:rPr>
              <w:t>Request the secretariat and United Nations entities to develop guidance on how gender should be mainstreamed in national measurement, reporting and verification systems;</w:t>
            </w:r>
          </w:p>
          <w:p w14:paraId="2B257CFA" w14:textId="77777777" w:rsidR="00603234" w:rsidRDefault="00603234" w:rsidP="00603234">
            <w:pPr>
              <w:rPr>
                <w:lang w:val="en-US" w:eastAsia="en-US"/>
              </w:rPr>
            </w:pPr>
          </w:p>
          <w:p w14:paraId="5838571D" w14:textId="77777777" w:rsidR="00603234" w:rsidRDefault="00603234" w:rsidP="00603234">
            <w:r w:rsidRPr="005712BB">
              <w:t>Encourage knowledge exchange on tracking and reporting on gender-related mandates among secretariat staff across all topics;</w:t>
            </w:r>
          </w:p>
          <w:p w14:paraId="0472DAA4" w14:textId="77777777" w:rsidR="00603234" w:rsidRPr="005712BB" w:rsidRDefault="00603234" w:rsidP="00603234">
            <w:pPr>
              <w:rPr>
                <w:lang w:val="en-US" w:eastAsia="en-US"/>
              </w:rPr>
            </w:pPr>
          </w:p>
          <w:p w14:paraId="453A76A8" w14:textId="77777777" w:rsidR="00603234" w:rsidRDefault="00603234" w:rsidP="00603234">
            <w:pPr>
              <w:rPr>
                <w:lang w:val="en-US" w:eastAsia="en-US"/>
              </w:rPr>
            </w:pPr>
            <w:r w:rsidRPr="00A40D9C">
              <w:rPr>
                <w:lang w:val="en-US" w:eastAsia="en-US"/>
              </w:rPr>
              <w:t>Request the constituted bodies to report annually on their implementation of gender-related mandates and request the secretariat to prepare a synthesis report thereon;</w:t>
            </w:r>
          </w:p>
          <w:p w14:paraId="6EE6E3E5" w14:textId="77777777" w:rsidR="00603234" w:rsidRPr="00A40D9C" w:rsidRDefault="00603234" w:rsidP="00603234">
            <w:pPr>
              <w:rPr>
                <w:lang w:val="en-US" w:eastAsia="en-US"/>
              </w:rPr>
            </w:pPr>
          </w:p>
          <w:p w14:paraId="2AC1B25E" w14:textId="77777777" w:rsidR="00603234" w:rsidRDefault="00603234" w:rsidP="00603234">
            <w:pPr>
              <w:rPr>
                <w:lang w:val="en-US" w:eastAsia="en-US"/>
              </w:rPr>
            </w:pPr>
            <w:r w:rsidRPr="005712BB">
              <w:rPr>
                <w:lang w:val="en-US" w:eastAsia="en-US"/>
              </w:rPr>
              <w:t xml:space="preserve">Invite Parties to collect </w:t>
            </w:r>
            <w:r>
              <w:rPr>
                <w:lang w:val="en-US" w:eastAsia="en-US"/>
              </w:rPr>
              <w:t xml:space="preserve">and </w:t>
            </w:r>
            <w:r w:rsidRPr="005712BB">
              <w:rPr>
                <w:lang w:val="en-US" w:eastAsia="en-US"/>
              </w:rPr>
              <w:t>evaluate</w:t>
            </w:r>
            <w:r>
              <w:rPr>
                <w:lang w:val="en-US" w:eastAsia="en-US"/>
              </w:rPr>
              <w:t>, through peer reviews,</w:t>
            </w:r>
            <w:r w:rsidRPr="005712BB">
              <w:rPr>
                <w:lang w:val="en-US" w:eastAsia="en-US"/>
              </w:rPr>
              <w:t xml:space="preserve"> sex-disaggregated data on the impact of the phasing out and redirection of fossil fuel subsidies; </w:t>
            </w:r>
          </w:p>
          <w:p w14:paraId="63E48275" w14:textId="77777777" w:rsidR="00603234" w:rsidRPr="005712BB" w:rsidRDefault="00603234" w:rsidP="00603234">
            <w:pPr>
              <w:rPr>
                <w:lang w:val="en-US" w:eastAsia="en-US"/>
              </w:rPr>
            </w:pPr>
          </w:p>
          <w:p w14:paraId="506DB931" w14:textId="77777777" w:rsidR="00603234" w:rsidRDefault="00603234" w:rsidP="00603234">
            <w:r w:rsidRPr="005712BB">
              <w:t>Request the GCF and the GEF to report to the COP on how gender-responsive considerations have been mainstreamed in projects related to NDC implementation; the percentage of climate-related programmes submitted to climate finance mechanisms that incorporate gender considerations; and the impact of climate finance on the enhancement of women’s and girls’ lives;</w:t>
            </w:r>
          </w:p>
          <w:p w14:paraId="1C665BDA" w14:textId="77777777" w:rsidR="00603234" w:rsidRDefault="00603234" w:rsidP="00603234"/>
          <w:p w14:paraId="1DDE85E0" w14:textId="77777777" w:rsidR="00603234" w:rsidRDefault="00603234" w:rsidP="00603234">
            <w:pPr>
              <w:rPr>
                <w:lang w:eastAsia="en-US"/>
              </w:rPr>
            </w:pPr>
            <w:r w:rsidRPr="00913DA5">
              <w:rPr>
                <w:lang w:eastAsia="en-US"/>
              </w:rPr>
              <w:t>Request the GCF and the GEF to report to the COP on how gender- responsive considerations have been mainstreamed in projects related to NDC implementation</w:t>
            </w:r>
          </w:p>
          <w:p w14:paraId="7CC2A761" w14:textId="77777777" w:rsidR="00603234" w:rsidRDefault="00603234" w:rsidP="00603234"/>
          <w:p w14:paraId="529C3F9B" w14:textId="77777777" w:rsidR="00603234" w:rsidRDefault="00603234" w:rsidP="00603234">
            <w:pPr>
              <w:rPr>
                <w:lang w:eastAsia="en-US"/>
              </w:rPr>
            </w:pPr>
            <w:r w:rsidRPr="00757E1C">
              <w:rPr>
                <w:lang w:eastAsia="en-US"/>
              </w:rPr>
              <w:t>Encourage climate finance providers to improve their tracking and reporting of gender-related aspects of climate finance, impact measurement and mainstreaming.</w:t>
            </w:r>
          </w:p>
          <w:p w14:paraId="4F40F174" w14:textId="77777777" w:rsidR="00603234" w:rsidRPr="005712BB" w:rsidRDefault="00603234" w:rsidP="00603234">
            <w:pPr>
              <w:rPr>
                <w:lang w:val="en-US" w:eastAsia="en-US"/>
              </w:rPr>
            </w:pPr>
          </w:p>
          <w:p w14:paraId="132FD01A" w14:textId="097BC84F" w:rsidR="00603234" w:rsidRPr="00603234" w:rsidRDefault="00603234" w:rsidP="00603234">
            <w:pPr>
              <w:spacing w:before="40" w:after="120"/>
              <w:ind w:right="113"/>
            </w:pPr>
            <w:r w:rsidRPr="005712BB">
              <w:lastRenderedPageBreak/>
              <w:t>Call for</w:t>
            </w:r>
            <w:r w:rsidRPr="005712BB" w:rsidDel="00507335">
              <w:t xml:space="preserve"> </w:t>
            </w:r>
            <w:r w:rsidRPr="005712BB">
              <w:t xml:space="preserve">disaggregated data on climate finance (on access, destination and impact) </w:t>
            </w:r>
            <w:r>
              <w:t xml:space="preserve">to be reported with a view </w:t>
            </w:r>
            <w:r w:rsidRPr="005712BB">
              <w:t>to strengthen</w:t>
            </w:r>
            <w:r>
              <w:t>ing</w:t>
            </w:r>
            <w:r w:rsidRPr="005712BB">
              <w:t xml:space="preserve"> gender-responsive climate interventions and </w:t>
            </w:r>
            <w:r w:rsidRPr="00497AAE">
              <w:t>increasing</w:t>
            </w:r>
            <w:r w:rsidRPr="005712BB">
              <w:t xml:space="preserve"> transparency on climate finance priorities</w:t>
            </w:r>
            <w:r w:rsidRPr="00497AAE">
              <w:rPr>
                <w:lang w:val="en-US" w:eastAsia="en-US"/>
              </w:rPr>
              <w:t>.</w:t>
            </w:r>
          </w:p>
        </w:tc>
      </w:tr>
      <w:tr w:rsidR="00603234" w:rsidRPr="00603234" w14:paraId="5300DD7D" w14:textId="77777777" w:rsidTr="00566486">
        <w:tc>
          <w:tcPr>
            <w:tcW w:w="0" w:type="auto"/>
            <w:shd w:val="clear" w:color="auto" w:fill="auto"/>
          </w:tcPr>
          <w:p w14:paraId="76B05712" w14:textId="570C75BD" w:rsidR="00603234" w:rsidRPr="00603234" w:rsidRDefault="00603234" w:rsidP="00603234">
            <w:pPr>
              <w:spacing w:before="40" w:after="120"/>
              <w:ind w:right="113"/>
            </w:pPr>
            <w:r>
              <w:lastRenderedPageBreak/>
              <w:t>E.1.</w:t>
            </w:r>
          </w:p>
        </w:tc>
        <w:tc>
          <w:tcPr>
            <w:tcW w:w="0" w:type="auto"/>
            <w:shd w:val="clear" w:color="auto" w:fill="auto"/>
          </w:tcPr>
          <w:p w14:paraId="660952D6" w14:textId="553CC34E" w:rsidR="00603234" w:rsidRPr="00603234" w:rsidRDefault="00603234" w:rsidP="00603234">
            <w:pPr>
              <w:spacing w:before="40" w:after="120"/>
              <w:ind w:right="113"/>
            </w:pPr>
            <w:r>
              <w:t>A total of 21 submissions were received, including from Bulgaria and the European Commission on behalf of the EU and its member States, Canada, the Central African Republic, Chad, Costa Rica, India, Kenya, the Philippines, South Africa and 12 observer organizations.</w:t>
            </w:r>
          </w:p>
        </w:tc>
        <w:tc>
          <w:tcPr>
            <w:tcW w:w="0" w:type="auto"/>
            <w:shd w:val="clear" w:color="auto" w:fill="auto"/>
          </w:tcPr>
          <w:p w14:paraId="0EBBBAFB" w14:textId="6CC03804" w:rsidR="00603234" w:rsidRPr="00603234" w:rsidRDefault="00603234" w:rsidP="00603234">
            <w:pPr>
              <w:spacing w:before="40" w:after="120"/>
              <w:ind w:right="113"/>
            </w:pPr>
            <w:r w:rsidRPr="00913DA5">
              <w:rPr>
                <w:lang w:eastAsia="en-US"/>
              </w:rPr>
              <w:t>See activity E.2</w:t>
            </w:r>
          </w:p>
        </w:tc>
      </w:tr>
      <w:tr w:rsidR="00603234" w:rsidRPr="00603234" w14:paraId="77854D35" w14:textId="77777777" w:rsidTr="00566486">
        <w:tc>
          <w:tcPr>
            <w:tcW w:w="0" w:type="auto"/>
            <w:shd w:val="clear" w:color="auto" w:fill="auto"/>
          </w:tcPr>
          <w:p w14:paraId="633DE7FD" w14:textId="35B89BEF" w:rsidR="00603234" w:rsidRPr="00603234" w:rsidRDefault="00603234" w:rsidP="00603234">
            <w:pPr>
              <w:spacing w:before="40" w:after="120"/>
              <w:ind w:right="113"/>
            </w:pPr>
            <w:r>
              <w:t>E.2.</w:t>
            </w:r>
          </w:p>
        </w:tc>
        <w:tc>
          <w:tcPr>
            <w:tcW w:w="0" w:type="auto"/>
            <w:shd w:val="clear" w:color="auto" w:fill="auto"/>
          </w:tcPr>
          <w:p w14:paraId="58F9BE1C" w14:textId="171D62D4" w:rsidR="00603234" w:rsidRPr="00603234" w:rsidRDefault="00603234" w:rsidP="00603234">
            <w:pPr>
              <w:spacing w:before="40" w:after="120"/>
              <w:ind w:right="113"/>
            </w:pPr>
            <w:r w:rsidRPr="0038084B">
              <w:rPr>
                <w:lang w:val="en-US"/>
              </w:rPr>
              <w:t xml:space="preserve">Report contained in document </w:t>
            </w:r>
            <w:hyperlink r:id="rId25" w:history="1">
              <w:r w:rsidRPr="002C1A2D">
                <w:rPr>
                  <w:rStyle w:val="Hyperlink"/>
                  <w:lang w:val="en-US"/>
                </w:rPr>
                <w:t>FCCC/SBI/2019/INF.8</w:t>
              </w:r>
            </w:hyperlink>
          </w:p>
        </w:tc>
        <w:tc>
          <w:tcPr>
            <w:tcW w:w="0" w:type="auto"/>
            <w:shd w:val="clear" w:color="auto" w:fill="auto"/>
          </w:tcPr>
          <w:p w14:paraId="7FFF12E8" w14:textId="2531EFEF" w:rsidR="00603234" w:rsidRPr="00603234" w:rsidRDefault="00603234" w:rsidP="00603234">
            <w:pPr>
              <w:spacing w:before="40" w:after="120"/>
              <w:ind w:right="113"/>
            </w:pPr>
            <w:r w:rsidRPr="00A67683">
              <w:t>Increase awareness and capacity in governments and civil society in relation to integrating gender into climate action, from understanding the linkages between gender considerations and climate change to effectively integrating such considerations into policy, plans and action</w:t>
            </w:r>
          </w:p>
        </w:tc>
      </w:tr>
      <w:tr w:rsidR="00603234" w:rsidRPr="00603234" w14:paraId="086E02F6" w14:textId="77777777" w:rsidTr="00566486">
        <w:tc>
          <w:tcPr>
            <w:tcW w:w="0" w:type="auto"/>
            <w:shd w:val="clear" w:color="auto" w:fill="auto"/>
          </w:tcPr>
          <w:p w14:paraId="4FEFDF11" w14:textId="4D3FF181" w:rsidR="00603234" w:rsidRPr="00603234" w:rsidRDefault="00603234" w:rsidP="00603234">
            <w:pPr>
              <w:spacing w:before="40" w:after="120"/>
              <w:ind w:right="113"/>
            </w:pPr>
            <w:r>
              <w:t>E.3.</w:t>
            </w:r>
          </w:p>
        </w:tc>
        <w:tc>
          <w:tcPr>
            <w:tcW w:w="0" w:type="auto"/>
            <w:shd w:val="clear" w:color="auto" w:fill="auto"/>
          </w:tcPr>
          <w:p w14:paraId="404D6FE9" w14:textId="5D650A2C" w:rsidR="00603234" w:rsidRPr="00603234" w:rsidRDefault="00603234" w:rsidP="00603234">
            <w:pPr>
              <w:spacing w:before="40" w:after="120"/>
              <w:ind w:right="113"/>
            </w:pPr>
            <w:r w:rsidRPr="0038084B">
              <w:rPr>
                <w:lang w:val="en-US"/>
              </w:rPr>
              <w:t xml:space="preserve">Report updated and </w:t>
            </w:r>
            <w:hyperlink r:id="rId26" w:history="1">
              <w:r w:rsidRPr="002C1A2D">
                <w:rPr>
                  <w:rStyle w:val="Hyperlink"/>
                  <w:lang w:val="en-US"/>
                </w:rPr>
                <w:t>information shared</w:t>
              </w:r>
            </w:hyperlink>
            <w:r w:rsidRPr="0038084B">
              <w:rPr>
                <w:lang w:val="en-US"/>
              </w:rPr>
              <w:t xml:space="preserve"> at the SB 50 gender workshop</w:t>
            </w:r>
          </w:p>
        </w:tc>
        <w:tc>
          <w:tcPr>
            <w:tcW w:w="0" w:type="auto"/>
            <w:shd w:val="clear" w:color="auto" w:fill="auto"/>
          </w:tcPr>
          <w:p w14:paraId="07CE6EAE" w14:textId="77777777" w:rsidR="00603234" w:rsidRDefault="00603234" w:rsidP="00603234">
            <w:pPr>
              <w:spacing w:before="40" w:after="120"/>
              <w:ind w:right="113"/>
            </w:pPr>
            <w:r w:rsidRPr="00E30F20">
              <w:t>Identify more gender-responsive technologies, and feed the knowledge of indigenous peoples and local communities into the annual</w:t>
            </w:r>
            <w:r w:rsidRPr="00E30F20" w:rsidDel="0092043F">
              <w:t xml:space="preserve"> </w:t>
            </w:r>
            <w:r w:rsidRPr="00E30F20">
              <w:t>report of the TEC</w:t>
            </w:r>
            <w:r>
              <w:t>;</w:t>
            </w:r>
          </w:p>
          <w:p w14:paraId="75CB0439" w14:textId="1578CE4C" w:rsidR="00603234" w:rsidRPr="00603234" w:rsidRDefault="00603234" w:rsidP="00603234">
            <w:pPr>
              <w:spacing w:before="40" w:after="120"/>
              <w:ind w:right="113"/>
            </w:pPr>
            <w:r w:rsidRPr="00913DA5">
              <w:rPr>
                <w:lang w:eastAsia="en-US"/>
              </w:rPr>
              <w:t xml:space="preserve">Identify and systematize </w:t>
            </w:r>
            <w:proofErr w:type="spellStart"/>
            <w:r w:rsidRPr="00913DA5">
              <w:rPr>
                <w:lang w:eastAsia="en-US"/>
              </w:rPr>
              <w:t>upscalable</w:t>
            </w:r>
            <w:proofErr w:type="spellEnd"/>
            <w:r w:rsidRPr="00913DA5">
              <w:rPr>
                <w:lang w:eastAsia="en-US"/>
              </w:rPr>
              <w:t xml:space="preserve"> and replicable gender-responsive projects and technology</w:t>
            </w:r>
            <w:r>
              <w:rPr>
                <w:lang w:eastAsia="en-US"/>
              </w:rPr>
              <w:t>.</w:t>
            </w:r>
          </w:p>
        </w:tc>
      </w:tr>
      <w:tr w:rsidR="00603234" w:rsidRPr="00603234" w14:paraId="38BDA7EC" w14:textId="77777777" w:rsidTr="00566486">
        <w:tc>
          <w:tcPr>
            <w:tcW w:w="0" w:type="auto"/>
            <w:shd w:val="clear" w:color="auto" w:fill="auto"/>
          </w:tcPr>
          <w:p w14:paraId="6BAC264B" w14:textId="69320583" w:rsidR="00603234" w:rsidRPr="00603234" w:rsidRDefault="00603234" w:rsidP="00603234">
            <w:pPr>
              <w:spacing w:before="40" w:after="120"/>
              <w:ind w:right="113"/>
            </w:pPr>
            <w:r>
              <w:t>E.4.</w:t>
            </w:r>
          </w:p>
        </w:tc>
        <w:tc>
          <w:tcPr>
            <w:tcW w:w="0" w:type="auto"/>
            <w:shd w:val="clear" w:color="auto" w:fill="auto"/>
          </w:tcPr>
          <w:p w14:paraId="4645F7BE" w14:textId="2921C0A9" w:rsidR="00603234" w:rsidRPr="00603234" w:rsidRDefault="00603234" w:rsidP="00603234">
            <w:pPr>
              <w:spacing w:before="40" w:after="120"/>
              <w:ind w:right="113"/>
            </w:pPr>
            <w:r>
              <w:rPr>
                <w:lang w:val="en-US"/>
              </w:rPr>
              <w:t xml:space="preserve">The secretariat </w:t>
            </w:r>
            <w:r w:rsidRPr="00497AAE">
              <w:t>encourage</w:t>
            </w:r>
            <w:r>
              <w:t>s</w:t>
            </w:r>
            <w:r w:rsidRPr="00497AAE">
              <w:t xml:space="preserve"> knowledge exchange activities</w:t>
            </w:r>
            <w:r>
              <w:t xml:space="preserve"> </w:t>
            </w:r>
            <w:r w:rsidRPr="00497AAE">
              <w:t>among its staff across</w:t>
            </w:r>
            <w:r>
              <w:rPr>
                <w:lang w:val="en-US"/>
              </w:rPr>
              <w:t xml:space="preserve"> through </w:t>
            </w:r>
            <w:r w:rsidRPr="00F63AAE">
              <w:rPr>
                <w:lang w:val="en-US"/>
              </w:rPr>
              <w:t>webinars</w:t>
            </w:r>
            <w:r>
              <w:rPr>
                <w:lang w:val="en-US"/>
              </w:rPr>
              <w:t xml:space="preserve"> </w:t>
            </w:r>
            <w:r w:rsidRPr="00497AAE">
              <w:t>and online courses and in-session workshops, including Gender Day events and informal dialogues</w:t>
            </w:r>
          </w:p>
        </w:tc>
        <w:tc>
          <w:tcPr>
            <w:tcW w:w="0" w:type="auto"/>
            <w:shd w:val="clear" w:color="auto" w:fill="auto"/>
          </w:tcPr>
          <w:p w14:paraId="568EFF37" w14:textId="77777777" w:rsidR="00603234" w:rsidRDefault="00603234" w:rsidP="00603234">
            <w:pPr>
              <w:spacing w:before="120" w:afterLines="60" w:after="144"/>
              <w:rPr>
                <w:lang w:eastAsia="en-US"/>
              </w:rPr>
            </w:pPr>
            <w:r>
              <w:rPr>
                <w:lang w:eastAsia="en-US"/>
              </w:rPr>
              <w:t>Review the relevance of this activity, since it is more related to priority area C (Coherence);</w:t>
            </w:r>
          </w:p>
          <w:p w14:paraId="053E0E77" w14:textId="46E1D75E" w:rsidR="00603234" w:rsidRPr="00603234" w:rsidRDefault="00603234" w:rsidP="00603234">
            <w:pPr>
              <w:spacing w:before="40" w:after="120"/>
              <w:ind w:right="113"/>
            </w:pPr>
            <w:r w:rsidRPr="00913DA5">
              <w:rPr>
                <w:lang w:eastAsia="en-US"/>
              </w:rPr>
              <w:t>Encourage knowledge exchange on tracking and reporting on gender-related mandates among secretariat staff across all topics</w:t>
            </w:r>
            <w:r>
              <w:rPr>
                <w:lang w:eastAsia="en-US"/>
              </w:rPr>
              <w:t>;</w:t>
            </w:r>
          </w:p>
        </w:tc>
      </w:tr>
      <w:bookmarkEnd w:id="3"/>
    </w:tbl>
    <w:p w14:paraId="767A71EE" w14:textId="77777777" w:rsidR="00603234" w:rsidRPr="00603234" w:rsidRDefault="00603234" w:rsidP="00603234">
      <w:pPr>
        <w:spacing w:before="40" w:after="120"/>
        <w:ind w:right="113"/>
      </w:pPr>
    </w:p>
    <w:p w14:paraId="7369768D" w14:textId="02BC8CC3" w:rsidR="0091549F" w:rsidRDefault="0091549F" w:rsidP="00B42A40">
      <w:pPr>
        <w:rPr>
          <w:lang w:val="en-US"/>
        </w:rPr>
      </w:pPr>
    </w:p>
    <w:p w14:paraId="16C97CFB" w14:textId="77777777" w:rsidR="003A56DE" w:rsidRPr="003A56DE" w:rsidRDefault="003A56DE" w:rsidP="003A56DE">
      <w:pPr>
        <w:spacing w:before="40" w:after="120"/>
        <w:ind w:right="113"/>
        <w:rPr>
          <w:u w:val="single"/>
        </w:rPr>
      </w:pPr>
    </w:p>
    <w:p w14:paraId="4ACC5850" w14:textId="77777777" w:rsidR="00742296" w:rsidRPr="00397B04" w:rsidRDefault="00397B04" w:rsidP="003A56DE">
      <w:pPr>
        <w:spacing w:before="40" w:after="120"/>
        <w:ind w:right="113"/>
        <w:rPr>
          <w:u w:val="single"/>
        </w:rPr>
      </w:pPr>
      <w:r w:rsidRPr="003A56DE">
        <w:rPr>
          <w:u w:val="single"/>
        </w:rPr>
        <w:tab/>
      </w:r>
      <w:r w:rsidRPr="003A56DE">
        <w:rPr>
          <w:u w:val="single"/>
        </w:rPr>
        <w:tab/>
      </w:r>
      <w:r w:rsidRPr="003A56DE">
        <w:rPr>
          <w:u w:val="single"/>
        </w:rPr>
        <w:tab/>
      </w:r>
      <w:r w:rsidR="003A7550" w:rsidRPr="003A56DE">
        <w:rPr>
          <w:u w:val="single"/>
        </w:rPr>
        <w:tab/>
      </w:r>
    </w:p>
    <w:sectPr w:rsidR="00742296" w:rsidRPr="00397B04" w:rsidSect="00795642">
      <w:headerReference w:type="even" r:id="rId27"/>
      <w:headerReference w:type="default" r:id="rId28"/>
      <w:footerReference w:type="even" r:id="rId29"/>
      <w:footerReference w:type="default" r:id="rId30"/>
      <w:pgSz w:w="16838" w:h="11906" w:orient="landscape" w:code="9"/>
      <w:pgMar w:top="1134" w:right="1417"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20376" w14:textId="77777777" w:rsidR="00C8333A" w:rsidRDefault="00C8333A">
      <w:r>
        <w:separator/>
      </w:r>
    </w:p>
    <w:p w14:paraId="200B907F" w14:textId="77777777" w:rsidR="00C8333A" w:rsidRDefault="00C8333A"/>
  </w:endnote>
  <w:endnote w:type="continuationSeparator" w:id="0">
    <w:p w14:paraId="53129B2F" w14:textId="77777777" w:rsidR="00C8333A" w:rsidRDefault="00C8333A">
      <w:r>
        <w:continuationSeparator/>
      </w:r>
    </w:p>
    <w:p w14:paraId="0BD82921" w14:textId="77777777" w:rsidR="00C8333A" w:rsidRDefault="00C833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7447D" w14:textId="77777777" w:rsidR="00C8333A" w:rsidRPr="00742296" w:rsidRDefault="00C8333A" w:rsidP="00742296">
    <w:pPr>
      <w:pStyle w:val="Footer"/>
      <w:tabs>
        <w:tab w:val="right" w:pos="9638"/>
      </w:tabs>
    </w:pPr>
    <w:r w:rsidRPr="00742296">
      <w:rPr>
        <w:b/>
        <w:sz w:val="18"/>
      </w:rPr>
      <w:fldChar w:fldCharType="begin"/>
    </w:r>
    <w:r w:rsidRPr="00742296">
      <w:rPr>
        <w:b/>
        <w:sz w:val="18"/>
      </w:rPr>
      <w:instrText xml:space="preserve"> PAGE  \* MERGEFORMAT </w:instrText>
    </w:r>
    <w:r w:rsidRPr="00742296">
      <w:rPr>
        <w:b/>
        <w:sz w:val="18"/>
      </w:rPr>
      <w:fldChar w:fldCharType="separate"/>
    </w:r>
    <w:r>
      <w:rPr>
        <w:b/>
        <w:noProof/>
        <w:sz w:val="18"/>
      </w:rPr>
      <w:t>2</w:t>
    </w:r>
    <w:r w:rsidRPr="00742296">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81B80" w14:textId="77777777" w:rsidR="00C8333A" w:rsidRPr="00742296" w:rsidRDefault="00C8333A" w:rsidP="00742296">
    <w:pPr>
      <w:pStyle w:val="Footer"/>
      <w:tabs>
        <w:tab w:val="right" w:pos="9638"/>
      </w:tabs>
      <w:rPr>
        <w:b/>
        <w:sz w:val="18"/>
      </w:rPr>
    </w:pPr>
    <w:r>
      <w:tab/>
    </w:r>
    <w:r w:rsidRPr="00742296">
      <w:rPr>
        <w:b/>
        <w:sz w:val="18"/>
      </w:rPr>
      <w:fldChar w:fldCharType="begin"/>
    </w:r>
    <w:r w:rsidRPr="00742296">
      <w:rPr>
        <w:b/>
        <w:sz w:val="18"/>
      </w:rPr>
      <w:instrText xml:space="preserve"> PAGE  \* MERGEFORMAT </w:instrText>
    </w:r>
    <w:r w:rsidRPr="00742296">
      <w:rPr>
        <w:b/>
        <w:sz w:val="18"/>
      </w:rPr>
      <w:fldChar w:fldCharType="separate"/>
    </w:r>
    <w:r>
      <w:rPr>
        <w:b/>
        <w:noProof/>
        <w:sz w:val="18"/>
      </w:rPr>
      <w:t>3</w:t>
    </w:r>
    <w:r w:rsidRPr="0074229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A02BB" w14:textId="77777777" w:rsidR="00C8333A" w:rsidRPr="008B0FDE" w:rsidRDefault="00C8333A" w:rsidP="008B0FDE">
    <w:pPr>
      <w:pStyle w:val="Footer"/>
    </w:pPr>
    <w:r>
      <w:rPr>
        <w:noProof/>
      </w:rPr>
      <mc:AlternateContent>
        <mc:Choice Requires="wps">
          <w:drawing>
            <wp:anchor distT="0" distB="0" distL="114300" distR="114300" simplePos="0" relativeHeight="251660288" behindDoc="0" locked="0" layoutInCell="1" allowOverlap="1" wp14:anchorId="7E295F62" wp14:editId="143D40AB">
              <wp:simplePos x="0" y="0"/>
              <wp:positionH relativeFrom="margin">
                <wp:posOffset>-431800</wp:posOffset>
              </wp:positionH>
              <wp:positionV relativeFrom="margin">
                <wp:posOffset>0</wp:posOffset>
              </wp:positionV>
              <wp:extent cx="222885" cy="6120130"/>
              <wp:effectExtent l="0" t="0" r="5715"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885" cy="6120130"/>
                      </a:xfrm>
                      <a:prstGeom prst="rect">
                        <a:avLst/>
                      </a:prstGeom>
                      <a:noFill/>
                      <a:ln w="9525" cap="flat" cmpd="sng" algn="ctr">
                        <a:noFill/>
                        <a:prstDash val="solid"/>
                        <a:round/>
                        <a:headEnd type="none" w="med" len="med"/>
                        <a:tailEnd type="none" w="med" len="med"/>
                      </a:ln>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20530675" w14:textId="77777777" w:rsidR="00C8333A" w:rsidRPr="008B0FDE" w:rsidRDefault="00C8333A" w:rsidP="008B0FDE">
                          <w:pPr>
                            <w:pStyle w:val="Footer"/>
                            <w:tabs>
                              <w:tab w:val="right" w:pos="9638"/>
                            </w:tabs>
                          </w:pPr>
                          <w:r w:rsidRPr="008B0FDE">
                            <w:rPr>
                              <w:b/>
                              <w:sz w:val="18"/>
                            </w:rPr>
                            <w:fldChar w:fldCharType="begin"/>
                          </w:r>
                          <w:r w:rsidRPr="008B0FDE">
                            <w:rPr>
                              <w:b/>
                              <w:sz w:val="18"/>
                            </w:rPr>
                            <w:instrText xml:space="preserve"> PAGE  \* MERGEFORMAT </w:instrText>
                          </w:r>
                          <w:r w:rsidRPr="008B0FDE">
                            <w:rPr>
                              <w:b/>
                              <w:sz w:val="18"/>
                            </w:rPr>
                            <w:fldChar w:fldCharType="separate"/>
                          </w:r>
                          <w:r>
                            <w:rPr>
                              <w:b/>
                              <w:sz w:val="18"/>
                            </w:rPr>
                            <w:t>2</w:t>
                          </w:r>
                          <w:r w:rsidRPr="008B0FDE">
                            <w:rPr>
                              <w:b/>
                              <w:sz w:val="18"/>
                            </w:rPr>
                            <w:fldChar w:fldCharType="end"/>
                          </w:r>
                          <w:r>
                            <w:rPr>
                              <w:sz w:val="18"/>
                            </w:rPr>
                            <w:tab/>
                          </w:r>
                        </w:p>
                        <w:p w14:paraId="2C2B8A0D" w14:textId="77777777" w:rsidR="00C8333A" w:rsidRDefault="00C8333A"/>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7E295F62" id="_x0000_t202" coordsize="21600,21600" o:spt="202" path="m,l,21600r21600,l21600,xe">
              <v:stroke joinstyle="miter"/>
              <v:path gradientshapeok="t" o:connecttype="rect"/>
            </v:shapetype>
            <v:shape id="Text Box 3" o:spid="_x0000_s1026" type="#_x0000_t202" style="position:absolute;margin-left:-34pt;margin-top:0;width:17.55pt;height:481.9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" filled="f" stroked="f">
              <v:stroke joinstyle="round"/>
              <v:path arrowok="t"/>
              <v:textbox style="layout-flow:vertical" inset="0,0,0,0">
                <w:txbxContent>
                  <w:p w14:paraId="20530675" w14:textId="77777777" w:rsidR="00C8333A" w:rsidRPr="008B0FDE" w:rsidRDefault="00C8333A" w:rsidP="008B0FDE">
                    <w:pPr>
                      <w:pStyle w:val="Footer"/>
                      <w:tabs>
                        <w:tab w:val="right" w:pos="9638"/>
                      </w:tabs>
                    </w:pPr>
                    <w:r w:rsidRPr="008B0FDE">
                      <w:rPr>
                        <w:b/>
                        <w:sz w:val="18"/>
                      </w:rPr>
                      <w:fldChar w:fldCharType="begin"/>
                    </w:r>
                    <w:r w:rsidRPr="008B0FDE">
                      <w:rPr>
                        <w:b/>
                        <w:sz w:val="18"/>
                      </w:rPr>
                      <w:instrText xml:space="preserve"> PAGE  \* MERGEFORMAT </w:instrText>
                    </w:r>
                    <w:r w:rsidRPr="008B0FDE">
                      <w:rPr>
                        <w:b/>
                        <w:sz w:val="18"/>
                      </w:rPr>
                      <w:fldChar w:fldCharType="separate"/>
                    </w:r>
                    <w:r>
                      <w:rPr>
                        <w:b/>
                        <w:sz w:val="18"/>
                      </w:rPr>
                      <w:t>2</w:t>
                    </w:r>
                    <w:r w:rsidRPr="008B0FDE">
                      <w:rPr>
                        <w:b/>
                        <w:sz w:val="18"/>
                      </w:rPr>
                      <w:fldChar w:fldCharType="end"/>
                    </w:r>
                    <w:r>
                      <w:rPr>
                        <w:sz w:val="18"/>
                      </w:rPr>
                      <w:tab/>
                    </w:r>
                  </w:p>
                  <w:p w14:paraId="2C2B8A0D" w14:textId="77777777" w:rsidR="00C8333A" w:rsidRDefault="00C8333A"/>
                </w:txbxContent>
              </v:textbox>
              <w10:wrap anchorx="margin" anchory="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83B01" w14:textId="77777777" w:rsidR="00C8333A" w:rsidRPr="008B0FDE" w:rsidRDefault="00C8333A" w:rsidP="008B0FDE">
    <w:pPr>
      <w:pStyle w:val="Footer"/>
    </w:pPr>
    <w:r>
      <w:rPr>
        <w:noProof/>
      </w:rPr>
      <mc:AlternateContent>
        <mc:Choice Requires="wps">
          <w:drawing>
            <wp:anchor distT="0" distB="0" distL="114300" distR="114300" simplePos="0" relativeHeight="251662336" behindDoc="0" locked="0" layoutInCell="1" allowOverlap="1" wp14:anchorId="4FDEB5A6" wp14:editId="2DEB7959">
              <wp:simplePos x="0" y="0"/>
              <wp:positionH relativeFrom="margin">
                <wp:posOffset>-431800</wp:posOffset>
              </wp:positionH>
              <wp:positionV relativeFrom="margin">
                <wp:posOffset>0</wp:posOffset>
              </wp:positionV>
              <wp:extent cx="222885" cy="6120130"/>
              <wp:effectExtent l="0" t="0" r="5715" b="139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885" cy="6120130"/>
                      </a:xfrm>
                      <a:prstGeom prst="rect">
                        <a:avLst/>
                      </a:prstGeom>
                      <a:noFill/>
                      <a:ln w="9525" cap="flat" cmpd="sng" algn="ctr">
                        <a:noFill/>
                        <a:prstDash val="solid"/>
                        <a:round/>
                        <a:headEnd type="none" w="med" len="med"/>
                        <a:tailEnd type="none" w="med" len="med"/>
                      </a:ln>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3B73FAA2" w14:textId="77777777" w:rsidR="00C8333A" w:rsidRPr="008B0FDE" w:rsidRDefault="00C8333A" w:rsidP="008B0FDE">
                          <w:pPr>
                            <w:pStyle w:val="Footer"/>
                            <w:tabs>
                              <w:tab w:val="right" w:pos="9638"/>
                            </w:tabs>
                            <w:rPr>
                              <w:b/>
                              <w:sz w:val="18"/>
                            </w:rPr>
                          </w:pPr>
                          <w:r>
                            <w:tab/>
                          </w:r>
                          <w:r w:rsidRPr="008B0FDE">
                            <w:rPr>
                              <w:b/>
                              <w:sz w:val="18"/>
                            </w:rPr>
                            <w:fldChar w:fldCharType="begin"/>
                          </w:r>
                          <w:r w:rsidRPr="008B0FDE">
                            <w:rPr>
                              <w:b/>
                              <w:sz w:val="18"/>
                            </w:rPr>
                            <w:instrText xml:space="preserve"> PAGE  \* MERGEFORMAT </w:instrText>
                          </w:r>
                          <w:r w:rsidRPr="008B0FDE">
                            <w:rPr>
                              <w:b/>
                              <w:sz w:val="18"/>
                            </w:rPr>
                            <w:fldChar w:fldCharType="separate"/>
                          </w:r>
                          <w:r>
                            <w:rPr>
                              <w:b/>
                              <w:sz w:val="18"/>
                            </w:rPr>
                            <w:t>3</w:t>
                          </w:r>
                          <w:r w:rsidRPr="008B0FDE">
                            <w:rPr>
                              <w:b/>
                              <w:sz w:val="18"/>
                            </w:rPr>
                            <w:fldChar w:fldCharType="end"/>
                          </w:r>
                        </w:p>
                        <w:p w14:paraId="6B62F589" w14:textId="77777777" w:rsidR="00C8333A" w:rsidRDefault="00C8333A"/>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4FDEB5A6" id="_x0000_t202" coordsize="21600,21600" o:spt="202" path="m,l,21600r21600,l21600,xe">
              <v:stroke joinstyle="miter"/>
              <v:path gradientshapeok="t" o:connecttype="rect"/>
            </v:shapetype>
            <v:shape id="Text Box 5" o:spid="_x0000_s1027" type="#_x0000_t202" style="position:absolute;margin-left:-34pt;margin-top:0;width:17.55pt;height:481.9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" filled="f" stroked="f">
              <v:stroke joinstyle="round"/>
              <v:path arrowok="t"/>
              <v:textbox style="layout-flow:vertical" inset="0,0,0,0">
                <w:txbxContent>
                  <w:p w14:paraId="3B73FAA2" w14:textId="77777777" w:rsidR="00C8333A" w:rsidRPr="008B0FDE" w:rsidRDefault="00C8333A" w:rsidP="008B0FDE">
                    <w:pPr>
                      <w:pStyle w:val="Footer"/>
                      <w:tabs>
                        <w:tab w:val="right" w:pos="9638"/>
                      </w:tabs>
                      <w:rPr>
                        <w:b/>
                        <w:sz w:val="18"/>
                      </w:rPr>
                    </w:pPr>
                    <w:r>
                      <w:tab/>
                    </w:r>
                    <w:r w:rsidRPr="008B0FDE">
                      <w:rPr>
                        <w:b/>
                        <w:sz w:val="18"/>
                      </w:rPr>
                      <w:fldChar w:fldCharType="begin"/>
                    </w:r>
                    <w:r w:rsidRPr="008B0FDE">
                      <w:rPr>
                        <w:b/>
                        <w:sz w:val="18"/>
                      </w:rPr>
                      <w:instrText xml:space="preserve"> PAGE  \* MERGEFORMAT </w:instrText>
                    </w:r>
                    <w:r w:rsidRPr="008B0FDE">
                      <w:rPr>
                        <w:b/>
                        <w:sz w:val="18"/>
                      </w:rPr>
                      <w:fldChar w:fldCharType="separate"/>
                    </w:r>
                    <w:r>
                      <w:rPr>
                        <w:b/>
                        <w:sz w:val="18"/>
                      </w:rPr>
                      <w:t>3</w:t>
                    </w:r>
                    <w:r w:rsidRPr="008B0FDE">
                      <w:rPr>
                        <w:b/>
                        <w:sz w:val="18"/>
                      </w:rPr>
                      <w:fldChar w:fldCharType="end"/>
                    </w:r>
                  </w:p>
                  <w:p w14:paraId="6B62F589" w14:textId="77777777" w:rsidR="00C8333A" w:rsidRDefault="00C8333A"/>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65741" w14:textId="77777777" w:rsidR="00C8333A" w:rsidRDefault="00C8333A">
      <w:r>
        <w:separator/>
      </w:r>
    </w:p>
  </w:footnote>
  <w:footnote w:type="continuationSeparator" w:id="0">
    <w:p w14:paraId="29AD0072" w14:textId="77777777" w:rsidR="00C8333A" w:rsidRDefault="00C8333A">
      <w:r>
        <w:continuationSeparator/>
      </w:r>
    </w:p>
    <w:p w14:paraId="6CF6DDCB" w14:textId="77777777" w:rsidR="00C8333A" w:rsidRDefault="00C8333A"/>
  </w:footnote>
  <w:footnote w:id="1">
    <w:p w14:paraId="442BE305" w14:textId="77777777" w:rsidR="007F2C90" w:rsidRDefault="007F2C90" w:rsidP="007F2C90">
      <w:pPr>
        <w:pStyle w:val="FootnoteText"/>
      </w:pPr>
      <w:r>
        <w:tab/>
      </w:r>
      <w:r>
        <w:rPr>
          <w:rStyle w:val="FootnoteReference"/>
        </w:rPr>
        <w:footnoteRef/>
      </w:r>
      <w:r>
        <w:t xml:space="preserve"> </w:t>
      </w:r>
      <w:r>
        <w:tab/>
        <w:t>Decision 21/CP.22, para. 6.</w:t>
      </w:r>
    </w:p>
  </w:footnote>
  <w:footnote w:id="2">
    <w:p w14:paraId="62B1062A" w14:textId="77777777" w:rsidR="007F2C90" w:rsidRDefault="007F2C90" w:rsidP="007F2C90">
      <w:pPr>
        <w:pStyle w:val="FootnoteText"/>
        <w:widowControl w:val="0"/>
        <w:rPr>
          <w:lang w:val="en-US"/>
        </w:rPr>
      </w:pPr>
      <w:r>
        <w:tab/>
      </w:r>
      <w:r>
        <w:rPr>
          <w:rStyle w:val="FootnoteReference"/>
        </w:rPr>
        <w:footnoteRef/>
      </w:r>
      <w:r>
        <w:tab/>
        <w:t xml:space="preserve">FCCC/SBI/2019/15/Add.1 </w:t>
      </w:r>
    </w:p>
  </w:footnote>
  <w:footnote w:id="3">
    <w:p w14:paraId="3C4660CF" w14:textId="77777777" w:rsidR="007F2C90" w:rsidRDefault="007F2C90" w:rsidP="007F2C90">
      <w:pPr>
        <w:pStyle w:val="FootnoteText"/>
        <w:rPr>
          <w:lang w:val="fr-FR"/>
        </w:rPr>
      </w:pPr>
      <w:r>
        <w:tab/>
      </w:r>
      <w:r>
        <w:rPr>
          <w:rStyle w:val="FootnoteReference"/>
        </w:rPr>
        <w:footnoteRef/>
      </w:r>
      <w:r>
        <w:tab/>
        <w:t xml:space="preserve">Decision 3/CP.23, para. </w:t>
      </w:r>
      <w:r>
        <w:rPr>
          <w:lang w:val="fr-FR"/>
        </w:rPr>
        <w:t xml:space="preserve">5. </w:t>
      </w:r>
    </w:p>
  </w:footnote>
  <w:footnote w:id="4">
    <w:p w14:paraId="72FCC016" w14:textId="77777777" w:rsidR="007F2C90" w:rsidRDefault="007F2C90" w:rsidP="007F2C90">
      <w:pPr>
        <w:pStyle w:val="FootnoteText"/>
        <w:widowControl w:val="0"/>
        <w:rPr>
          <w:lang w:val="en-US"/>
        </w:rPr>
      </w:pPr>
      <w:r>
        <w:tab/>
      </w:r>
      <w:r>
        <w:rPr>
          <w:rStyle w:val="FootnoteReference"/>
        </w:rPr>
        <w:footnoteRef/>
      </w:r>
      <w:r>
        <w:tab/>
        <w:t xml:space="preserve">SBI50.IN.i16 </w:t>
      </w:r>
    </w:p>
  </w:footnote>
  <w:footnote w:id="5">
    <w:p w14:paraId="15675A23" w14:textId="47044110" w:rsidR="007F2C90" w:rsidRDefault="007F2C90" w:rsidP="007F2C90">
      <w:pPr>
        <w:pStyle w:val="FootnoteText"/>
        <w:widowControl w:val="0"/>
        <w:rPr>
          <w:lang w:val="en-US"/>
        </w:rPr>
      </w:pPr>
      <w:r>
        <w:tab/>
      </w:r>
      <w:r>
        <w:rPr>
          <w:rStyle w:val="FootnoteReference"/>
        </w:rPr>
        <w:footnoteRef/>
      </w:r>
      <w:r>
        <w:tab/>
        <w:t>Similar document has been prepared for the LWP</w:t>
      </w:r>
      <w:r w:rsidR="009B464B">
        <w:t>G</w:t>
      </w:r>
      <w:r>
        <w:t xml:space="preserve"> </w:t>
      </w:r>
    </w:p>
  </w:footnote>
  <w:footnote w:id="6">
    <w:p w14:paraId="38F9B185" w14:textId="77777777" w:rsidR="007F2C90" w:rsidRDefault="007F2C90" w:rsidP="007F2C90">
      <w:pPr>
        <w:pStyle w:val="FootnoteText"/>
      </w:pPr>
      <w:r>
        <w:rPr>
          <w:lang w:val="fr-FR"/>
        </w:rPr>
        <w:tab/>
      </w:r>
      <w:r>
        <w:rPr>
          <w:rStyle w:val="FootnoteReference"/>
        </w:rPr>
        <w:footnoteRef/>
      </w:r>
      <w:r>
        <w:rPr>
          <w:lang w:val="fr-FR"/>
        </w:rPr>
        <w:tab/>
        <w:t xml:space="preserve">FCCC/SBI/2018/22, para. </w:t>
      </w:r>
      <w:r>
        <w:t xml:space="preserve">104. </w:t>
      </w:r>
    </w:p>
  </w:footnote>
  <w:footnote w:id="7">
    <w:p w14:paraId="5E1C0A7A" w14:textId="77777777" w:rsidR="007F2C90" w:rsidRDefault="007F2C90" w:rsidP="007F2C90">
      <w:pPr>
        <w:pStyle w:val="FootnoteText"/>
      </w:pPr>
      <w:r>
        <w:tab/>
      </w:r>
      <w:r>
        <w:rPr>
          <w:rStyle w:val="FootnoteReference"/>
        </w:rPr>
        <w:footnoteRef/>
      </w:r>
      <w:r>
        <w:t xml:space="preserve"> </w:t>
      </w:r>
      <w:r>
        <w:tab/>
        <w:t xml:space="preserve">See </w:t>
      </w:r>
      <w:hyperlink r:id="rId1" w:history="1">
        <w:r>
          <w:rPr>
            <w:rStyle w:val="Hyperlink"/>
          </w:rPr>
          <w:t>https://unfccc.int/topics/gender/events-meetings/workshops-dialogues/workshop-on-gender-and-climate-change-may-2018</w:t>
        </w:r>
      </w:hyperlink>
      <w:r>
        <w:rPr>
          <w:rStyle w:val="Hyperlink"/>
        </w:rPr>
        <w:t>.</w:t>
      </w:r>
    </w:p>
  </w:footnote>
  <w:footnote w:id="8">
    <w:p w14:paraId="74CAD3AB" w14:textId="77777777" w:rsidR="007F2C90" w:rsidRDefault="007F2C90" w:rsidP="007F2C90">
      <w:pPr>
        <w:pStyle w:val="FootnoteText"/>
      </w:pPr>
      <w:r>
        <w:tab/>
      </w:r>
      <w:r>
        <w:rPr>
          <w:rStyle w:val="FootnoteReference"/>
        </w:rPr>
        <w:footnoteRef/>
      </w:r>
      <w:r>
        <w:tab/>
        <w:t xml:space="preserve">See </w:t>
      </w:r>
      <w:hyperlink r:id="rId2" w:history="1">
        <w:r>
          <w:rPr>
            <w:rStyle w:val="Hyperlink"/>
          </w:rPr>
          <w:t>https://unfccc.int/workshop-on-gender-and-climate-change-june-2019</w:t>
        </w:r>
      </w:hyperlink>
      <w:r>
        <w:t>.</w:t>
      </w:r>
    </w:p>
  </w:footnote>
  <w:footnote w:id="9">
    <w:p w14:paraId="7B788F67" w14:textId="77777777" w:rsidR="004647A9" w:rsidRDefault="004647A9" w:rsidP="004647A9">
      <w:pPr>
        <w:pStyle w:val="FootnoteText"/>
        <w:widowControl w:val="0"/>
        <w:tabs>
          <w:tab w:val="clear" w:pos="1021"/>
          <w:tab w:val="right" w:pos="1020"/>
        </w:tabs>
      </w:pPr>
      <w:r>
        <w:tab/>
      </w:r>
      <w:r>
        <w:rPr>
          <w:rStyle w:val="FootnoteReference"/>
        </w:rPr>
        <w:footnoteRef/>
      </w:r>
      <w:r>
        <w:tab/>
        <w:t xml:space="preserve">Parties: Benin; Chad; Chile; Costa Rica; Ethiopia; Finland; the EU on behalf of its member States; Kenya; Liberia; Madagascar; Mexico; New Zealand; Pakistan; Switzerland; Uganda; the United States of America on behalf of Australia, Canada, Japan and the United States; Uruguay; Zambia. </w:t>
      </w:r>
    </w:p>
    <w:p w14:paraId="51C86129" w14:textId="4FDDEEB7" w:rsidR="004647A9" w:rsidRPr="004647A9" w:rsidRDefault="004647A9" w:rsidP="004647A9">
      <w:pPr>
        <w:pStyle w:val="FootnoteText"/>
        <w:widowControl w:val="0"/>
        <w:tabs>
          <w:tab w:val="clear" w:pos="1021"/>
          <w:tab w:val="right" w:pos="1020"/>
        </w:tabs>
        <w:rPr>
          <w:lang w:val="en-US"/>
        </w:rPr>
      </w:pPr>
      <w:r>
        <w:tab/>
      </w:r>
      <w:r>
        <w:tab/>
        <w:t xml:space="preserve">United Nations system organizations: Food and Agriculture Organization of the United Nations, International Labour Organization, International Organization for Migration, Office of the High Commissioner for Human Rights, UNDP, UNDP–UNEP Global Support Programme, and UN Women; intergovernmental organization: International Union for Conservation of Nature; nongovernmental organizations: children and youth constituency; International Institute for Sustainable Development; women and gender constituency; Women Engage for a Common Future; and World Federation of Engineering Organizations on behalf of Women and Men in Environment and Artificial Intelligence, the International Network of Women Engineers and Scientists, and </w:t>
      </w:r>
      <w:proofErr w:type="spellStart"/>
      <w:r>
        <w:t>Arborus</w:t>
      </w:r>
      <w:proofErr w:type="spellEnd"/>
      <w:r>
        <w:t xml:space="preserve">. </w:t>
      </w:r>
    </w:p>
  </w:footnote>
  <w:footnote w:id="10">
    <w:p w14:paraId="0393E0FA" w14:textId="77777777" w:rsidR="00007ACD" w:rsidRPr="0066343C" w:rsidRDefault="00007ACD" w:rsidP="00007ACD">
      <w:pPr>
        <w:pStyle w:val="FootnoteText"/>
        <w:widowControl w:val="0"/>
        <w:tabs>
          <w:tab w:val="clear" w:pos="1021"/>
          <w:tab w:val="right" w:pos="1020"/>
        </w:tabs>
        <w:rPr>
          <w:lang w:val="en-US"/>
        </w:rPr>
      </w:pPr>
      <w:r>
        <w:tab/>
      </w:r>
      <w:r>
        <w:rPr>
          <w:rStyle w:val="FootnoteReference"/>
        </w:rPr>
        <w:footnoteRef/>
      </w:r>
      <w:r>
        <w:tab/>
        <w:t xml:space="preserve">See </w:t>
      </w:r>
      <w:hyperlink r:id="rId3" w:history="1">
        <w:r>
          <w:rPr>
            <w:rStyle w:val="Hyperlink"/>
          </w:rPr>
          <w:t>https://unfccc.int/topics/gender/resources/list-of-gender-focal-points-under-the-unfccc</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1264D" w14:textId="77777777" w:rsidR="00C8333A" w:rsidRPr="00742296" w:rsidRDefault="00C8333A" w:rsidP="00742296">
    <w:pPr>
      <w:pStyle w:val="Header"/>
      <w:jc w:val="right"/>
    </w:pPr>
    <w:proofErr w:type="gramStart"/>
    <w:r>
      <w:t>Informal.SBI.2017.X</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2C490" w14:textId="2A9F5EFE" w:rsidR="00C8333A" w:rsidRPr="001B711B" w:rsidRDefault="00C8333A" w:rsidP="001B711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85415" w14:textId="454124D0" w:rsidR="00C8333A" w:rsidRPr="00795642" w:rsidRDefault="00C8333A" w:rsidP="007956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2036B"/>
    <w:multiLevelType w:val="hybridMultilevel"/>
    <w:tmpl w:val="B21093D2"/>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454B7"/>
    <w:multiLevelType w:val="multilevel"/>
    <w:tmpl w:val="D570AB8A"/>
    <w:styleLink w:val="FigureFootnote"/>
    <w:lvl w:ilvl="0">
      <w:start w:val="1"/>
      <w:numFmt w:val="lowerLetter"/>
      <w:lvlRestart w:val="0"/>
      <w:suff w:val="space"/>
      <w:lvlText w:val="%1  "/>
      <w:lvlJc w:val="left"/>
      <w:pPr>
        <w:ind w:left="1134" w:firstLine="170"/>
      </w:pPr>
      <w:rPr>
        <w:i/>
        <w:sz w:val="18"/>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1E275F"/>
    <w:multiLevelType w:val="hybridMultilevel"/>
    <w:tmpl w:val="3D36B276"/>
    <w:name w:val="FCCCTextbox footnote"/>
    <w:lvl w:ilvl="0" w:tplc="4CEEA2B8">
      <w:start w:val="1"/>
      <w:numFmt w:val="lowerLetter"/>
      <w:lvlRestart w:val="0"/>
      <w:lvlText w:val="%1  "/>
      <w:lvlJc w:val="left"/>
      <w:pPr>
        <w:ind w:left="720" w:hanging="363"/>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3354E"/>
    <w:multiLevelType w:val="multilevel"/>
    <w:tmpl w:val="597C46D4"/>
    <w:lvl w:ilvl="0">
      <w:start w:val="1"/>
      <w:numFmt w:val="upperRoman"/>
      <w:lvlRestart w:val="0"/>
      <w:pStyle w:val="RegHChG"/>
      <w:lvlText w:val="%1."/>
      <w:lvlJc w:val="right"/>
      <w:pPr>
        <w:tabs>
          <w:tab w:val="num" w:pos="1135"/>
        </w:tabs>
        <w:ind w:left="1135" w:hanging="284"/>
      </w:pPr>
      <w:rPr>
        <w:rFonts w:ascii="Times New Roman" w:hAnsi="Times New Roman" w:cs="Times New Roman" w:hint="default"/>
        <w:b/>
        <w:i w:val="0"/>
        <w:sz w:val="28"/>
      </w:rPr>
    </w:lvl>
    <w:lvl w:ilvl="1">
      <w:start w:val="1"/>
      <w:numFmt w:val="upperLetter"/>
      <w:pStyle w:val="RegH1G"/>
      <w:lvlText w:val="%2."/>
      <w:lvlJc w:val="right"/>
      <w:pPr>
        <w:tabs>
          <w:tab w:val="num" w:pos="1135"/>
        </w:tabs>
        <w:ind w:left="1135" w:hanging="284"/>
      </w:pPr>
      <w:rPr>
        <w:rFonts w:ascii="Times New Roman" w:hAnsi="Times New Roman" w:cs="Times New Roman" w:hint="default"/>
        <w:b/>
        <w:i w:val="0"/>
        <w:sz w:val="24"/>
      </w:rPr>
    </w:lvl>
    <w:lvl w:ilvl="2">
      <w:start w:val="1"/>
      <w:numFmt w:val="decimal"/>
      <w:pStyle w:val="RegH23G"/>
      <w:lvlText w:val="%3."/>
      <w:lvlJc w:val="right"/>
      <w:pPr>
        <w:tabs>
          <w:tab w:val="num" w:pos="1135"/>
        </w:tabs>
        <w:ind w:left="1135" w:hanging="284"/>
      </w:pPr>
      <w:rPr>
        <w:rFonts w:ascii="Times New Roman" w:hAnsi="Times New Roman" w:cs="Times New Roman" w:hint="default"/>
        <w:b/>
        <w:bCs/>
        <w:i w:val="0"/>
        <w:iCs w:val="0"/>
        <w:sz w:val="20"/>
        <w:szCs w:val="20"/>
      </w:rPr>
    </w:lvl>
    <w:lvl w:ilvl="3">
      <w:start w:val="1"/>
      <w:numFmt w:val="lowerLetter"/>
      <w:pStyle w:val="RegH4G"/>
      <w:lvlText w:val="(%4)"/>
      <w:lvlJc w:val="right"/>
      <w:pPr>
        <w:tabs>
          <w:tab w:val="num" w:pos="1134"/>
        </w:tabs>
        <w:ind w:left="1135" w:hanging="284"/>
      </w:pPr>
      <w:rPr>
        <w:rFonts w:ascii="Times New Roman" w:hAnsi="Times New Roman" w:cs="Times New Roman" w:hint="default"/>
        <w:b/>
        <w:i w:val="0"/>
        <w:sz w:val="20"/>
      </w:rPr>
    </w:lvl>
    <w:lvl w:ilvl="4">
      <w:start w:val="1"/>
      <w:numFmt w:val="lowerRoman"/>
      <w:pStyle w:val="RegH5G"/>
      <w:lvlText w:val="(%5)"/>
      <w:lvlJc w:val="right"/>
      <w:pPr>
        <w:tabs>
          <w:tab w:val="num" w:pos="1134"/>
        </w:tabs>
        <w:ind w:left="1135" w:hanging="284"/>
      </w:pPr>
      <w:rPr>
        <w:rFonts w:ascii="Times New Roman" w:hAnsi="Times New Roman" w:hint="default"/>
        <w:b w:val="0"/>
        <w:i/>
      </w:rPr>
    </w:lvl>
    <w:lvl w:ilvl="5">
      <w:start w:val="1"/>
      <w:numFmt w:val="decimal"/>
      <w:lvlRestart w:val="0"/>
      <w:pStyle w:val="RegSingleTxtG"/>
      <w:lvlText w:val="%6."/>
      <w:lvlJc w:val="left"/>
      <w:pPr>
        <w:ind w:left="1134" w:firstLine="0"/>
      </w:pPr>
      <w:rPr>
        <w:rFonts w:hint="default"/>
        <w:sz w:val="20"/>
        <w:vertAlign w:val="baseline"/>
      </w:rPr>
    </w:lvl>
    <w:lvl w:ilvl="6">
      <w:start w:val="1"/>
      <w:numFmt w:val="lowerLetter"/>
      <w:pStyle w:val="RegSingleTxtG2"/>
      <w:lvlText w:val="(%7)"/>
      <w:lvlJc w:val="left"/>
      <w:pPr>
        <w:tabs>
          <w:tab w:val="num" w:pos="1702"/>
        </w:tabs>
        <w:ind w:left="1134" w:firstLine="567"/>
      </w:pPr>
      <w:rPr>
        <w:rFonts w:hint="default"/>
        <w:b w:val="0"/>
        <w:i w:val="0"/>
        <w:color w:val="auto"/>
        <w:sz w:val="20"/>
        <w:szCs w:val="28"/>
      </w:rPr>
    </w:lvl>
    <w:lvl w:ilvl="7">
      <w:start w:val="1"/>
      <w:numFmt w:val="lowerRoman"/>
      <w:pStyle w:val="RegSingleTxtG3"/>
      <w:lvlText w:val="(%8)"/>
      <w:lvlJc w:val="left"/>
      <w:pPr>
        <w:ind w:left="1701" w:firstLine="0"/>
      </w:pPr>
      <w:rPr>
        <w:rFonts w:hint="default"/>
        <w:sz w:val="20"/>
      </w:rPr>
    </w:lvl>
    <w:lvl w:ilvl="8">
      <w:start w:val="1"/>
      <w:numFmt w:val="lowerLetter"/>
      <w:lvlText w:val="%9."/>
      <w:lvlJc w:val="left"/>
      <w:pPr>
        <w:tabs>
          <w:tab w:val="num" w:pos="2268"/>
        </w:tabs>
        <w:ind w:left="2268" w:firstLine="0"/>
      </w:pPr>
      <w:rPr>
        <w:rFonts w:hint="default"/>
      </w:rPr>
    </w:lvl>
  </w:abstractNum>
  <w:abstractNum w:abstractNumId="4" w15:restartNumberingAfterBreak="0">
    <w:nsid w:val="166D77CB"/>
    <w:multiLevelType w:val="hybridMultilevel"/>
    <w:tmpl w:val="ED1E15A6"/>
    <w:lvl w:ilvl="0" w:tplc="EF8A15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DA5790"/>
    <w:multiLevelType w:val="hybridMultilevel"/>
    <w:tmpl w:val="02863156"/>
    <w:lvl w:ilvl="0" w:tplc="EF8A15C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217904"/>
    <w:multiLevelType w:val="multilevel"/>
    <w:tmpl w:val="4C2A71EA"/>
    <w:name w:val="TextBox Footnote"/>
    <w:lvl w:ilvl="0">
      <w:start w:val="1"/>
      <w:numFmt w:val="lowerLetter"/>
      <w:lvlRestart w:val="0"/>
      <w:suff w:val="space"/>
      <w:lvlText w:val="%1  "/>
      <w:lvlJc w:val="left"/>
      <w:pPr>
        <w:ind w:left="1134" w:firstLine="170"/>
      </w:pPr>
      <w:rPr>
        <w:rFonts w:hint="default"/>
        <w:i/>
        <w:sz w:val="18"/>
        <w:vertAlign w:val="superscrip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03B2E8D"/>
    <w:multiLevelType w:val="multilevel"/>
    <w:tmpl w:val="D570AB8A"/>
    <w:styleLink w:val="FCCCBoxfootnote"/>
    <w:lvl w:ilvl="0">
      <w:start w:val="1"/>
      <w:numFmt w:val="lowerLetter"/>
      <w:lvlRestart w:val="0"/>
      <w:suff w:val="space"/>
      <w:lvlText w:val="%1  "/>
      <w:lvlJc w:val="left"/>
      <w:pPr>
        <w:ind w:left="1134" w:firstLine="170"/>
      </w:pPr>
      <w:rPr>
        <w:i/>
        <w:sz w:val="18"/>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C51BCD"/>
    <w:multiLevelType w:val="hybridMultilevel"/>
    <w:tmpl w:val="7A801CA4"/>
    <w:name w:val="FCCCTextbox footnote232"/>
    <w:lvl w:ilvl="0" w:tplc="4CEEA2B8">
      <w:start w:val="1"/>
      <w:numFmt w:val="lowerLetter"/>
      <w:lvlRestart w:val="0"/>
      <w:lvlText w:val="%1  "/>
      <w:lvlJc w:val="left"/>
      <w:pPr>
        <w:ind w:left="720" w:hanging="363"/>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C64F00"/>
    <w:multiLevelType w:val="multilevel"/>
    <w:tmpl w:val="EF36802C"/>
    <w:lvl w:ilvl="0">
      <w:start w:val="1"/>
      <w:numFmt w:val="upperRoman"/>
      <w:lvlRestart w:val="0"/>
      <w:pStyle w:val="AnnoHCHG"/>
      <w:lvlText w:val="%1."/>
      <w:lvlJc w:val="right"/>
      <w:pPr>
        <w:tabs>
          <w:tab w:val="num" w:pos="1135"/>
        </w:tabs>
        <w:ind w:left="1135" w:hanging="284"/>
      </w:pPr>
      <w:rPr>
        <w:rFonts w:ascii="Times New Roman" w:hAnsi="Times New Roman" w:cs="Times New Roman" w:hint="default"/>
        <w:b/>
        <w:i w:val="0"/>
        <w:sz w:val="28"/>
      </w:rPr>
    </w:lvl>
    <w:lvl w:ilvl="1">
      <w:start w:val="1"/>
      <w:numFmt w:val="decimal"/>
      <w:pStyle w:val="AnnoH1G"/>
      <w:lvlText w:val="%2."/>
      <w:lvlJc w:val="right"/>
      <w:pPr>
        <w:tabs>
          <w:tab w:val="num" w:pos="1135"/>
        </w:tabs>
        <w:ind w:left="1135" w:hanging="284"/>
      </w:pPr>
      <w:rPr>
        <w:rFonts w:ascii="Times New Roman" w:hAnsi="Times New Roman" w:cs="Times New Roman" w:hint="default"/>
        <w:b/>
        <w:i w:val="0"/>
        <w:sz w:val="24"/>
      </w:rPr>
    </w:lvl>
    <w:lvl w:ilvl="2">
      <w:start w:val="1"/>
      <w:numFmt w:val="lowerLetter"/>
      <w:pStyle w:val="AnnoH23G"/>
      <w:lvlText w:val="(%3)"/>
      <w:lvlJc w:val="right"/>
      <w:pPr>
        <w:tabs>
          <w:tab w:val="num" w:pos="1135"/>
        </w:tabs>
        <w:ind w:left="1135" w:hanging="284"/>
      </w:pPr>
      <w:rPr>
        <w:rFonts w:ascii="Times New Roman" w:hAnsi="Times New Roman" w:cs="Times New Roman" w:hint="default"/>
        <w:b w:val="0"/>
        <w:i w:val="0"/>
        <w:sz w:val="20"/>
      </w:rPr>
    </w:lvl>
    <w:lvl w:ilvl="3">
      <w:start w:val="1"/>
      <w:numFmt w:val="decimal"/>
      <w:lvlRestart w:val="0"/>
      <w:pStyle w:val="AnnoSingleTxtG"/>
      <w:lvlText w:val="%4."/>
      <w:lvlJc w:val="left"/>
      <w:pPr>
        <w:tabs>
          <w:tab w:val="num" w:pos="1702"/>
        </w:tabs>
        <w:ind w:left="1702" w:hanging="567"/>
      </w:pPr>
      <w:rPr>
        <w:rFonts w:hint="default"/>
      </w:rPr>
    </w:lvl>
    <w:lvl w:ilvl="4">
      <w:start w:val="1"/>
      <w:numFmt w:val="lowerLetter"/>
      <w:lvlText w:val="(%5)"/>
      <w:lvlJc w:val="left"/>
      <w:pPr>
        <w:tabs>
          <w:tab w:val="num" w:pos="2269"/>
        </w:tabs>
        <w:ind w:left="1702" w:firstLine="0"/>
      </w:pPr>
      <w:rPr>
        <w:rFonts w:hint="default"/>
      </w:rPr>
    </w:lvl>
    <w:lvl w:ilvl="5">
      <w:start w:val="1"/>
      <w:numFmt w:val="decimal"/>
      <w:lvlText w:val="%6."/>
      <w:lvlJc w:val="left"/>
      <w:pPr>
        <w:tabs>
          <w:tab w:val="num" w:pos="2161"/>
        </w:tabs>
        <w:ind w:left="2836" w:hanging="567"/>
      </w:pPr>
      <w:rPr>
        <w:rFonts w:hint="default"/>
      </w:rPr>
    </w:lvl>
    <w:lvl w:ilvl="6">
      <w:start w:val="1"/>
      <w:numFmt w:val="lowerLetter"/>
      <w:lvlText w:val="(%7)"/>
      <w:lvlJc w:val="left"/>
      <w:pPr>
        <w:tabs>
          <w:tab w:val="num" w:pos="3403"/>
        </w:tabs>
        <w:ind w:left="3403" w:hanging="567"/>
      </w:pPr>
      <w:rPr>
        <w:rFonts w:hint="default"/>
      </w:rPr>
    </w:lvl>
    <w:lvl w:ilvl="7">
      <w:start w:val="1"/>
      <w:numFmt w:val="none"/>
      <w:lvlText w:val="[%4."/>
      <w:lvlJc w:val="left"/>
      <w:pPr>
        <w:tabs>
          <w:tab w:val="num" w:pos="1702"/>
        </w:tabs>
        <w:ind w:left="1702" w:hanging="567"/>
      </w:pPr>
      <w:rPr>
        <w:rFonts w:hint="default"/>
        <w:color w:val="auto"/>
        <w:szCs w:val="28"/>
      </w:rPr>
    </w:lvl>
    <w:lvl w:ilvl="8">
      <w:start w:val="1"/>
      <w:numFmt w:val="lowerRoman"/>
      <w:lvlText w:val="%9."/>
      <w:lvlJc w:val="left"/>
      <w:pPr>
        <w:tabs>
          <w:tab w:val="num" w:pos="3238"/>
        </w:tabs>
        <w:ind w:left="3238" w:hanging="357"/>
      </w:pPr>
      <w:rPr>
        <w:rFonts w:hint="default"/>
      </w:rPr>
    </w:lvl>
  </w:abstractNum>
  <w:abstractNum w:abstractNumId="10" w15:restartNumberingAfterBreak="0">
    <w:nsid w:val="2833644C"/>
    <w:multiLevelType w:val="hybridMultilevel"/>
    <w:tmpl w:val="037ABA06"/>
    <w:lvl w:ilvl="0" w:tplc="EF8A15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215943"/>
    <w:multiLevelType w:val="multilevel"/>
    <w:tmpl w:val="72D26EF8"/>
    <w:styleLink w:val="FCCCTextboxfootnote"/>
    <w:lvl w:ilvl="0">
      <w:start w:val="1"/>
      <w:numFmt w:val="lowerLetter"/>
      <w:lvlRestart w:val="0"/>
      <w:lvlText w:val="%1  "/>
      <w:lvlJc w:val="left"/>
      <w:pPr>
        <w:ind w:left="720" w:hanging="363"/>
      </w:pPr>
      <w:rPr>
        <w:rFonts w:hint="default"/>
        <w:i/>
        <w:sz w:val="18"/>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F1F7003"/>
    <w:multiLevelType w:val="hybridMultilevel"/>
    <w:tmpl w:val="F8F22560"/>
    <w:name w:val="FCCCTextbox footnote2"/>
    <w:lvl w:ilvl="0" w:tplc="4CEEA2B8">
      <w:start w:val="1"/>
      <w:numFmt w:val="lowerLetter"/>
      <w:lvlRestart w:val="0"/>
      <w:lvlText w:val="%1  "/>
      <w:lvlJc w:val="left"/>
      <w:pPr>
        <w:ind w:left="720" w:hanging="363"/>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9C738E"/>
    <w:multiLevelType w:val="hybridMultilevel"/>
    <w:tmpl w:val="CF9042B4"/>
    <w:name w:val="FCCCTextbox footnote22"/>
    <w:lvl w:ilvl="0" w:tplc="4CEEA2B8">
      <w:start w:val="1"/>
      <w:numFmt w:val="lowerLetter"/>
      <w:lvlRestart w:val="0"/>
      <w:lvlText w:val="%1  "/>
      <w:lvlJc w:val="left"/>
      <w:pPr>
        <w:ind w:left="720" w:hanging="363"/>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F4658E"/>
    <w:multiLevelType w:val="hybridMultilevel"/>
    <w:tmpl w:val="A4BE8774"/>
    <w:lvl w:ilvl="0" w:tplc="EF8A15C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47667B"/>
    <w:multiLevelType w:val="hybridMultilevel"/>
    <w:tmpl w:val="9B720724"/>
    <w:name w:val="FCCCTextbox footnote23"/>
    <w:lvl w:ilvl="0" w:tplc="4CEEA2B8">
      <w:start w:val="1"/>
      <w:numFmt w:val="lowerLetter"/>
      <w:lvlRestart w:val="0"/>
      <w:lvlText w:val="%1  "/>
      <w:lvlJc w:val="left"/>
      <w:pPr>
        <w:ind w:left="720" w:hanging="363"/>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CA7829"/>
    <w:multiLevelType w:val="hybridMultilevel"/>
    <w:tmpl w:val="3C9A5AF4"/>
    <w:name w:val="TextBox Footnote2"/>
    <w:lvl w:ilvl="0" w:tplc="C79E93DA">
      <w:start w:val="1"/>
      <w:numFmt w:val="lowerLetter"/>
      <w:lvlText w:val="%1  "/>
      <w:lvlJc w:val="left"/>
      <w:pPr>
        <w:ind w:left="720" w:hanging="360"/>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862366"/>
    <w:multiLevelType w:val="hybridMultilevel"/>
    <w:tmpl w:val="A84009F8"/>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1B2E55"/>
    <w:multiLevelType w:val="hybridMultilevel"/>
    <w:tmpl w:val="F9024DEA"/>
    <w:lvl w:ilvl="0" w:tplc="725E03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1"/>
  </w:num>
  <w:num w:numId="4">
    <w:abstractNumId w:val="1"/>
  </w:num>
  <w:num w:numId="5">
    <w:abstractNumId w:val="0"/>
  </w:num>
  <w:num w:numId="6">
    <w:abstractNumId w:val="17"/>
  </w:num>
  <w:num w:numId="7">
    <w:abstractNumId w:val="9"/>
  </w:num>
  <w:num w:numId="8">
    <w:abstractNumId w:val="18"/>
  </w:num>
  <w:num w:numId="9">
    <w:abstractNumId w:val="14"/>
  </w:num>
  <w:num w:numId="10">
    <w:abstractNumId w:val="5"/>
  </w:num>
  <w:num w:numId="11">
    <w:abstractNumId w:val="10"/>
  </w:num>
  <w:num w:numId="12">
    <w:abstractNumId w:val="4"/>
  </w:num>
  <w:num w:numId="13">
    <w:abstractNumId w:val="2"/>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attachedTemplate r:id="rId1"/>
  <w:stylePaneFormatFilter w:val="B724" w:allStyles="0" w:customStyles="0" w:latentStyles="1" w:stylesInUse="0" w:headingStyles="1" w:numberingStyles="0" w:tableStyles="0" w:directFormattingOnRuns="1" w:directFormattingOnParagraphs="1" w:directFormattingOnNumbering="1" w:directFormattingOnTables="0" w:clearFormatting="1" w:top3HeadingStyles="1" w:visibleStyles="0" w:alternateStyleNames="1"/>
  <w:documentProtection w:formatting="1" w:enforcement="0"/>
  <w:defaultTabStop w:val="567"/>
  <w:evenAndOddHeaders/>
  <w:drawingGridHorizontalSpacing w:val="100"/>
  <w:displayHorizontalDrawingGridEvery w:val="2"/>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296"/>
    <w:rsid w:val="00001966"/>
    <w:rsid w:val="00002558"/>
    <w:rsid w:val="00004A30"/>
    <w:rsid w:val="00007089"/>
    <w:rsid w:val="00007ACD"/>
    <w:rsid w:val="00017A75"/>
    <w:rsid w:val="00021BB6"/>
    <w:rsid w:val="0002382B"/>
    <w:rsid w:val="00032DDE"/>
    <w:rsid w:val="000333C0"/>
    <w:rsid w:val="00037650"/>
    <w:rsid w:val="0003776D"/>
    <w:rsid w:val="000423A6"/>
    <w:rsid w:val="00045E75"/>
    <w:rsid w:val="00047848"/>
    <w:rsid w:val="00052463"/>
    <w:rsid w:val="000555B3"/>
    <w:rsid w:val="000561BD"/>
    <w:rsid w:val="00057D8E"/>
    <w:rsid w:val="00062505"/>
    <w:rsid w:val="00065F20"/>
    <w:rsid w:val="00074855"/>
    <w:rsid w:val="00074EC5"/>
    <w:rsid w:val="00074FC8"/>
    <w:rsid w:val="00076113"/>
    <w:rsid w:val="000773C8"/>
    <w:rsid w:val="00081C44"/>
    <w:rsid w:val="00083647"/>
    <w:rsid w:val="0008756E"/>
    <w:rsid w:val="00087BE9"/>
    <w:rsid w:val="00090016"/>
    <w:rsid w:val="000913E6"/>
    <w:rsid w:val="00092E29"/>
    <w:rsid w:val="00093044"/>
    <w:rsid w:val="00094FA7"/>
    <w:rsid w:val="000A160C"/>
    <w:rsid w:val="000A399F"/>
    <w:rsid w:val="000A4C99"/>
    <w:rsid w:val="000A566F"/>
    <w:rsid w:val="000A7C2B"/>
    <w:rsid w:val="000B1FD0"/>
    <w:rsid w:val="000C0E05"/>
    <w:rsid w:val="000C24E3"/>
    <w:rsid w:val="000C5173"/>
    <w:rsid w:val="000C7FAF"/>
    <w:rsid w:val="000D551F"/>
    <w:rsid w:val="000D5DED"/>
    <w:rsid w:val="000D6922"/>
    <w:rsid w:val="000D6D4A"/>
    <w:rsid w:val="000E343D"/>
    <w:rsid w:val="000E5A58"/>
    <w:rsid w:val="000E6E68"/>
    <w:rsid w:val="000F13AC"/>
    <w:rsid w:val="000F2721"/>
    <w:rsid w:val="000F379C"/>
    <w:rsid w:val="000F4528"/>
    <w:rsid w:val="000F5020"/>
    <w:rsid w:val="000F7C2E"/>
    <w:rsid w:val="001007C9"/>
    <w:rsid w:val="00106384"/>
    <w:rsid w:val="00107536"/>
    <w:rsid w:val="00107B0E"/>
    <w:rsid w:val="00110CE1"/>
    <w:rsid w:val="0011157B"/>
    <w:rsid w:val="001161E5"/>
    <w:rsid w:val="0011781E"/>
    <w:rsid w:val="00120826"/>
    <w:rsid w:val="00120901"/>
    <w:rsid w:val="001209A8"/>
    <w:rsid w:val="00120E84"/>
    <w:rsid w:val="00123C52"/>
    <w:rsid w:val="00124496"/>
    <w:rsid w:val="00127311"/>
    <w:rsid w:val="001328F9"/>
    <w:rsid w:val="001349EC"/>
    <w:rsid w:val="00134F15"/>
    <w:rsid w:val="00136D61"/>
    <w:rsid w:val="00141710"/>
    <w:rsid w:val="00142A35"/>
    <w:rsid w:val="00144C68"/>
    <w:rsid w:val="00146975"/>
    <w:rsid w:val="00152A6E"/>
    <w:rsid w:val="001600D9"/>
    <w:rsid w:val="00167AC0"/>
    <w:rsid w:val="00172CF0"/>
    <w:rsid w:val="001738F1"/>
    <w:rsid w:val="00174A05"/>
    <w:rsid w:val="00177074"/>
    <w:rsid w:val="00184C03"/>
    <w:rsid w:val="00186A4F"/>
    <w:rsid w:val="001906D0"/>
    <w:rsid w:val="001915EF"/>
    <w:rsid w:val="0019430F"/>
    <w:rsid w:val="001945C7"/>
    <w:rsid w:val="00194BFA"/>
    <w:rsid w:val="00194E11"/>
    <w:rsid w:val="00195018"/>
    <w:rsid w:val="00196E77"/>
    <w:rsid w:val="001A1FC1"/>
    <w:rsid w:val="001A3E9A"/>
    <w:rsid w:val="001A594B"/>
    <w:rsid w:val="001A5FE8"/>
    <w:rsid w:val="001A70E2"/>
    <w:rsid w:val="001B085A"/>
    <w:rsid w:val="001B1483"/>
    <w:rsid w:val="001B711B"/>
    <w:rsid w:val="001C3DE7"/>
    <w:rsid w:val="001C40F0"/>
    <w:rsid w:val="001C4688"/>
    <w:rsid w:val="001C7B87"/>
    <w:rsid w:val="001D012A"/>
    <w:rsid w:val="001D0F0F"/>
    <w:rsid w:val="001D2FD8"/>
    <w:rsid w:val="001E7D13"/>
    <w:rsid w:val="001F0C87"/>
    <w:rsid w:val="001F2BBF"/>
    <w:rsid w:val="001F6BFB"/>
    <w:rsid w:val="002008AA"/>
    <w:rsid w:val="00201805"/>
    <w:rsid w:val="00201B92"/>
    <w:rsid w:val="002025E1"/>
    <w:rsid w:val="00202C1D"/>
    <w:rsid w:val="00207452"/>
    <w:rsid w:val="0021446A"/>
    <w:rsid w:val="00216589"/>
    <w:rsid w:val="002167A3"/>
    <w:rsid w:val="00223453"/>
    <w:rsid w:val="00223AC0"/>
    <w:rsid w:val="00224111"/>
    <w:rsid w:val="00230D0F"/>
    <w:rsid w:val="00231FB5"/>
    <w:rsid w:val="00232479"/>
    <w:rsid w:val="00232EAA"/>
    <w:rsid w:val="002356B6"/>
    <w:rsid w:val="00235CBF"/>
    <w:rsid w:val="00237D14"/>
    <w:rsid w:val="00241F82"/>
    <w:rsid w:val="0024447B"/>
    <w:rsid w:val="00245869"/>
    <w:rsid w:val="00246888"/>
    <w:rsid w:val="00247BF6"/>
    <w:rsid w:val="00250037"/>
    <w:rsid w:val="00251FF9"/>
    <w:rsid w:val="00256CFB"/>
    <w:rsid w:val="00257AA3"/>
    <w:rsid w:val="00260BFA"/>
    <w:rsid w:val="00264F17"/>
    <w:rsid w:val="00266D68"/>
    <w:rsid w:val="00267B98"/>
    <w:rsid w:val="00273E06"/>
    <w:rsid w:val="00273E8E"/>
    <w:rsid w:val="0027419E"/>
    <w:rsid w:val="0027688D"/>
    <w:rsid w:val="00276A17"/>
    <w:rsid w:val="002776B4"/>
    <w:rsid w:val="002779EB"/>
    <w:rsid w:val="002823A1"/>
    <w:rsid w:val="00283275"/>
    <w:rsid w:val="002859C9"/>
    <w:rsid w:val="00286DC6"/>
    <w:rsid w:val="0029007C"/>
    <w:rsid w:val="00290409"/>
    <w:rsid w:val="00292DC3"/>
    <w:rsid w:val="002933A4"/>
    <w:rsid w:val="002954CD"/>
    <w:rsid w:val="00295866"/>
    <w:rsid w:val="0029733B"/>
    <w:rsid w:val="00297C1E"/>
    <w:rsid w:val="002A7B52"/>
    <w:rsid w:val="002B00DA"/>
    <w:rsid w:val="002B0283"/>
    <w:rsid w:val="002B3984"/>
    <w:rsid w:val="002B446B"/>
    <w:rsid w:val="002B487B"/>
    <w:rsid w:val="002B6CC8"/>
    <w:rsid w:val="002B71EA"/>
    <w:rsid w:val="002B72CE"/>
    <w:rsid w:val="002B7532"/>
    <w:rsid w:val="002C051E"/>
    <w:rsid w:val="002C11F7"/>
    <w:rsid w:val="002C1A2D"/>
    <w:rsid w:val="002C52A6"/>
    <w:rsid w:val="002D154A"/>
    <w:rsid w:val="002D168C"/>
    <w:rsid w:val="002D1F6E"/>
    <w:rsid w:val="002D737B"/>
    <w:rsid w:val="002E3ED8"/>
    <w:rsid w:val="002F304A"/>
    <w:rsid w:val="002F60E8"/>
    <w:rsid w:val="002F7B01"/>
    <w:rsid w:val="003012AF"/>
    <w:rsid w:val="00304BA1"/>
    <w:rsid w:val="00306423"/>
    <w:rsid w:val="003132EC"/>
    <w:rsid w:val="003147E4"/>
    <w:rsid w:val="003169DD"/>
    <w:rsid w:val="00317B8C"/>
    <w:rsid w:val="003250E7"/>
    <w:rsid w:val="00327575"/>
    <w:rsid w:val="00327B89"/>
    <w:rsid w:val="00332592"/>
    <w:rsid w:val="003354A0"/>
    <w:rsid w:val="00336DC3"/>
    <w:rsid w:val="00340554"/>
    <w:rsid w:val="00341289"/>
    <w:rsid w:val="003415A2"/>
    <w:rsid w:val="00344AD3"/>
    <w:rsid w:val="003502BA"/>
    <w:rsid w:val="00350710"/>
    <w:rsid w:val="00355B23"/>
    <w:rsid w:val="00357684"/>
    <w:rsid w:val="00361821"/>
    <w:rsid w:val="00361A9D"/>
    <w:rsid w:val="00363DCD"/>
    <w:rsid w:val="003643C9"/>
    <w:rsid w:val="00364B85"/>
    <w:rsid w:val="00375F53"/>
    <w:rsid w:val="003762C2"/>
    <w:rsid w:val="0038084B"/>
    <w:rsid w:val="00381632"/>
    <w:rsid w:val="0038316C"/>
    <w:rsid w:val="00383494"/>
    <w:rsid w:val="00384BCD"/>
    <w:rsid w:val="00397B04"/>
    <w:rsid w:val="003A04B4"/>
    <w:rsid w:val="003A4936"/>
    <w:rsid w:val="003A56DE"/>
    <w:rsid w:val="003A7550"/>
    <w:rsid w:val="003B1229"/>
    <w:rsid w:val="003B2C11"/>
    <w:rsid w:val="003B3009"/>
    <w:rsid w:val="003B3C25"/>
    <w:rsid w:val="003B4C6A"/>
    <w:rsid w:val="003B4D23"/>
    <w:rsid w:val="003C3854"/>
    <w:rsid w:val="003C75B9"/>
    <w:rsid w:val="003D1078"/>
    <w:rsid w:val="003D1A53"/>
    <w:rsid w:val="003D36AD"/>
    <w:rsid w:val="003D6B47"/>
    <w:rsid w:val="003E05CD"/>
    <w:rsid w:val="003E2589"/>
    <w:rsid w:val="003E3A52"/>
    <w:rsid w:val="003E7CA8"/>
    <w:rsid w:val="003F0BC6"/>
    <w:rsid w:val="003F1E27"/>
    <w:rsid w:val="003F3102"/>
    <w:rsid w:val="003F3389"/>
    <w:rsid w:val="003F5FEE"/>
    <w:rsid w:val="003F7301"/>
    <w:rsid w:val="00403E2E"/>
    <w:rsid w:val="004061BF"/>
    <w:rsid w:val="00406488"/>
    <w:rsid w:val="00410508"/>
    <w:rsid w:val="00415EFB"/>
    <w:rsid w:val="00417292"/>
    <w:rsid w:val="00422A48"/>
    <w:rsid w:val="00422A55"/>
    <w:rsid w:val="00426AE0"/>
    <w:rsid w:val="00427DA2"/>
    <w:rsid w:val="0043729E"/>
    <w:rsid w:val="00437435"/>
    <w:rsid w:val="00442AFD"/>
    <w:rsid w:val="00445627"/>
    <w:rsid w:val="00455747"/>
    <w:rsid w:val="00456080"/>
    <w:rsid w:val="004578AD"/>
    <w:rsid w:val="00460DC3"/>
    <w:rsid w:val="0046184A"/>
    <w:rsid w:val="004647A9"/>
    <w:rsid w:val="00464BE9"/>
    <w:rsid w:val="004812E6"/>
    <w:rsid w:val="0048196D"/>
    <w:rsid w:val="00484B74"/>
    <w:rsid w:val="00485068"/>
    <w:rsid w:val="0048523B"/>
    <w:rsid w:val="00485971"/>
    <w:rsid w:val="00487DED"/>
    <w:rsid w:val="004903C5"/>
    <w:rsid w:val="00495ED3"/>
    <w:rsid w:val="004977C3"/>
    <w:rsid w:val="004A36EC"/>
    <w:rsid w:val="004A67DD"/>
    <w:rsid w:val="004B2869"/>
    <w:rsid w:val="004B501A"/>
    <w:rsid w:val="004C022A"/>
    <w:rsid w:val="004C1052"/>
    <w:rsid w:val="004D1627"/>
    <w:rsid w:val="004D1BD9"/>
    <w:rsid w:val="004D26DD"/>
    <w:rsid w:val="004D72AF"/>
    <w:rsid w:val="004E2287"/>
    <w:rsid w:val="004E4B8F"/>
    <w:rsid w:val="004E5A04"/>
    <w:rsid w:val="004E7437"/>
    <w:rsid w:val="004F0D45"/>
    <w:rsid w:val="004F5351"/>
    <w:rsid w:val="004F615A"/>
    <w:rsid w:val="005030B1"/>
    <w:rsid w:val="00503373"/>
    <w:rsid w:val="00521929"/>
    <w:rsid w:val="00522DB9"/>
    <w:rsid w:val="005255F0"/>
    <w:rsid w:val="00527573"/>
    <w:rsid w:val="005279BE"/>
    <w:rsid w:val="005324FA"/>
    <w:rsid w:val="00533AB8"/>
    <w:rsid w:val="005416D2"/>
    <w:rsid w:val="00545616"/>
    <w:rsid w:val="005464AA"/>
    <w:rsid w:val="00546735"/>
    <w:rsid w:val="005474C8"/>
    <w:rsid w:val="005528FD"/>
    <w:rsid w:val="005549B8"/>
    <w:rsid w:val="00556333"/>
    <w:rsid w:val="0055700C"/>
    <w:rsid w:val="0056212D"/>
    <w:rsid w:val="0056250B"/>
    <w:rsid w:val="005627AB"/>
    <w:rsid w:val="005653A9"/>
    <w:rsid w:val="00565AF2"/>
    <w:rsid w:val="00566486"/>
    <w:rsid w:val="0056758F"/>
    <w:rsid w:val="0057038E"/>
    <w:rsid w:val="00570F55"/>
    <w:rsid w:val="00573130"/>
    <w:rsid w:val="00574F78"/>
    <w:rsid w:val="00576132"/>
    <w:rsid w:val="00576F19"/>
    <w:rsid w:val="00577949"/>
    <w:rsid w:val="00582B42"/>
    <w:rsid w:val="0058341F"/>
    <w:rsid w:val="005857A1"/>
    <w:rsid w:val="0059193B"/>
    <w:rsid w:val="00592405"/>
    <w:rsid w:val="005A0171"/>
    <w:rsid w:val="005A1844"/>
    <w:rsid w:val="005A30EA"/>
    <w:rsid w:val="005A3292"/>
    <w:rsid w:val="005B1D36"/>
    <w:rsid w:val="005B47F8"/>
    <w:rsid w:val="005C08EC"/>
    <w:rsid w:val="005C683F"/>
    <w:rsid w:val="005C6895"/>
    <w:rsid w:val="005D10A9"/>
    <w:rsid w:val="005D6C7A"/>
    <w:rsid w:val="005D7050"/>
    <w:rsid w:val="005E432D"/>
    <w:rsid w:val="005F0407"/>
    <w:rsid w:val="005F6BA8"/>
    <w:rsid w:val="005F7584"/>
    <w:rsid w:val="006002E5"/>
    <w:rsid w:val="00601526"/>
    <w:rsid w:val="00603234"/>
    <w:rsid w:val="00603A7B"/>
    <w:rsid w:val="00603D73"/>
    <w:rsid w:val="0060436D"/>
    <w:rsid w:val="0061173F"/>
    <w:rsid w:val="0061174E"/>
    <w:rsid w:val="00611E89"/>
    <w:rsid w:val="00617B57"/>
    <w:rsid w:val="00622643"/>
    <w:rsid w:val="00622B9F"/>
    <w:rsid w:val="00624D03"/>
    <w:rsid w:val="00631EE2"/>
    <w:rsid w:val="00633BF3"/>
    <w:rsid w:val="00634DBB"/>
    <w:rsid w:val="0063652F"/>
    <w:rsid w:val="0063667C"/>
    <w:rsid w:val="006379C7"/>
    <w:rsid w:val="00641F29"/>
    <w:rsid w:val="0064579B"/>
    <w:rsid w:val="00651BDB"/>
    <w:rsid w:val="00655F79"/>
    <w:rsid w:val="0066159F"/>
    <w:rsid w:val="0066343C"/>
    <w:rsid w:val="00664ABD"/>
    <w:rsid w:val="00664E65"/>
    <w:rsid w:val="0066779B"/>
    <w:rsid w:val="00671981"/>
    <w:rsid w:val="006771A4"/>
    <w:rsid w:val="006810D8"/>
    <w:rsid w:val="0068552D"/>
    <w:rsid w:val="00687740"/>
    <w:rsid w:val="00693901"/>
    <w:rsid w:val="006973FA"/>
    <w:rsid w:val="006A1365"/>
    <w:rsid w:val="006A1496"/>
    <w:rsid w:val="006A3385"/>
    <w:rsid w:val="006A56FD"/>
    <w:rsid w:val="006A63F7"/>
    <w:rsid w:val="006A6CDC"/>
    <w:rsid w:val="006B06DB"/>
    <w:rsid w:val="006B13CC"/>
    <w:rsid w:val="006B2A85"/>
    <w:rsid w:val="006B2FFC"/>
    <w:rsid w:val="006B62F2"/>
    <w:rsid w:val="006B6D3A"/>
    <w:rsid w:val="006C36F8"/>
    <w:rsid w:val="006C590B"/>
    <w:rsid w:val="006C6896"/>
    <w:rsid w:val="006D0BDC"/>
    <w:rsid w:val="006D3EE7"/>
    <w:rsid w:val="006D59B8"/>
    <w:rsid w:val="006E2336"/>
    <w:rsid w:val="006E5E02"/>
    <w:rsid w:val="006E62D7"/>
    <w:rsid w:val="006E6852"/>
    <w:rsid w:val="006F1BFA"/>
    <w:rsid w:val="006F2373"/>
    <w:rsid w:val="007009F1"/>
    <w:rsid w:val="00700EEF"/>
    <w:rsid w:val="00705A55"/>
    <w:rsid w:val="00706ACC"/>
    <w:rsid w:val="00710E60"/>
    <w:rsid w:val="007112BE"/>
    <w:rsid w:val="0071428F"/>
    <w:rsid w:val="00717BC5"/>
    <w:rsid w:val="00721FF8"/>
    <w:rsid w:val="00726562"/>
    <w:rsid w:val="00726CC7"/>
    <w:rsid w:val="007334B2"/>
    <w:rsid w:val="007334C8"/>
    <w:rsid w:val="00733560"/>
    <w:rsid w:val="007367AC"/>
    <w:rsid w:val="00740984"/>
    <w:rsid w:val="00741D89"/>
    <w:rsid w:val="00741FEC"/>
    <w:rsid w:val="00742296"/>
    <w:rsid w:val="00742F78"/>
    <w:rsid w:val="00746018"/>
    <w:rsid w:val="00750AE3"/>
    <w:rsid w:val="00750CCE"/>
    <w:rsid w:val="00752275"/>
    <w:rsid w:val="00752FEF"/>
    <w:rsid w:val="00754145"/>
    <w:rsid w:val="00756BC7"/>
    <w:rsid w:val="00756CAC"/>
    <w:rsid w:val="00757E1C"/>
    <w:rsid w:val="007626E6"/>
    <w:rsid w:val="007658FD"/>
    <w:rsid w:val="007662FB"/>
    <w:rsid w:val="00770138"/>
    <w:rsid w:val="00770FF7"/>
    <w:rsid w:val="007712B0"/>
    <w:rsid w:val="007719B7"/>
    <w:rsid w:val="00772E46"/>
    <w:rsid w:val="00774D1B"/>
    <w:rsid w:val="007760E2"/>
    <w:rsid w:val="007771E5"/>
    <w:rsid w:val="00783616"/>
    <w:rsid w:val="0078549A"/>
    <w:rsid w:val="00795642"/>
    <w:rsid w:val="007965C4"/>
    <w:rsid w:val="007A31CE"/>
    <w:rsid w:val="007B07E9"/>
    <w:rsid w:val="007B093A"/>
    <w:rsid w:val="007B0DFC"/>
    <w:rsid w:val="007B282F"/>
    <w:rsid w:val="007B2CE5"/>
    <w:rsid w:val="007C186F"/>
    <w:rsid w:val="007C1D6A"/>
    <w:rsid w:val="007C23B8"/>
    <w:rsid w:val="007C4046"/>
    <w:rsid w:val="007C4282"/>
    <w:rsid w:val="007C43B0"/>
    <w:rsid w:val="007C60C6"/>
    <w:rsid w:val="007D0DEF"/>
    <w:rsid w:val="007D3A77"/>
    <w:rsid w:val="007D46D9"/>
    <w:rsid w:val="007E2513"/>
    <w:rsid w:val="007E2A04"/>
    <w:rsid w:val="007E5A0D"/>
    <w:rsid w:val="007E5C76"/>
    <w:rsid w:val="007F0C6B"/>
    <w:rsid w:val="007F11A7"/>
    <w:rsid w:val="007F2C90"/>
    <w:rsid w:val="007F5855"/>
    <w:rsid w:val="007F6C8A"/>
    <w:rsid w:val="00802646"/>
    <w:rsid w:val="00805529"/>
    <w:rsid w:val="008071D5"/>
    <w:rsid w:val="00810726"/>
    <w:rsid w:val="00810B64"/>
    <w:rsid w:val="00813D5C"/>
    <w:rsid w:val="0081743A"/>
    <w:rsid w:val="00820954"/>
    <w:rsid w:val="00821927"/>
    <w:rsid w:val="00822406"/>
    <w:rsid w:val="00824785"/>
    <w:rsid w:val="00824D92"/>
    <w:rsid w:val="008263F2"/>
    <w:rsid w:val="00826893"/>
    <w:rsid w:val="00827816"/>
    <w:rsid w:val="0083172F"/>
    <w:rsid w:val="0083328E"/>
    <w:rsid w:val="008355D2"/>
    <w:rsid w:val="008370E0"/>
    <w:rsid w:val="0084026C"/>
    <w:rsid w:val="00840B77"/>
    <w:rsid w:val="008419FD"/>
    <w:rsid w:val="00841F6A"/>
    <w:rsid w:val="008421F3"/>
    <w:rsid w:val="00842245"/>
    <w:rsid w:val="0084341D"/>
    <w:rsid w:val="00845317"/>
    <w:rsid w:val="00847A56"/>
    <w:rsid w:val="00850BA0"/>
    <w:rsid w:val="00854822"/>
    <w:rsid w:val="00854F81"/>
    <w:rsid w:val="00857A55"/>
    <w:rsid w:val="0086015C"/>
    <w:rsid w:val="008613AA"/>
    <w:rsid w:val="00863B98"/>
    <w:rsid w:val="00871E36"/>
    <w:rsid w:val="0087212E"/>
    <w:rsid w:val="00873FF2"/>
    <w:rsid w:val="00874F9A"/>
    <w:rsid w:val="0087643E"/>
    <w:rsid w:val="00876FDD"/>
    <w:rsid w:val="00877791"/>
    <w:rsid w:val="00885EE0"/>
    <w:rsid w:val="00892684"/>
    <w:rsid w:val="00892B56"/>
    <w:rsid w:val="008947F8"/>
    <w:rsid w:val="008A7864"/>
    <w:rsid w:val="008B0BDE"/>
    <w:rsid w:val="008B0FDE"/>
    <w:rsid w:val="008B17FB"/>
    <w:rsid w:val="008B2230"/>
    <w:rsid w:val="008B4372"/>
    <w:rsid w:val="008C05BD"/>
    <w:rsid w:val="008C2947"/>
    <w:rsid w:val="008C3312"/>
    <w:rsid w:val="008C42B4"/>
    <w:rsid w:val="008C485C"/>
    <w:rsid w:val="008D1D78"/>
    <w:rsid w:val="008D2969"/>
    <w:rsid w:val="008D3EE8"/>
    <w:rsid w:val="008D4009"/>
    <w:rsid w:val="008D49EA"/>
    <w:rsid w:val="008D7CC1"/>
    <w:rsid w:val="008E2B17"/>
    <w:rsid w:val="008E4889"/>
    <w:rsid w:val="008E4AAA"/>
    <w:rsid w:val="008E64F0"/>
    <w:rsid w:val="008F0DA9"/>
    <w:rsid w:val="008F4C57"/>
    <w:rsid w:val="008F6651"/>
    <w:rsid w:val="008F7B36"/>
    <w:rsid w:val="009034BB"/>
    <w:rsid w:val="009066CA"/>
    <w:rsid w:val="00906948"/>
    <w:rsid w:val="00910ACC"/>
    <w:rsid w:val="0091113E"/>
    <w:rsid w:val="0091119B"/>
    <w:rsid w:val="009137D2"/>
    <w:rsid w:val="0091549F"/>
    <w:rsid w:val="00917177"/>
    <w:rsid w:val="00917213"/>
    <w:rsid w:val="009179D6"/>
    <w:rsid w:val="00921DB5"/>
    <w:rsid w:val="0092263E"/>
    <w:rsid w:val="009230A8"/>
    <w:rsid w:val="009252FD"/>
    <w:rsid w:val="00927214"/>
    <w:rsid w:val="00930953"/>
    <w:rsid w:val="00931224"/>
    <w:rsid w:val="00933228"/>
    <w:rsid w:val="009373BD"/>
    <w:rsid w:val="0094334C"/>
    <w:rsid w:val="0094674B"/>
    <w:rsid w:val="009476D3"/>
    <w:rsid w:val="00947D17"/>
    <w:rsid w:val="00957A10"/>
    <w:rsid w:val="00960298"/>
    <w:rsid w:val="009617EB"/>
    <w:rsid w:val="0096262A"/>
    <w:rsid w:val="00963690"/>
    <w:rsid w:val="00965737"/>
    <w:rsid w:val="00967D05"/>
    <w:rsid w:val="00967DD5"/>
    <w:rsid w:val="00970F53"/>
    <w:rsid w:val="00971B44"/>
    <w:rsid w:val="00976457"/>
    <w:rsid w:val="00980E44"/>
    <w:rsid w:val="00984B98"/>
    <w:rsid w:val="009929D4"/>
    <w:rsid w:val="00996312"/>
    <w:rsid w:val="009979A7"/>
    <w:rsid w:val="009A180C"/>
    <w:rsid w:val="009A1EFD"/>
    <w:rsid w:val="009A2813"/>
    <w:rsid w:val="009A38FD"/>
    <w:rsid w:val="009A71AA"/>
    <w:rsid w:val="009A7EF5"/>
    <w:rsid w:val="009B064C"/>
    <w:rsid w:val="009B1CB9"/>
    <w:rsid w:val="009B464B"/>
    <w:rsid w:val="009B6667"/>
    <w:rsid w:val="009D186B"/>
    <w:rsid w:val="009D7644"/>
    <w:rsid w:val="009D7985"/>
    <w:rsid w:val="009E3F82"/>
    <w:rsid w:val="009F29D4"/>
    <w:rsid w:val="009F3514"/>
    <w:rsid w:val="009F3A00"/>
    <w:rsid w:val="009F4969"/>
    <w:rsid w:val="009F65C0"/>
    <w:rsid w:val="009F7619"/>
    <w:rsid w:val="009F7990"/>
    <w:rsid w:val="009F7A41"/>
    <w:rsid w:val="00A029EC"/>
    <w:rsid w:val="00A02E12"/>
    <w:rsid w:val="00A03DC5"/>
    <w:rsid w:val="00A04983"/>
    <w:rsid w:val="00A05C5E"/>
    <w:rsid w:val="00A060B4"/>
    <w:rsid w:val="00A0753F"/>
    <w:rsid w:val="00A078E1"/>
    <w:rsid w:val="00A10FFD"/>
    <w:rsid w:val="00A11347"/>
    <w:rsid w:val="00A11818"/>
    <w:rsid w:val="00A27C1C"/>
    <w:rsid w:val="00A30DE3"/>
    <w:rsid w:val="00A31DAA"/>
    <w:rsid w:val="00A32408"/>
    <w:rsid w:val="00A35DA3"/>
    <w:rsid w:val="00A36552"/>
    <w:rsid w:val="00A40D9C"/>
    <w:rsid w:val="00A41DEF"/>
    <w:rsid w:val="00A46476"/>
    <w:rsid w:val="00A47AB3"/>
    <w:rsid w:val="00A51559"/>
    <w:rsid w:val="00A55AAA"/>
    <w:rsid w:val="00A60427"/>
    <w:rsid w:val="00A63C00"/>
    <w:rsid w:val="00A64947"/>
    <w:rsid w:val="00A66451"/>
    <w:rsid w:val="00A67683"/>
    <w:rsid w:val="00A67AC3"/>
    <w:rsid w:val="00A71AF4"/>
    <w:rsid w:val="00A72AC2"/>
    <w:rsid w:val="00A72AC5"/>
    <w:rsid w:val="00A72B5C"/>
    <w:rsid w:val="00A73BA9"/>
    <w:rsid w:val="00A76791"/>
    <w:rsid w:val="00A77684"/>
    <w:rsid w:val="00A7768C"/>
    <w:rsid w:val="00A77BFF"/>
    <w:rsid w:val="00A8023E"/>
    <w:rsid w:val="00A85038"/>
    <w:rsid w:val="00A866D7"/>
    <w:rsid w:val="00A86746"/>
    <w:rsid w:val="00A86EF7"/>
    <w:rsid w:val="00A9001C"/>
    <w:rsid w:val="00A9402E"/>
    <w:rsid w:val="00AA79D8"/>
    <w:rsid w:val="00AB03E4"/>
    <w:rsid w:val="00AB075E"/>
    <w:rsid w:val="00AB1658"/>
    <w:rsid w:val="00AB2E3D"/>
    <w:rsid w:val="00AC1F08"/>
    <w:rsid w:val="00AD40C4"/>
    <w:rsid w:val="00AD4D69"/>
    <w:rsid w:val="00AE03E0"/>
    <w:rsid w:val="00AE2044"/>
    <w:rsid w:val="00AE550C"/>
    <w:rsid w:val="00AE73B8"/>
    <w:rsid w:val="00AF45B0"/>
    <w:rsid w:val="00B00648"/>
    <w:rsid w:val="00B03244"/>
    <w:rsid w:val="00B07BEF"/>
    <w:rsid w:val="00B13218"/>
    <w:rsid w:val="00B159F9"/>
    <w:rsid w:val="00B217B4"/>
    <w:rsid w:val="00B24666"/>
    <w:rsid w:val="00B2560F"/>
    <w:rsid w:val="00B26675"/>
    <w:rsid w:val="00B27F33"/>
    <w:rsid w:val="00B30815"/>
    <w:rsid w:val="00B314CC"/>
    <w:rsid w:val="00B33E91"/>
    <w:rsid w:val="00B3411F"/>
    <w:rsid w:val="00B37C98"/>
    <w:rsid w:val="00B40093"/>
    <w:rsid w:val="00B42A40"/>
    <w:rsid w:val="00B43CCA"/>
    <w:rsid w:val="00B44597"/>
    <w:rsid w:val="00B465AB"/>
    <w:rsid w:val="00B52E86"/>
    <w:rsid w:val="00B54988"/>
    <w:rsid w:val="00B62A21"/>
    <w:rsid w:val="00B63AE4"/>
    <w:rsid w:val="00B64660"/>
    <w:rsid w:val="00B64FBF"/>
    <w:rsid w:val="00B67031"/>
    <w:rsid w:val="00B7185B"/>
    <w:rsid w:val="00B73ACE"/>
    <w:rsid w:val="00B771ED"/>
    <w:rsid w:val="00B82BB6"/>
    <w:rsid w:val="00B82F22"/>
    <w:rsid w:val="00B865A6"/>
    <w:rsid w:val="00B8682C"/>
    <w:rsid w:val="00B90BC9"/>
    <w:rsid w:val="00B91CC2"/>
    <w:rsid w:val="00B946F3"/>
    <w:rsid w:val="00B955EC"/>
    <w:rsid w:val="00B961E8"/>
    <w:rsid w:val="00BA0582"/>
    <w:rsid w:val="00BA0BF9"/>
    <w:rsid w:val="00BA151F"/>
    <w:rsid w:val="00BA5F8A"/>
    <w:rsid w:val="00BA707B"/>
    <w:rsid w:val="00BA7377"/>
    <w:rsid w:val="00BB0700"/>
    <w:rsid w:val="00BB4988"/>
    <w:rsid w:val="00BB5855"/>
    <w:rsid w:val="00BB60E5"/>
    <w:rsid w:val="00BB7CEE"/>
    <w:rsid w:val="00BC1129"/>
    <w:rsid w:val="00BC36B3"/>
    <w:rsid w:val="00BC43C0"/>
    <w:rsid w:val="00BC5A44"/>
    <w:rsid w:val="00BC7C0F"/>
    <w:rsid w:val="00BD1765"/>
    <w:rsid w:val="00BD4436"/>
    <w:rsid w:val="00BD5093"/>
    <w:rsid w:val="00BD552A"/>
    <w:rsid w:val="00BD7715"/>
    <w:rsid w:val="00BE0EAC"/>
    <w:rsid w:val="00BE2DE5"/>
    <w:rsid w:val="00BE6757"/>
    <w:rsid w:val="00BF0EE6"/>
    <w:rsid w:val="00C0105B"/>
    <w:rsid w:val="00C073F7"/>
    <w:rsid w:val="00C120C7"/>
    <w:rsid w:val="00C12D57"/>
    <w:rsid w:val="00C15432"/>
    <w:rsid w:val="00C16295"/>
    <w:rsid w:val="00C200A6"/>
    <w:rsid w:val="00C20DA0"/>
    <w:rsid w:val="00C238D6"/>
    <w:rsid w:val="00C24427"/>
    <w:rsid w:val="00C248D8"/>
    <w:rsid w:val="00C251F3"/>
    <w:rsid w:val="00C266BC"/>
    <w:rsid w:val="00C27B1F"/>
    <w:rsid w:val="00C3075C"/>
    <w:rsid w:val="00C33E96"/>
    <w:rsid w:val="00C34623"/>
    <w:rsid w:val="00C34D9C"/>
    <w:rsid w:val="00C3697F"/>
    <w:rsid w:val="00C51C96"/>
    <w:rsid w:val="00C54200"/>
    <w:rsid w:val="00C631AC"/>
    <w:rsid w:val="00C6567C"/>
    <w:rsid w:val="00C67050"/>
    <w:rsid w:val="00C72C22"/>
    <w:rsid w:val="00C737CA"/>
    <w:rsid w:val="00C7445E"/>
    <w:rsid w:val="00C77A2E"/>
    <w:rsid w:val="00C80E9D"/>
    <w:rsid w:val="00C8333A"/>
    <w:rsid w:val="00C83DFC"/>
    <w:rsid w:val="00C87683"/>
    <w:rsid w:val="00C92592"/>
    <w:rsid w:val="00C946CB"/>
    <w:rsid w:val="00C970D7"/>
    <w:rsid w:val="00CA22E2"/>
    <w:rsid w:val="00CA64BF"/>
    <w:rsid w:val="00CA7918"/>
    <w:rsid w:val="00CA7E68"/>
    <w:rsid w:val="00CA7E96"/>
    <w:rsid w:val="00CB0F75"/>
    <w:rsid w:val="00CB2482"/>
    <w:rsid w:val="00CB3FFE"/>
    <w:rsid w:val="00CB5ECE"/>
    <w:rsid w:val="00CB6A6E"/>
    <w:rsid w:val="00CB7ED6"/>
    <w:rsid w:val="00CC7923"/>
    <w:rsid w:val="00CD2376"/>
    <w:rsid w:val="00CD310E"/>
    <w:rsid w:val="00CD41F3"/>
    <w:rsid w:val="00CD5538"/>
    <w:rsid w:val="00CD7578"/>
    <w:rsid w:val="00CE3E5B"/>
    <w:rsid w:val="00CE535A"/>
    <w:rsid w:val="00CF07DD"/>
    <w:rsid w:val="00CF0A1D"/>
    <w:rsid w:val="00CF170E"/>
    <w:rsid w:val="00CF31BB"/>
    <w:rsid w:val="00CF3297"/>
    <w:rsid w:val="00CF3733"/>
    <w:rsid w:val="00CF5E23"/>
    <w:rsid w:val="00D01EC6"/>
    <w:rsid w:val="00D02E98"/>
    <w:rsid w:val="00D03FA7"/>
    <w:rsid w:val="00D07E3E"/>
    <w:rsid w:val="00D10569"/>
    <w:rsid w:val="00D11FDC"/>
    <w:rsid w:val="00D136DA"/>
    <w:rsid w:val="00D1446B"/>
    <w:rsid w:val="00D14C72"/>
    <w:rsid w:val="00D21910"/>
    <w:rsid w:val="00D33395"/>
    <w:rsid w:val="00D3426A"/>
    <w:rsid w:val="00D35384"/>
    <w:rsid w:val="00D363E8"/>
    <w:rsid w:val="00D41489"/>
    <w:rsid w:val="00D44A37"/>
    <w:rsid w:val="00D463CF"/>
    <w:rsid w:val="00D50E2F"/>
    <w:rsid w:val="00D54D60"/>
    <w:rsid w:val="00D56153"/>
    <w:rsid w:val="00D574D2"/>
    <w:rsid w:val="00D574F2"/>
    <w:rsid w:val="00D61765"/>
    <w:rsid w:val="00D6462F"/>
    <w:rsid w:val="00D64B72"/>
    <w:rsid w:val="00D67033"/>
    <w:rsid w:val="00D74206"/>
    <w:rsid w:val="00D748F5"/>
    <w:rsid w:val="00D74E62"/>
    <w:rsid w:val="00D756F9"/>
    <w:rsid w:val="00D7598E"/>
    <w:rsid w:val="00D85EA8"/>
    <w:rsid w:val="00D87844"/>
    <w:rsid w:val="00D87C8B"/>
    <w:rsid w:val="00D94CD8"/>
    <w:rsid w:val="00D94FDF"/>
    <w:rsid w:val="00D96472"/>
    <w:rsid w:val="00D97990"/>
    <w:rsid w:val="00D97D13"/>
    <w:rsid w:val="00D97FBC"/>
    <w:rsid w:val="00DA0633"/>
    <w:rsid w:val="00DA278F"/>
    <w:rsid w:val="00DA31E9"/>
    <w:rsid w:val="00DA5A75"/>
    <w:rsid w:val="00DA6A25"/>
    <w:rsid w:val="00DB2054"/>
    <w:rsid w:val="00DB3143"/>
    <w:rsid w:val="00DB41D1"/>
    <w:rsid w:val="00DB7EA6"/>
    <w:rsid w:val="00DC476C"/>
    <w:rsid w:val="00DD3BAA"/>
    <w:rsid w:val="00DD75FC"/>
    <w:rsid w:val="00DE0F91"/>
    <w:rsid w:val="00DE2BF4"/>
    <w:rsid w:val="00DF6996"/>
    <w:rsid w:val="00E03ED0"/>
    <w:rsid w:val="00E10A1A"/>
    <w:rsid w:val="00E145D5"/>
    <w:rsid w:val="00E15B51"/>
    <w:rsid w:val="00E17BB7"/>
    <w:rsid w:val="00E21A8F"/>
    <w:rsid w:val="00E21DBF"/>
    <w:rsid w:val="00E26BE6"/>
    <w:rsid w:val="00E320EB"/>
    <w:rsid w:val="00E33BDC"/>
    <w:rsid w:val="00E3477D"/>
    <w:rsid w:val="00E34EE4"/>
    <w:rsid w:val="00E37CB8"/>
    <w:rsid w:val="00E4082B"/>
    <w:rsid w:val="00E40CA9"/>
    <w:rsid w:val="00E410EB"/>
    <w:rsid w:val="00E42000"/>
    <w:rsid w:val="00E42EA9"/>
    <w:rsid w:val="00E43076"/>
    <w:rsid w:val="00E457CD"/>
    <w:rsid w:val="00E466BB"/>
    <w:rsid w:val="00E50AEE"/>
    <w:rsid w:val="00E569BC"/>
    <w:rsid w:val="00E57B62"/>
    <w:rsid w:val="00E6392A"/>
    <w:rsid w:val="00E663EC"/>
    <w:rsid w:val="00E6745D"/>
    <w:rsid w:val="00E7000B"/>
    <w:rsid w:val="00E702C1"/>
    <w:rsid w:val="00E731A7"/>
    <w:rsid w:val="00E75D67"/>
    <w:rsid w:val="00E76B73"/>
    <w:rsid w:val="00E83BD5"/>
    <w:rsid w:val="00E8410C"/>
    <w:rsid w:val="00E847EA"/>
    <w:rsid w:val="00E85D4E"/>
    <w:rsid w:val="00E86C47"/>
    <w:rsid w:val="00E87FC3"/>
    <w:rsid w:val="00E91D48"/>
    <w:rsid w:val="00E967CB"/>
    <w:rsid w:val="00EA1029"/>
    <w:rsid w:val="00EA2634"/>
    <w:rsid w:val="00EA3D09"/>
    <w:rsid w:val="00EA5F63"/>
    <w:rsid w:val="00EB0442"/>
    <w:rsid w:val="00EB1254"/>
    <w:rsid w:val="00EB5BB3"/>
    <w:rsid w:val="00EC1E2B"/>
    <w:rsid w:val="00EC3A3D"/>
    <w:rsid w:val="00EC3BBD"/>
    <w:rsid w:val="00ED2F8E"/>
    <w:rsid w:val="00EE25C4"/>
    <w:rsid w:val="00EE2DC5"/>
    <w:rsid w:val="00EE379D"/>
    <w:rsid w:val="00EE4C98"/>
    <w:rsid w:val="00EE7958"/>
    <w:rsid w:val="00EF28C1"/>
    <w:rsid w:val="00EF3D5F"/>
    <w:rsid w:val="00EF4682"/>
    <w:rsid w:val="00EF6F93"/>
    <w:rsid w:val="00F0331F"/>
    <w:rsid w:val="00F03595"/>
    <w:rsid w:val="00F12D8F"/>
    <w:rsid w:val="00F1380E"/>
    <w:rsid w:val="00F1390B"/>
    <w:rsid w:val="00F204B3"/>
    <w:rsid w:val="00F22BCB"/>
    <w:rsid w:val="00F2690E"/>
    <w:rsid w:val="00F3393A"/>
    <w:rsid w:val="00F43434"/>
    <w:rsid w:val="00F43E89"/>
    <w:rsid w:val="00F44C6A"/>
    <w:rsid w:val="00F516A8"/>
    <w:rsid w:val="00F51990"/>
    <w:rsid w:val="00F530B7"/>
    <w:rsid w:val="00F54973"/>
    <w:rsid w:val="00F5595C"/>
    <w:rsid w:val="00F55BA0"/>
    <w:rsid w:val="00F576A9"/>
    <w:rsid w:val="00F62419"/>
    <w:rsid w:val="00F63AAE"/>
    <w:rsid w:val="00F650DD"/>
    <w:rsid w:val="00F6546F"/>
    <w:rsid w:val="00F71266"/>
    <w:rsid w:val="00F71D7E"/>
    <w:rsid w:val="00F71FB8"/>
    <w:rsid w:val="00F73B1E"/>
    <w:rsid w:val="00F74E04"/>
    <w:rsid w:val="00F805CB"/>
    <w:rsid w:val="00F81206"/>
    <w:rsid w:val="00F819FA"/>
    <w:rsid w:val="00F82445"/>
    <w:rsid w:val="00F83757"/>
    <w:rsid w:val="00F87228"/>
    <w:rsid w:val="00F87B82"/>
    <w:rsid w:val="00F93E30"/>
    <w:rsid w:val="00F954FE"/>
    <w:rsid w:val="00F9629C"/>
    <w:rsid w:val="00FA1A46"/>
    <w:rsid w:val="00FA3CE0"/>
    <w:rsid w:val="00FA4306"/>
    <w:rsid w:val="00FA5E5A"/>
    <w:rsid w:val="00FB1803"/>
    <w:rsid w:val="00FB3781"/>
    <w:rsid w:val="00FB3FA3"/>
    <w:rsid w:val="00FB53F4"/>
    <w:rsid w:val="00FC024D"/>
    <w:rsid w:val="00FC28D9"/>
    <w:rsid w:val="00FC386E"/>
    <w:rsid w:val="00FC3E05"/>
    <w:rsid w:val="00FC5DA9"/>
    <w:rsid w:val="00FC7B0B"/>
    <w:rsid w:val="00FD1D7B"/>
    <w:rsid w:val="00FD3B5A"/>
    <w:rsid w:val="00FD4BA4"/>
    <w:rsid w:val="00FE11D1"/>
    <w:rsid w:val="00FE33E1"/>
    <w:rsid w:val="00FE3BB2"/>
    <w:rsid w:val="00FE447E"/>
    <w:rsid w:val="00FE59A0"/>
    <w:rsid w:val="00FE622D"/>
    <w:rsid w:val="00FE7456"/>
    <w:rsid w:val="00FE746E"/>
    <w:rsid w:val="00FF194A"/>
    <w:rsid w:val="00FF21B8"/>
    <w:rsid w:val="00FF2D2B"/>
    <w:rsid w:val="00FF5CF1"/>
    <w:rsid w:val="00FF5D33"/>
    <w:rsid w:val="00FF74E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31F5DFD"/>
  <w15:docId w15:val="{A0870710-E1BA-4346-8E8D-3927DF3C5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A1A46"/>
    <w:pPr>
      <w:suppressAutoHyphens/>
      <w:spacing w:line="240" w:lineRule="atLeast"/>
    </w:pPr>
    <w:rPr>
      <w:rFonts w:eastAsia="SimSun"/>
      <w:lang w:val="en-GB" w:eastAsia="zh-CN"/>
    </w:rPr>
  </w:style>
  <w:style w:type="paragraph" w:styleId="Heading1">
    <w:name w:val="heading 1"/>
    <w:aliases w:val="Table_G"/>
    <w:basedOn w:val="Normal"/>
    <w:next w:val="AnnoH23G"/>
    <w:qFormat/>
    <w:rsid w:val="00FA1A46"/>
    <w:pPr>
      <w:ind w:left="1134"/>
      <w:outlineLvl w:val="0"/>
    </w:pPr>
  </w:style>
  <w:style w:type="paragraph" w:styleId="Heading2">
    <w:name w:val="heading 2"/>
    <w:basedOn w:val="Normal"/>
    <w:next w:val="Normal"/>
    <w:link w:val="Heading2Char"/>
    <w:qFormat/>
    <w:rsid w:val="00FA1A46"/>
    <w:pPr>
      <w:keepNext/>
      <w:keepLines/>
      <w:spacing w:before="200"/>
      <w:outlineLvl w:val="1"/>
    </w:pPr>
    <w:rPr>
      <w:rFonts w:ascii="Cambria" w:eastAsia="Times New Roman" w:hAnsi="Cambria"/>
      <w:b/>
      <w:bCs/>
      <w:color w:val="4F81BD"/>
      <w:sz w:val="26"/>
      <w:szCs w:val="26"/>
    </w:rPr>
  </w:style>
  <w:style w:type="paragraph" w:styleId="Heading4">
    <w:name w:val="heading 4"/>
    <w:basedOn w:val="Normal"/>
    <w:next w:val="Normal"/>
    <w:link w:val="Heading4Char"/>
    <w:qFormat/>
    <w:rsid w:val="00FA1A46"/>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qFormat/>
    <w:rsid w:val="00FA1A46"/>
    <w:pPr>
      <w:keepNext/>
      <w:keepLines/>
      <w:spacing w:before="20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FA1A46"/>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FA1A46"/>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FA1A46"/>
    <w:pPr>
      <w:keepNext/>
      <w:keepLines/>
      <w:spacing w:before="360" w:after="240" w:line="270" w:lineRule="exact"/>
      <w:ind w:left="1134" w:right="1134" w:hanging="1134"/>
    </w:pPr>
    <w:rPr>
      <w:b/>
      <w:sz w:val="24"/>
    </w:rPr>
  </w:style>
  <w:style w:type="paragraph" w:customStyle="1" w:styleId="H23G">
    <w:name w:val="_ H_2/3_G"/>
    <w:basedOn w:val="Normal"/>
    <w:next w:val="Normal"/>
    <w:rsid w:val="00FA1A46"/>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FA1A46"/>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FA1A46"/>
    <w:pPr>
      <w:keepNext/>
      <w:keepLines/>
      <w:tabs>
        <w:tab w:val="right" w:pos="851"/>
      </w:tabs>
      <w:spacing w:before="240" w:after="120" w:line="240" w:lineRule="exact"/>
      <w:ind w:left="1134" w:right="1134" w:hanging="1134"/>
    </w:pPr>
  </w:style>
  <w:style w:type="paragraph" w:customStyle="1" w:styleId="SingleTxtG">
    <w:name w:val="_ Single Txt_G"/>
    <w:basedOn w:val="Normal"/>
    <w:rsid w:val="00FA1A46"/>
    <w:pPr>
      <w:spacing w:after="120"/>
      <w:ind w:left="1134" w:right="1134"/>
      <w:jc w:val="both"/>
    </w:pPr>
    <w:rPr>
      <w:rFonts w:eastAsia="Times New Roman"/>
      <w:lang w:eastAsia="en-US"/>
    </w:rPr>
  </w:style>
  <w:style w:type="paragraph" w:customStyle="1" w:styleId="SLG">
    <w:name w:val="__S_L_G"/>
    <w:basedOn w:val="Normal"/>
    <w:next w:val="Normal"/>
    <w:rsid w:val="00FA1A46"/>
    <w:pPr>
      <w:keepNext/>
      <w:keepLines/>
      <w:spacing w:before="240" w:after="240" w:line="580" w:lineRule="exact"/>
      <w:ind w:left="1134" w:right="1134"/>
    </w:pPr>
    <w:rPr>
      <w:b/>
      <w:sz w:val="56"/>
    </w:rPr>
  </w:style>
  <w:style w:type="paragraph" w:customStyle="1" w:styleId="SMG">
    <w:name w:val="__S_M_G"/>
    <w:basedOn w:val="Normal"/>
    <w:next w:val="Normal"/>
    <w:rsid w:val="00FA1A46"/>
    <w:pPr>
      <w:keepNext/>
      <w:keepLines/>
      <w:spacing w:before="240" w:after="240" w:line="420" w:lineRule="exact"/>
      <w:ind w:left="1134" w:right="1134"/>
    </w:pPr>
    <w:rPr>
      <w:b/>
      <w:sz w:val="40"/>
    </w:rPr>
  </w:style>
  <w:style w:type="paragraph" w:customStyle="1" w:styleId="SSG">
    <w:name w:val="__S_S_G"/>
    <w:basedOn w:val="Normal"/>
    <w:next w:val="Normal"/>
    <w:rsid w:val="00FA1A46"/>
    <w:pPr>
      <w:keepNext/>
      <w:keepLines/>
      <w:spacing w:before="240" w:after="240" w:line="300" w:lineRule="exact"/>
      <w:ind w:left="1134" w:right="1134"/>
    </w:pPr>
    <w:rPr>
      <w:b/>
      <w:sz w:val="28"/>
    </w:rPr>
  </w:style>
  <w:style w:type="paragraph" w:customStyle="1" w:styleId="XLargeG">
    <w:name w:val="__XLarge_G"/>
    <w:basedOn w:val="Normal"/>
    <w:next w:val="Normal"/>
    <w:rsid w:val="00FA1A46"/>
    <w:pPr>
      <w:keepNext/>
      <w:keepLines/>
      <w:spacing w:before="240" w:after="240" w:line="420" w:lineRule="exact"/>
      <w:ind w:left="1134" w:right="1134"/>
    </w:pPr>
    <w:rPr>
      <w:b/>
      <w:sz w:val="40"/>
    </w:rPr>
  </w:style>
  <w:style w:type="paragraph" w:customStyle="1" w:styleId="Bullet1G">
    <w:name w:val="_Bullet 1_G"/>
    <w:basedOn w:val="Normal"/>
    <w:rsid w:val="00FA1A46"/>
    <w:pPr>
      <w:numPr>
        <w:numId w:val="5"/>
      </w:numPr>
      <w:spacing w:after="120"/>
      <w:ind w:right="1134"/>
      <w:jc w:val="both"/>
    </w:pPr>
  </w:style>
  <w:style w:type="paragraph" w:customStyle="1" w:styleId="Bullet2G">
    <w:name w:val="_Bullet 2_G"/>
    <w:basedOn w:val="Normal"/>
    <w:rsid w:val="00FA1A46"/>
    <w:pPr>
      <w:numPr>
        <w:numId w:val="6"/>
      </w:numPr>
      <w:spacing w:after="120"/>
      <w:ind w:right="1134"/>
      <w:jc w:val="both"/>
    </w:pPr>
  </w:style>
  <w:style w:type="paragraph" w:customStyle="1" w:styleId="AnnoHCHG">
    <w:name w:val="Anno _ H_CH_G"/>
    <w:basedOn w:val="Normal"/>
    <w:next w:val="AnnoH1G"/>
    <w:rsid w:val="00FA1A46"/>
    <w:pPr>
      <w:keepNext/>
      <w:keepLines/>
      <w:numPr>
        <w:numId w:val="7"/>
      </w:numPr>
      <w:spacing w:before="360" w:after="240" w:line="300" w:lineRule="exact"/>
      <w:ind w:right="1134"/>
    </w:pPr>
    <w:rPr>
      <w:b/>
      <w:sz w:val="28"/>
    </w:rPr>
  </w:style>
  <w:style w:type="paragraph" w:customStyle="1" w:styleId="AnnoH1G">
    <w:name w:val="Anno_ H_1_G"/>
    <w:basedOn w:val="Normal"/>
    <w:next w:val="AnnoH23G"/>
    <w:autoRedefine/>
    <w:rsid w:val="00FA1A46"/>
    <w:pPr>
      <w:keepNext/>
      <w:keepLines/>
      <w:numPr>
        <w:ilvl w:val="1"/>
        <w:numId w:val="7"/>
      </w:numPr>
      <w:spacing w:before="360" w:after="240" w:line="270" w:lineRule="exact"/>
      <w:ind w:right="1134"/>
    </w:pPr>
    <w:rPr>
      <w:b/>
      <w:sz w:val="24"/>
    </w:rPr>
  </w:style>
  <w:style w:type="paragraph" w:customStyle="1" w:styleId="AnnoH23G">
    <w:name w:val="Anno_ H_2/3_G"/>
    <w:basedOn w:val="Normal"/>
    <w:next w:val="AnnoSingleTxtG"/>
    <w:autoRedefine/>
    <w:rsid w:val="00FA1A46"/>
    <w:pPr>
      <w:keepNext/>
      <w:keepLines/>
      <w:numPr>
        <w:ilvl w:val="2"/>
        <w:numId w:val="7"/>
      </w:numPr>
      <w:spacing w:before="240" w:after="120" w:line="240" w:lineRule="exact"/>
      <w:ind w:right="1134"/>
    </w:pPr>
    <w:rPr>
      <w:u w:val="single"/>
    </w:rPr>
  </w:style>
  <w:style w:type="paragraph" w:customStyle="1" w:styleId="AnnoSingleTxtG">
    <w:name w:val="Anno_ Single Txt_G"/>
    <w:basedOn w:val="Normal"/>
    <w:rsid w:val="00FA1A46"/>
    <w:pPr>
      <w:numPr>
        <w:ilvl w:val="3"/>
        <w:numId w:val="7"/>
      </w:numPr>
      <w:spacing w:after="120"/>
      <w:ind w:right="1134"/>
      <w:jc w:val="both"/>
    </w:pPr>
  </w:style>
  <w:style w:type="character" w:styleId="FootnoteReference">
    <w:name w:val="footnote reference"/>
    <w:aliases w:val="4_G,Footnotes refss,Texto de nota al pie,referencia nota al pie,BVI fnr,Appel note de bas de page,Footnote symbol,Footnote,Footnote number,f,Ref. de nota al pie.,Footnote symbol Car Zchn Zchn,Footnote Car Zchn Zchn,BVI fnr Car Zchn Zc"/>
    <w:link w:val="FootnotesymbolCarZchn"/>
    <w:rsid w:val="00FA1A46"/>
    <w:rPr>
      <w:rFonts w:ascii="Times New Roman" w:hAnsi="Times New Roman"/>
      <w:sz w:val="18"/>
      <w:vertAlign w:val="superscript"/>
    </w:rPr>
  </w:style>
  <w:style w:type="character" w:styleId="EndnoteReference">
    <w:name w:val="endnote reference"/>
    <w:aliases w:val="1_G"/>
    <w:rsid w:val="00FA1A46"/>
    <w:rPr>
      <w:rFonts w:ascii="Times New Roman" w:hAnsi="Times New Roman"/>
      <w:sz w:val="18"/>
      <w:vertAlign w:val="superscript"/>
    </w:rPr>
  </w:style>
  <w:style w:type="paragraph" w:styleId="EndnoteText">
    <w:name w:val="endnote text"/>
    <w:aliases w:val="2_G"/>
    <w:basedOn w:val="FootnoteText"/>
    <w:rsid w:val="00FA1A46"/>
  </w:style>
  <w:style w:type="paragraph" w:styleId="FootnoteText">
    <w:name w:val="footnote text"/>
    <w:aliases w:val="5_G,Footnote Text Char Char Char Char Char,Footnote Text Char Char Char Char,Footnote reference,FA Fu,Footnote Text Char Char Char,Footnote Text Cha,FA Fußnotentext,FA Fuﬂnotentext,Texto nota pie Car,Footnote Text Char Char,footnote text"/>
    <w:basedOn w:val="Normal"/>
    <w:link w:val="FootnoteTextChar"/>
    <w:rsid w:val="00FA1A46"/>
    <w:pPr>
      <w:tabs>
        <w:tab w:val="right" w:pos="1021"/>
      </w:tabs>
      <w:spacing w:line="220" w:lineRule="exact"/>
      <w:ind w:left="1134" w:right="1134" w:hanging="1134"/>
    </w:pPr>
    <w:rPr>
      <w:sz w:val="18"/>
    </w:rPr>
  </w:style>
  <w:style w:type="paragraph" w:styleId="Footer">
    <w:name w:val="footer"/>
    <w:aliases w:val="3_G"/>
    <w:basedOn w:val="Normal"/>
    <w:rsid w:val="00FA1A46"/>
    <w:rPr>
      <w:sz w:val="16"/>
    </w:rPr>
  </w:style>
  <w:style w:type="paragraph" w:customStyle="1" w:styleId="FootnoteTable">
    <w:name w:val="Footnote Table"/>
    <w:basedOn w:val="Normal"/>
    <w:rsid w:val="00FA1A46"/>
    <w:pPr>
      <w:spacing w:line="240" w:lineRule="auto"/>
      <w:jc w:val="both"/>
    </w:pPr>
    <w:rPr>
      <w:sz w:val="18"/>
    </w:rPr>
  </w:style>
  <w:style w:type="paragraph" w:styleId="Header">
    <w:name w:val="header"/>
    <w:aliases w:val="6_G"/>
    <w:basedOn w:val="Normal"/>
    <w:rsid w:val="00FA1A46"/>
    <w:pPr>
      <w:pBdr>
        <w:bottom w:val="single" w:sz="4" w:space="4" w:color="auto"/>
      </w:pBdr>
    </w:pPr>
    <w:rPr>
      <w:b/>
      <w:sz w:val="18"/>
    </w:rPr>
  </w:style>
  <w:style w:type="character" w:styleId="PageNumber">
    <w:name w:val="page number"/>
    <w:aliases w:val="7_G"/>
    <w:rsid w:val="00FA1A46"/>
    <w:rPr>
      <w:rFonts w:ascii="Times New Roman" w:hAnsi="Times New Roman"/>
      <w:b/>
      <w:sz w:val="18"/>
    </w:rPr>
  </w:style>
  <w:style w:type="paragraph" w:customStyle="1" w:styleId="RegHChG">
    <w:name w:val="Reg_H__Ch_G"/>
    <w:basedOn w:val="Normal"/>
    <w:next w:val="RegH1G"/>
    <w:rsid w:val="00FA1A46"/>
    <w:pPr>
      <w:keepNext/>
      <w:keepLines/>
      <w:numPr>
        <w:numId w:val="1"/>
      </w:numPr>
      <w:spacing w:before="360" w:after="240" w:line="300" w:lineRule="exact"/>
      <w:ind w:right="1134"/>
    </w:pPr>
    <w:rPr>
      <w:b/>
      <w:sz w:val="28"/>
    </w:rPr>
  </w:style>
  <w:style w:type="paragraph" w:customStyle="1" w:styleId="RegH1G">
    <w:name w:val="Reg_H_1_G"/>
    <w:basedOn w:val="Normal"/>
    <w:next w:val="RegH23G"/>
    <w:rsid w:val="00FA1A46"/>
    <w:pPr>
      <w:keepNext/>
      <w:keepLines/>
      <w:numPr>
        <w:ilvl w:val="1"/>
        <w:numId w:val="1"/>
      </w:numPr>
      <w:spacing w:before="360" w:after="240" w:line="270" w:lineRule="exact"/>
      <w:ind w:right="1134"/>
    </w:pPr>
    <w:rPr>
      <w:b/>
      <w:sz w:val="24"/>
    </w:rPr>
  </w:style>
  <w:style w:type="paragraph" w:customStyle="1" w:styleId="RegH23G">
    <w:name w:val="Reg_H_2/3_G"/>
    <w:basedOn w:val="Normal"/>
    <w:next w:val="RegH4G"/>
    <w:rsid w:val="00FA1A46"/>
    <w:pPr>
      <w:keepNext/>
      <w:keepLines/>
      <w:numPr>
        <w:ilvl w:val="2"/>
        <w:numId w:val="1"/>
      </w:numPr>
      <w:spacing w:before="240" w:after="120" w:line="240" w:lineRule="exact"/>
      <w:ind w:right="1134"/>
    </w:pPr>
    <w:rPr>
      <w:b/>
    </w:rPr>
  </w:style>
  <w:style w:type="paragraph" w:customStyle="1" w:styleId="RegSingleTxtG">
    <w:name w:val="Reg_Single Txt_G"/>
    <w:basedOn w:val="Normal"/>
    <w:link w:val="RegSingleTxtGChar"/>
    <w:rsid w:val="00FA1A46"/>
    <w:pPr>
      <w:numPr>
        <w:ilvl w:val="5"/>
        <w:numId w:val="1"/>
      </w:numPr>
      <w:tabs>
        <w:tab w:val="left" w:pos="1701"/>
      </w:tabs>
      <w:spacing w:after="120"/>
      <w:ind w:right="1134"/>
      <w:jc w:val="both"/>
    </w:pPr>
  </w:style>
  <w:style w:type="paragraph" w:styleId="TOC1">
    <w:name w:val="toc 1"/>
    <w:basedOn w:val="Normal"/>
    <w:next w:val="Normal"/>
    <w:autoRedefine/>
    <w:uiPriority w:val="39"/>
    <w:rsid w:val="00FA1A46"/>
    <w:pPr>
      <w:tabs>
        <w:tab w:val="right" w:pos="851"/>
        <w:tab w:val="left" w:pos="1134"/>
        <w:tab w:val="left" w:pos="1559"/>
        <w:tab w:val="left" w:pos="1985"/>
        <w:tab w:val="left" w:leader="dot" w:pos="7655"/>
        <w:tab w:val="right" w:pos="8930"/>
        <w:tab w:val="right" w:pos="9639"/>
      </w:tabs>
      <w:spacing w:after="120"/>
    </w:pPr>
  </w:style>
  <w:style w:type="paragraph" w:styleId="TOC2">
    <w:name w:val="toc 2"/>
    <w:basedOn w:val="Normal"/>
    <w:next w:val="Normal"/>
    <w:autoRedefine/>
    <w:semiHidden/>
    <w:rsid w:val="00FA1A46"/>
    <w:pPr>
      <w:tabs>
        <w:tab w:val="right" w:pos="851"/>
        <w:tab w:val="left" w:pos="1134"/>
        <w:tab w:val="left" w:pos="1559"/>
        <w:tab w:val="left" w:pos="1985"/>
        <w:tab w:val="left" w:leader="dot" w:pos="7655"/>
        <w:tab w:val="right" w:pos="8930"/>
        <w:tab w:val="right" w:pos="9639"/>
      </w:tabs>
      <w:spacing w:after="120"/>
    </w:pPr>
  </w:style>
  <w:style w:type="paragraph" w:styleId="TOC3">
    <w:name w:val="toc 3"/>
    <w:basedOn w:val="Normal"/>
    <w:next w:val="Normal"/>
    <w:autoRedefine/>
    <w:semiHidden/>
    <w:rsid w:val="00FA1A46"/>
    <w:pPr>
      <w:tabs>
        <w:tab w:val="right" w:pos="851"/>
        <w:tab w:val="left" w:pos="1134"/>
        <w:tab w:val="left" w:pos="1559"/>
        <w:tab w:val="left" w:pos="1985"/>
        <w:tab w:val="left" w:leader="dot" w:pos="7655"/>
        <w:tab w:val="right" w:pos="8930"/>
        <w:tab w:val="right" w:pos="9639"/>
      </w:tabs>
      <w:spacing w:after="120"/>
    </w:pPr>
  </w:style>
  <w:style w:type="paragraph" w:styleId="BalloonText">
    <w:name w:val="Balloon Text"/>
    <w:basedOn w:val="Normal"/>
    <w:link w:val="BalloonTextChar"/>
    <w:rsid w:val="00FA1A46"/>
    <w:pPr>
      <w:spacing w:line="240" w:lineRule="auto"/>
    </w:pPr>
    <w:rPr>
      <w:rFonts w:ascii="Tahoma" w:hAnsi="Tahoma" w:cs="Tahoma"/>
      <w:sz w:val="16"/>
      <w:szCs w:val="16"/>
    </w:rPr>
  </w:style>
  <w:style w:type="character" w:customStyle="1" w:styleId="BalloonTextChar">
    <w:name w:val="Balloon Text Char"/>
    <w:link w:val="BalloonText"/>
    <w:rsid w:val="00FA1A46"/>
    <w:rPr>
      <w:rFonts w:ascii="Tahoma" w:eastAsia="SimSun" w:hAnsi="Tahoma" w:cs="Tahoma"/>
      <w:sz w:val="16"/>
      <w:szCs w:val="16"/>
      <w:lang w:val="en-GB" w:eastAsia="zh-CN"/>
    </w:rPr>
  </w:style>
  <w:style w:type="paragraph" w:styleId="ListParagraph">
    <w:name w:val="List Paragraph"/>
    <w:aliases w:val="List Paragraph1,Recommendation"/>
    <w:basedOn w:val="Normal"/>
    <w:link w:val="ListParagraphChar"/>
    <w:uiPriority w:val="34"/>
    <w:qFormat/>
    <w:rsid w:val="00FA1A46"/>
    <w:pPr>
      <w:ind w:left="720"/>
      <w:contextualSpacing/>
    </w:pPr>
  </w:style>
  <w:style w:type="character" w:customStyle="1" w:styleId="Heading2Char">
    <w:name w:val="Heading 2 Char"/>
    <w:link w:val="Heading2"/>
    <w:rsid w:val="00FA1A46"/>
    <w:rPr>
      <w:rFonts w:ascii="Cambria" w:hAnsi="Cambria"/>
      <w:b/>
      <w:bCs/>
      <w:color w:val="4F81BD"/>
      <w:sz w:val="26"/>
      <w:szCs w:val="26"/>
      <w:lang w:val="en-GB" w:eastAsia="zh-CN"/>
    </w:rPr>
  </w:style>
  <w:style w:type="character" w:customStyle="1" w:styleId="Heading4Char">
    <w:name w:val="Heading 4 Char"/>
    <w:link w:val="Heading4"/>
    <w:rsid w:val="00FA1A46"/>
    <w:rPr>
      <w:rFonts w:ascii="Cambria" w:hAnsi="Cambria"/>
      <w:b/>
      <w:bCs/>
      <w:i/>
      <w:iCs/>
      <w:color w:val="4F81BD"/>
      <w:lang w:val="en-GB" w:eastAsia="zh-CN"/>
    </w:rPr>
  </w:style>
  <w:style w:type="character" w:customStyle="1" w:styleId="Heading5Char">
    <w:name w:val="Heading 5 Char"/>
    <w:link w:val="Heading5"/>
    <w:rsid w:val="00FA1A46"/>
    <w:rPr>
      <w:rFonts w:ascii="Cambria" w:hAnsi="Cambria"/>
      <w:color w:val="243F60"/>
      <w:lang w:val="en-GB" w:eastAsia="zh-CN"/>
    </w:rPr>
  </w:style>
  <w:style w:type="paragraph" w:customStyle="1" w:styleId="ListParagraphforAnnexes">
    <w:name w:val="List Paragraph for Annexes"/>
    <w:basedOn w:val="ListParagraph"/>
    <w:qFormat/>
    <w:rsid w:val="00FA1A46"/>
    <w:pPr>
      <w:spacing w:before="120" w:after="120" w:line="240" w:lineRule="exact"/>
      <w:contextualSpacing w:val="0"/>
    </w:pPr>
  </w:style>
  <w:style w:type="paragraph" w:customStyle="1" w:styleId="RegH4G">
    <w:name w:val="Reg_H_4_G"/>
    <w:basedOn w:val="RegH23G"/>
    <w:next w:val="RegH5G"/>
    <w:qFormat/>
    <w:rsid w:val="00FA1A46"/>
    <w:pPr>
      <w:numPr>
        <w:ilvl w:val="3"/>
      </w:numPr>
    </w:pPr>
  </w:style>
  <w:style w:type="paragraph" w:customStyle="1" w:styleId="RegH5G">
    <w:name w:val="Reg_H_5_G"/>
    <w:basedOn w:val="RegH4G"/>
    <w:qFormat/>
    <w:rsid w:val="00FA1A46"/>
    <w:pPr>
      <w:numPr>
        <w:ilvl w:val="4"/>
      </w:numPr>
    </w:pPr>
    <w:rPr>
      <w:b w:val="0"/>
      <w:i/>
    </w:rPr>
  </w:style>
  <w:style w:type="paragraph" w:customStyle="1" w:styleId="TableFootnote">
    <w:name w:val="TableFootnote"/>
    <w:basedOn w:val="FootnoteTable"/>
    <w:qFormat/>
    <w:rsid w:val="00FA1A46"/>
    <w:pPr>
      <w:spacing w:before="60"/>
      <w:ind w:left="1134" w:right="1134" w:firstLine="170"/>
      <w:contextualSpacing/>
      <w:jc w:val="left"/>
    </w:pPr>
  </w:style>
  <w:style w:type="paragraph" w:customStyle="1" w:styleId="RegSingleTxtG2">
    <w:name w:val="Reg_Single Txt_G2"/>
    <w:basedOn w:val="RegSingleTxtG"/>
    <w:qFormat/>
    <w:rsid w:val="00FA1A46"/>
    <w:pPr>
      <w:numPr>
        <w:ilvl w:val="6"/>
      </w:numPr>
      <w:tabs>
        <w:tab w:val="clear" w:pos="1702"/>
      </w:tabs>
    </w:pPr>
  </w:style>
  <w:style w:type="paragraph" w:customStyle="1" w:styleId="RegSingleTxtG3">
    <w:name w:val="Reg_Single Txt_G3"/>
    <w:basedOn w:val="RegSingleTxtG"/>
    <w:qFormat/>
    <w:rsid w:val="00FA1A46"/>
    <w:pPr>
      <w:numPr>
        <w:ilvl w:val="7"/>
      </w:numPr>
    </w:pPr>
  </w:style>
  <w:style w:type="paragraph" w:customStyle="1" w:styleId="AtxtHdgs">
    <w:name w:val="Atxt_Hdgs"/>
    <w:basedOn w:val="Normal"/>
    <w:rsid w:val="00FA1A46"/>
    <w:pPr>
      <w:suppressAutoHyphens w:val="0"/>
      <w:spacing w:line="240" w:lineRule="auto"/>
      <w:jc w:val="center"/>
    </w:pPr>
    <w:rPr>
      <w:rFonts w:eastAsia="Times New Roman"/>
      <w:sz w:val="24"/>
      <w:lang w:eastAsia="en-US"/>
    </w:rPr>
  </w:style>
  <w:style w:type="paragraph" w:styleId="Caption">
    <w:name w:val="caption"/>
    <w:basedOn w:val="Normal"/>
    <w:next w:val="Normal"/>
    <w:unhideWhenUsed/>
    <w:qFormat/>
    <w:rsid w:val="00FA1A46"/>
    <w:rPr>
      <w:b/>
      <w:bCs/>
    </w:rPr>
  </w:style>
  <w:style w:type="paragraph" w:styleId="TOC4">
    <w:name w:val="toc 4"/>
    <w:basedOn w:val="Normal"/>
    <w:next w:val="Normal"/>
    <w:autoRedefine/>
    <w:semiHidden/>
    <w:unhideWhenUsed/>
    <w:rsid w:val="00FA1A46"/>
    <w:pPr>
      <w:ind w:left="600"/>
    </w:pPr>
  </w:style>
  <w:style w:type="paragraph" w:styleId="TOC5">
    <w:name w:val="toc 5"/>
    <w:basedOn w:val="Normal"/>
    <w:next w:val="Normal"/>
    <w:autoRedefine/>
    <w:semiHidden/>
    <w:unhideWhenUsed/>
    <w:rsid w:val="00FA1A46"/>
    <w:pPr>
      <w:ind w:left="800"/>
    </w:pPr>
  </w:style>
  <w:style w:type="paragraph" w:styleId="TOC6">
    <w:name w:val="toc 6"/>
    <w:basedOn w:val="Normal"/>
    <w:next w:val="Normal"/>
    <w:autoRedefine/>
    <w:semiHidden/>
    <w:unhideWhenUsed/>
    <w:rsid w:val="00FA1A46"/>
    <w:pPr>
      <w:ind w:left="1000"/>
    </w:pPr>
  </w:style>
  <w:style w:type="paragraph" w:styleId="TOC7">
    <w:name w:val="toc 7"/>
    <w:basedOn w:val="Normal"/>
    <w:next w:val="Normal"/>
    <w:autoRedefine/>
    <w:semiHidden/>
    <w:unhideWhenUsed/>
    <w:rsid w:val="00FA1A46"/>
    <w:pPr>
      <w:ind w:left="1200"/>
    </w:pPr>
  </w:style>
  <w:style w:type="paragraph" w:styleId="TOC8">
    <w:name w:val="toc 8"/>
    <w:basedOn w:val="Normal"/>
    <w:next w:val="Normal"/>
    <w:autoRedefine/>
    <w:semiHidden/>
    <w:unhideWhenUsed/>
    <w:rsid w:val="00FA1A46"/>
    <w:pPr>
      <w:ind w:left="1400"/>
    </w:pPr>
  </w:style>
  <w:style w:type="paragraph" w:styleId="TOC9">
    <w:name w:val="toc 9"/>
    <w:basedOn w:val="Normal"/>
    <w:next w:val="Normal"/>
    <w:autoRedefine/>
    <w:semiHidden/>
    <w:unhideWhenUsed/>
    <w:rsid w:val="00FA1A46"/>
    <w:pPr>
      <w:ind w:left="1600"/>
    </w:pPr>
  </w:style>
  <w:style w:type="paragraph" w:customStyle="1" w:styleId="FC1">
    <w:name w:val="FC1"/>
    <w:basedOn w:val="RegSingleTxtG"/>
    <w:qFormat/>
    <w:rsid w:val="00FA1A46"/>
    <w:pPr>
      <w:numPr>
        <w:ilvl w:val="0"/>
        <w:numId w:val="0"/>
      </w:numPr>
      <w:ind w:left="1134"/>
      <w:jc w:val="left"/>
    </w:pPr>
  </w:style>
  <w:style w:type="paragraph" w:customStyle="1" w:styleId="SourcesFootnote">
    <w:name w:val="SourcesFootnote"/>
    <w:basedOn w:val="TableFootnote"/>
    <w:qFormat/>
    <w:rsid w:val="00FA1A46"/>
    <w:rPr>
      <w:i/>
    </w:rPr>
  </w:style>
  <w:style w:type="paragraph" w:customStyle="1" w:styleId="FC2">
    <w:name w:val="FC2"/>
    <w:basedOn w:val="FC1"/>
    <w:qFormat/>
    <w:rsid w:val="00FA1A46"/>
    <w:pPr>
      <w:keepNext/>
    </w:pPr>
  </w:style>
  <w:style w:type="numbering" w:customStyle="1" w:styleId="FCCCBoxfootnote">
    <w:name w:val="FCCC_Box_footnote"/>
    <w:uiPriority w:val="99"/>
    <w:rsid w:val="00E50AEE"/>
    <w:pPr>
      <w:numPr>
        <w:numId w:val="2"/>
      </w:numPr>
    </w:pPr>
  </w:style>
  <w:style w:type="numbering" w:customStyle="1" w:styleId="FCCCTextboxfootnote">
    <w:name w:val="FCCC Textbox footnote"/>
    <w:uiPriority w:val="99"/>
    <w:rsid w:val="00FC386E"/>
    <w:pPr>
      <w:numPr>
        <w:numId w:val="3"/>
      </w:numPr>
    </w:pPr>
  </w:style>
  <w:style w:type="numbering" w:customStyle="1" w:styleId="FigureFootnote">
    <w:name w:val="Figure Footnote"/>
    <w:uiPriority w:val="99"/>
    <w:rsid w:val="00FE622D"/>
    <w:pPr>
      <w:numPr>
        <w:numId w:val="4"/>
      </w:numPr>
    </w:pPr>
  </w:style>
  <w:style w:type="table" w:styleId="TableGrid">
    <w:name w:val="Table Grid"/>
    <w:basedOn w:val="TableNormal"/>
    <w:rsid w:val="00742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333C0"/>
    <w:rPr>
      <w:color w:val="808080"/>
    </w:rPr>
  </w:style>
  <w:style w:type="character" w:customStyle="1" w:styleId="ListParagraphChar">
    <w:name w:val="List Paragraph Char"/>
    <w:aliases w:val="List Paragraph1 Char,Recommendation Char"/>
    <w:link w:val="ListParagraph"/>
    <w:uiPriority w:val="34"/>
    <w:locked/>
    <w:rsid w:val="00047848"/>
    <w:rPr>
      <w:rFonts w:eastAsia="SimSun"/>
      <w:lang w:val="en-GB" w:eastAsia="zh-CN"/>
    </w:rPr>
  </w:style>
  <w:style w:type="character" w:styleId="Hyperlink">
    <w:name w:val="Hyperlink"/>
    <w:basedOn w:val="DefaultParagraphFont"/>
    <w:uiPriority w:val="99"/>
    <w:unhideWhenUsed/>
    <w:rsid w:val="00FE33E1"/>
    <w:rPr>
      <w:color w:val="0000FF"/>
      <w:u w:val="single"/>
    </w:rPr>
  </w:style>
  <w:style w:type="character" w:styleId="UnresolvedMention">
    <w:name w:val="Unresolved Mention"/>
    <w:basedOn w:val="DefaultParagraphFont"/>
    <w:uiPriority w:val="99"/>
    <w:semiHidden/>
    <w:unhideWhenUsed/>
    <w:rsid w:val="00B63AE4"/>
    <w:rPr>
      <w:color w:val="808080"/>
      <w:shd w:val="clear" w:color="auto" w:fill="E6E6E6"/>
    </w:rPr>
  </w:style>
  <w:style w:type="character" w:customStyle="1" w:styleId="RegSingleTxtGChar">
    <w:name w:val="Reg_Single Txt_G Char"/>
    <w:basedOn w:val="DefaultParagraphFont"/>
    <w:link w:val="RegSingleTxtG"/>
    <w:rsid w:val="000D551F"/>
    <w:rPr>
      <w:rFonts w:eastAsia="SimSun"/>
      <w:lang w:val="en-GB" w:eastAsia="zh-CN"/>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Text Cha Char,FA Fußnotentext Char,FA Fuﬂnotentext Char"/>
    <w:basedOn w:val="DefaultParagraphFont"/>
    <w:link w:val="FootnoteText"/>
    <w:rsid w:val="00FB53F4"/>
    <w:rPr>
      <w:rFonts w:eastAsia="SimSun"/>
      <w:sz w:val="18"/>
      <w:lang w:val="en-GB" w:eastAsia="zh-CN"/>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Char Char Char Char Char Car Zchn, BVI fnr Car Zchn"/>
    <w:basedOn w:val="Normal"/>
    <w:link w:val="FootnoteReference"/>
    <w:rsid w:val="00FB53F4"/>
    <w:pPr>
      <w:suppressAutoHyphens w:val="0"/>
      <w:spacing w:after="160" w:line="240" w:lineRule="exact"/>
      <w:jc w:val="both"/>
    </w:pPr>
    <w:rPr>
      <w:rFonts w:eastAsia="Times New Roman"/>
      <w:sz w:val="18"/>
      <w:vertAlign w:val="superscript"/>
      <w:lang w:val="en-US" w:eastAsia="en-US"/>
    </w:rPr>
  </w:style>
  <w:style w:type="paragraph" w:customStyle="1" w:styleId="Default">
    <w:name w:val="Default"/>
    <w:rsid w:val="009373BD"/>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391538">
      <w:bodyDiv w:val="1"/>
      <w:marLeft w:val="0"/>
      <w:marRight w:val="0"/>
      <w:marTop w:val="0"/>
      <w:marBottom w:val="0"/>
      <w:divBdr>
        <w:top w:val="none" w:sz="0" w:space="0" w:color="auto"/>
        <w:left w:val="none" w:sz="0" w:space="0" w:color="auto"/>
        <w:bottom w:val="none" w:sz="0" w:space="0" w:color="auto"/>
        <w:right w:val="none" w:sz="0" w:space="0" w:color="auto"/>
      </w:divBdr>
    </w:div>
    <w:div w:id="1141339435">
      <w:bodyDiv w:val="1"/>
      <w:marLeft w:val="0"/>
      <w:marRight w:val="0"/>
      <w:marTop w:val="0"/>
      <w:marBottom w:val="0"/>
      <w:divBdr>
        <w:top w:val="none" w:sz="0" w:space="0" w:color="auto"/>
        <w:left w:val="none" w:sz="0" w:space="0" w:color="auto"/>
        <w:bottom w:val="none" w:sz="0" w:space="0" w:color="auto"/>
        <w:right w:val="none" w:sz="0" w:space="0" w:color="auto"/>
      </w:divBdr>
    </w:div>
    <w:div w:id="171862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unfccc.int/topics/gender/events-meetings/workshops-dialogues/gender-dialogue-constituted-bodies-and-the-integration-of-gender-considerations" TargetMode="External"/><Relationship Id="rId26" Type="http://schemas.openxmlformats.org/officeDocument/2006/relationships/hyperlink" Target="https://unfccc.int/sites/default/files/resource/02.%20LARSEN%2C%20Karina-CTCN%20.pdf" TargetMode="External"/><Relationship Id="rId3" Type="http://schemas.openxmlformats.org/officeDocument/2006/relationships/customXml" Target="../customXml/item3.xml"/><Relationship Id="rId21" Type="http://schemas.openxmlformats.org/officeDocument/2006/relationships/hyperlink" Target="https://unfccc.int/sites/default/files/resource/Summary_Side%20event_PCCB-OHCHR-MRFCJ_7%20Dec.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unfccc.int/documents/200110" TargetMode="External"/><Relationship Id="rId25" Type="http://schemas.openxmlformats.org/officeDocument/2006/relationships/hyperlink" Target="https://unfccc.int/sites/default/files/resource/sbi2019_inf8.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nfccc.int/documents/182457" TargetMode="External"/><Relationship Id="rId20" Type="http://schemas.openxmlformats.org/officeDocument/2006/relationships/hyperlink" Target="https://unfccc.int/process-and-meetings/bodies/constituted-bodies/adaptation-committee-ac/adaptation-committee-call-for-submissions-on-how-to-mainstream-gender-considerations-into-nationa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tc-n.org/calendar/events/cop24-technology-needs-assessments-tnas-gender-workshop"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unfccc.int/documents/28208" TargetMode="External"/><Relationship Id="rId23" Type="http://schemas.openxmlformats.org/officeDocument/2006/relationships/hyperlink" Target="https://unfccc.int/topics/climate-finance/events-meetings/scf-forum/climate-finance-and-sustainable-cities"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unfccc.int/sites/default/files/resource/ac15_5d_gender.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unfccc.int/ttclear/misc_/StaticFiles/gnwoerk_static/tn_meetings/5d9cfbca553d4fb69460f242e6b01d68/17c11d2d2be9435faf0d534c9b2d0713.pdf" TargetMode="External"/><Relationship Id="rId27" Type="http://schemas.openxmlformats.org/officeDocument/2006/relationships/header" Target="header2.xml"/><Relationship Id="rId30"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s://unfccc.int/topics/gender/resources/list-of-gender-focal-points-under-the-unfccc" TargetMode="External"/><Relationship Id="rId2" Type="http://schemas.openxmlformats.org/officeDocument/2006/relationships/hyperlink" Target="https://unfccc.int/workshop-on-gender-and-climate-change-june-2019" TargetMode="External"/><Relationship Id="rId1" Type="http://schemas.openxmlformats.org/officeDocument/2006/relationships/hyperlink" Target="https://unfccc.int/topics/gender/events-meetings/workshops-dialogues/workshop-on-gender-and-climate-change-may-20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ial\Office14.UNFCCC\Templates\Word\FCC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527A4F433DB4962B668666F34F82890"/>
        <w:category>
          <w:name w:val="General"/>
          <w:gallery w:val="placeholder"/>
        </w:category>
        <w:types>
          <w:type w:val="bbPlcHdr"/>
        </w:types>
        <w:behaviors>
          <w:behavior w:val="content"/>
        </w:behaviors>
        <w:guid w:val="{D1343AC7-BA7D-45CA-B9B2-49D2BE1C77AD}"/>
      </w:docPartPr>
      <w:docPartBody>
        <w:p w:rsidR="0053648D" w:rsidRDefault="00F44B91" w:rsidP="00F44B91">
          <w:pPr>
            <w:pStyle w:val="3527A4F433DB4962B668666F34F82890"/>
          </w:pPr>
          <w:r w:rsidRPr="00B42ADC">
            <w:rPr>
              <w:rStyle w:val="PlaceholderText"/>
              <w:rPrChange w:id="0" w:author="Unknown" w:date="2017-07-06T14:52:00Z">
                <w:rPr>
                  <w:rFonts w:eastAsia="Times New Roman"/>
                </w:rPr>
              </w:rPrChange>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557"/>
    <w:rsid w:val="00111B41"/>
    <w:rsid w:val="00306557"/>
    <w:rsid w:val="0053648D"/>
    <w:rsid w:val="005D0E13"/>
    <w:rsid w:val="008273DE"/>
    <w:rsid w:val="00890053"/>
    <w:rsid w:val="008C1F84"/>
    <w:rsid w:val="00E56E65"/>
    <w:rsid w:val="00F44B91"/>
    <w:rsid w:val="00F75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4B91"/>
    <w:rPr>
      <w:color w:val="808080"/>
    </w:rPr>
  </w:style>
  <w:style w:type="paragraph" w:customStyle="1" w:styleId="3527A4F433DB4962B668666F34F82890">
    <w:name w:val="3527A4F433DB4962B668666F34F82890"/>
    <w:rsid w:val="00F44B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D21025F0E57E4BBD3085F3970AC848" ma:contentTypeVersion="0" ma:contentTypeDescription="Create a new document." ma:contentTypeScope="" ma:versionID="37c593bd098d52ee0ad3c4eb60fbd95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B3E98-0344-4B2C-95D2-F2273E160584}">
  <ds:schemaRefs>
    <ds:schemaRef ds:uri="http://schemas.microsoft.com/sharepoint/v3/contenttype/forms"/>
  </ds:schemaRefs>
</ds:datastoreItem>
</file>

<file path=customXml/itemProps2.xml><?xml version="1.0" encoding="utf-8"?>
<ds:datastoreItem xmlns:ds="http://schemas.openxmlformats.org/officeDocument/2006/customXml" ds:itemID="{DC2F64F3-6353-49F8-B5E1-62D09FC3D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357B9B0-5EE6-4841-87B0-E937C3ED249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FD8981D-C803-4A7C-8297-9C91CB26A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FCCC.dotm</Template>
  <TotalTime>656</TotalTime>
  <Pages>19</Pages>
  <Words>7177</Words>
  <Characters>40911</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INFORMAL document template</vt:lpstr>
    </vt:vector>
  </TitlesOfParts>
  <Company>UNFCCC</Company>
  <LinksUpToDate>false</LinksUpToDate>
  <CharactersWithSpaces>47993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INFORMAL document template</dc:title>
  <dc:subject/>
  <dc:creator>Katherine Infantino</dc:creator>
  <cp:keywords/>
  <dc:description/>
  <cp:lastModifiedBy>Alma Delgadillo Rangel</cp:lastModifiedBy>
  <cp:revision>21</cp:revision>
  <cp:lastPrinted>2017-07-06T07:42:00Z</cp:lastPrinted>
  <dcterms:created xsi:type="dcterms:W3CDTF">2019-10-23T15:54:00Z</dcterms:created>
  <dcterms:modified xsi:type="dcterms:W3CDTF">2019-11-14T17:33:00Z</dcterms:modified>
  <cp:category>UNFCCC Template 2017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ymbol1">
    <vt:lpwstr>FCCC/CP/2017/X</vt:lpwstr>
  </property>
  <property fmtid="{D5CDD505-2E9C-101B-9397-08002B2CF9AE}" pid="3" name="docSymbol2">
    <vt:lpwstr/>
  </property>
  <property fmtid="{D5CDD505-2E9C-101B-9397-08002B2CF9AE}" pid="4" name="ContentTypeId">
    <vt:lpwstr>0x0101006AD21025F0E57E4BBD3085F3970AC848</vt:lpwstr>
  </property>
  <property fmtid="{D5CDD505-2E9C-101B-9397-08002B2CF9AE}" pid="5" name="Bodies">
    <vt:lpwstr/>
  </property>
</Properties>
</file>