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92C4" w14:textId="44E09E27" w:rsidR="00513970" w:rsidRPr="005217E7" w:rsidRDefault="00513970" w:rsidP="00D80B8B">
      <w:pPr>
        <w:pStyle w:val="Heading1"/>
      </w:pPr>
      <w:r w:rsidRPr="005217E7">
        <w:t xml:space="preserve">Annex to TUP report </w:t>
      </w:r>
      <w:r w:rsidR="00725A13" w:rsidRPr="005217E7">
        <w:t>– EU common text</w:t>
      </w:r>
    </w:p>
    <w:p w14:paraId="06C99F13" w14:textId="0CBC39F1" w:rsidR="000157A2" w:rsidRPr="005217E7" w:rsidRDefault="000157A2" w:rsidP="000157A2">
      <w:pPr>
        <w:jc w:val="both"/>
      </w:pPr>
      <w:r w:rsidRPr="005217E7">
        <w:t xml:space="preserve">The terms of the </w:t>
      </w:r>
      <w:r w:rsidRPr="005217E7">
        <w:rPr>
          <w:b/>
          <w:bCs/>
        </w:rPr>
        <w:t>agreement to fulfil jointly the commitments of the European Union, its Member States</w:t>
      </w:r>
      <w:r w:rsidRPr="005217E7">
        <w:rPr>
          <w:rStyle w:val="FootnoteReference"/>
          <w:b/>
          <w:bCs/>
        </w:rPr>
        <w:footnoteReference w:id="1"/>
      </w:r>
      <w:r w:rsidRPr="005217E7">
        <w:rPr>
          <w:b/>
          <w:bCs/>
        </w:rPr>
        <w:t xml:space="preserve"> and Iceland (‘the members’) under Article 3 of the Kyoto Protocol for the second commitment period of the Kyoto Protocol</w:t>
      </w:r>
      <w:r w:rsidRPr="005217E7">
        <w:t xml:space="preserve">, as adopted by the Conference of the Parties to the United Nations Framework Convention on Climate Change (‘UNFCCC’) serving as the meeting of the Parties to the Kyoto Protocol in Doha, by Decision 1/CMP.8, in accordance with Article 4 of the Kyoto Protocol provides that </w:t>
      </w:r>
      <w:r w:rsidRPr="005217E7">
        <w:rPr>
          <w:b/>
          <w:bCs/>
        </w:rPr>
        <w:t>the members will fulfil their commitments by ensuring that,</w:t>
      </w:r>
      <w:r w:rsidRPr="005217E7">
        <w:t xml:space="preserve"> in accordance with Article 4(5) and (6) of the Kyoto Protocol, </w:t>
      </w:r>
      <w:r w:rsidRPr="005217E7">
        <w:rPr>
          <w:b/>
          <w:bCs/>
        </w:rPr>
        <w:t xml:space="preserve">the combined sum of the aggregate anthropogenic carbon dioxide equivalent emissions </w:t>
      </w:r>
      <w:r w:rsidRPr="005217E7">
        <w:t>of the greenhouse gases listed in Annex A to the Kyoto Protocol in the Member States and Iceland</w:t>
      </w:r>
      <w:r w:rsidRPr="005217E7">
        <w:rPr>
          <w:i/>
          <w:iCs/>
        </w:rPr>
        <w:t xml:space="preserve"> </w:t>
      </w:r>
      <w:r w:rsidRPr="005217E7">
        <w:rPr>
          <w:b/>
          <w:bCs/>
        </w:rPr>
        <w:t>does not exceed their joint assigned amount.</w:t>
      </w:r>
    </w:p>
    <w:p w14:paraId="7FE85332" w14:textId="77777777" w:rsidR="000157A2" w:rsidRPr="005217E7" w:rsidRDefault="000157A2" w:rsidP="000157A2">
      <w:pPr>
        <w:spacing w:after="240" w:line="256" w:lineRule="auto"/>
        <w:jc w:val="both"/>
        <w:rPr>
          <w:rFonts w:cstheme="minorHAnsi"/>
        </w:rPr>
      </w:pPr>
      <w:r w:rsidRPr="005217E7">
        <w:rPr>
          <w:rFonts w:cstheme="minorHAnsi"/>
        </w:rPr>
        <w:t xml:space="preserve">The joint assigned amount of the EU, its Member States and Iceland for the period 2013-2020, as established in the initial review report, is 37 604 433 280 t CO2 </w:t>
      </w:r>
      <w:proofErr w:type="spellStart"/>
      <w:r w:rsidRPr="005217E7">
        <w:rPr>
          <w:rFonts w:cstheme="minorHAnsi"/>
        </w:rPr>
        <w:t>eq</w:t>
      </w:r>
      <w:proofErr w:type="spellEnd"/>
      <w:r w:rsidRPr="005217E7">
        <w:rPr>
          <w:rStyle w:val="FootnoteReference"/>
          <w:rFonts w:cstheme="minorHAnsi"/>
        </w:rPr>
        <w:footnoteReference w:id="2"/>
      </w:r>
      <w:r w:rsidRPr="005217E7">
        <w:rPr>
          <w:rFonts w:cstheme="minorHAnsi"/>
        </w:rPr>
        <w:t>.</w:t>
      </w:r>
    </w:p>
    <w:p w14:paraId="0ECCA751" w14:textId="23BBFF0F" w:rsidR="000157A2" w:rsidRPr="005217E7" w:rsidRDefault="000157A2" w:rsidP="000157A2">
      <w:pPr>
        <w:spacing w:after="240" w:line="256" w:lineRule="auto"/>
        <w:jc w:val="both"/>
        <w:rPr>
          <w:rFonts w:cstheme="minorHAnsi"/>
        </w:rPr>
      </w:pPr>
      <w:r w:rsidRPr="005217E7">
        <w:rPr>
          <w:rFonts w:cstheme="minorHAnsi"/>
        </w:rPr>
        <w:t>The assigned amounts of the individual Member States and Iceland cover the emissions from sectors and gases listed in Annex A to the Kyoto Protocol not covered by the EU’s emissions trading system</w:t>
      </w:r>
      <w:r w:rsidR="00EA6E84" w:rsidRPr="005217E7">
        <w:rPr>
          <w:rFonts w:cstheme="minorHAnsi"/>
        </w:rPr>
        <w:t xml:space="preserve"> (ETS)</w:t>
      </w:r>
      <w:r w:rsidRPr="005217E7">
        <w:rPr>
          <w:rFonts w:cstheme="minorHAnsi"/>
        </w:rPr>
        <w:t xml:space="preserve">, i.e., emissions </w:t>
      </w:r>
      <w:r w:rsidR="001227A0" w:rsidRPr="005217E7">
        <w:rPr>
          <w:rFonts w:cstheme="minorHAnsi"/>
        </w:rPr>
        <w:t xml:space="preserve">covered by </w:t>
      </w:r>
      <w:r w:rsidRPr="005217E7">
        <w:rPr>
          <w:rFonts w:cstheme="minorHAnsi"/>
        </w:rPr>
        <w:t xml:space="preserve">the </w:t>
      </w:r>
      <w:r w:rsidR="001227A0" w:rsidRPr="005217E7">
        <w:rPr>
          <w:rFonts w:cstheme="minorHAnsi"/>
        </w:rPr>
        <w:t xml:space="preserve">EU’s </w:t>
      </w:r>
      <w:hyperlink r:id="rId6" w:history="1">
        <w:r w:rsidRPr="005217E7">
          <w:rPr>
            <w:rStyle w:val="Hyperlink"/>
            <w:rFonts w:cstheme="minorHAnsi"/>
          </w:rPr>
          <w:t>Effort Sharing Decision</w:t>
        </w:r>
      </w:hyperlink>
      <w:r w:rsidRPr="005217E7">
        <w:rPr>
          <w:rFonts w:cstheme="minorHAnsi"/>
        </w:rPr>
        <w:t xml:space="preserve">. The assigned amounts for the period 2013-2020 were calculated per each Member State after exclusion of LULUCF activities. However, </w:t>
      </w:r>
      <w:r w:rsidR="003E3830" w:rsidRPr="005217E7">
        <w:rPr>
          <w:rFonts w:cstheme="minorHAnsi"/>
        </w:rPr>
        <w:t>6</w:t>
      </w:r>
      <w:r w:rsidRPr="005217E7">
        <w:rPr>
          <w:rFonts w:cstheme="minorHAnsi"/>
        </w:rPr>
        <w:t xml:space="preserve"> countries (NL, UK, DK, PT</w:t>
      </w:r>
      <w:r w:rsidR="003E3830" w:rsidRPr="005217E7">
        <w:rPr>
          <w:rFonts w:cstheme="minorHAnsi"/>
        </w:rPr>
        <w:t>, IE</w:t>
      </w:r>
      <w:r w:rsidRPr="005217E7">
        <w:rPr>
          <w:rFonts w:cstheme="minorHAnsi"/>
        </w:rPr>
        <w:t xml:space="preserve"> and LU) were allowed to include net emissions from deforestation activities in the calculation of their assigned amounts. The total amount assigned to the individual Member States and Iceland is 21 791 343 942 t CO2 eq. A breakdown of the assigned amounts per country is presented in Table A.1.</w:t>
      </w:r>
    </w:p>
    <w:p w14:paraId="5C3B9588" w14:textId="1E58E653" w:rsidR="000157A2" w:rsidRPr="005217E7" w:rsidRDefault="000157A2" w:rsidP="000157A2">
      <w:pPr>
        <w:spacing w:after="240" w:line="240" w:lineRule="auto"/>
        <w:jc w:val="both"/>
        <w:rPr>
          <w:rFonts w:cstheme="minorHAnsi"/>
        </w:rPr>
      </w:pPr>
      <w:r w:rsidRPr="005217E7">
        <w:rPr>
          <w:rFonts w:cstheme="minorHAnsi"/>
        </w:rPr>
        <w:t xml:space="preserve">The assigned amount of the Union for the period 2013-2020 amounts to the difference between the joint assigned amount and the sum of the individual assigned amounts of the Member States and Iceland, and is, as established in the UNFCCC initial review report, 15 813 089 338 t CO2 eq. It covers </w:t>
      </w:r>
      <w:r w:rsidR="00EA6E84" w:rsidRPr="005217E7">
        <w:rPr>
          <w:rFonts w:cstheme="minorHAnsi"/>
        </w:rPr>
        <w:t xml:space="preserve">emissions under </w:t>
      </w:r>
      <w:r w:rsidRPr="005217E7">
        <w:rPr>
          <w:rFonts w:cstheme="minorHAnsi"/>
        </w:rPr>
        <w:t xml:space="preserve">the </w:t>
      </w:r>
      <w:r w:rsidR="00EA6E84" w:rsidRPr="005217E7">
        <w:rPr>
          <w:rFonts w:cstheme="minorHAnsi"/>
        </w:rPr>
        <w:t xml:space="preserve">EU </w:t>
      </w:r>
      <w:r w:rsidRPr="005217E7">
        <w:rPr>
          <w:rFonts w:cstheme="minorHAnsi"/>
        </w:rPr>
        <w:t xml:space="preserve">ETS. The sectors covered by the EU Emissions Trading System are those specified in Annex I of the </w:t>
      </w:r>
      <w:hyperlink r:id="rId7" w:history="1">
        <w:r w:rsidRPr="005217E7">
          <w:rPr>
            <w:rStyle w:val="Hyperlink"/>
            <w:rFonts w:cstheme="minorHAnsi"/>
          </w:rPr>
          <w:t>EU ETS Directive</w:t>
        </w:r>
      </w:hyperlink>
      <w:r w:rsidRPr="005217E7">
        <w:rPr>
          <w:rFonts w:cstheme="minorHAnsi"/>
        </w:rPr>
        <w:t xml:space="preserve"> and taking into account the application of its Articles 24 and 27.</w:t>
      </w:r>
    </w:p>
    <w:p w14:paraId="74E46AB4" w14:textId="430641DC" w:rsidR="00513970" w:rsidRPr="005217E7" w:rsidRDefault="000157A2" w:rsidP="00513970">
      <w:pPr>
        <w:jc w:val="both"/>
      </w:pPr>
      <w:r w:rsidRPr="005217E7">
        <w:rPr>
          <w:rFonts w:eastAsia="Times New Roman"/>
        </w:rPr>
        <w:t xml:space="preserve">Based on the above, </w:t>
      </w:r>
      <w:r w:rsidR="00BE0408" w:rsidRPr="005217E7">
        <w:rPr>
          <w:rFonts w:eastAsia="Times New Roman"/>
        </w:rPr>
        <w:t xml:space="preserve">for the purpose of compliance with the second commitment period of the Kyoto protocol, </w:t>
      </w:r>
      <w:r w:rsidRPr="005217E7">
        <w:rPr>
          <w:rFonts w:eastAsia="Times New Roman"/>
        </w:rPr>
        <w:t xml:space="preserve">the </w:t>
      </w:r>
      <w:r w:rsidRPr="005217E7">
        <w:rPr>
          <w:rFonts w:eastAsia="Times New Roman"/>
          <w:b/>
          <w:bCs/>
        </w:rPr>
        <w:t xml:space="preserve">assigned amounts of the individual Member States and Iceland should not be compared with the </w:t>
      </w:r>
      <w:r w:rsidRPr="005217E7">
        <w:rPr>
          <w:b/>
          <w:bCs/>
        </w:rPr>
        <w:t xml:space="preserve">sum of the anthropogenic carbon dioxide equivalent emissions of the greenhouse gases listed in Annex A to the Kyoto Protocol in these individual countries </w:t>
      </w:r>
      <w:r w:rsidRPr="005217E7">
        <w:t>as the calculation of the assigned amounts of these countries excludes ETS emissions on their territor</w:t>
      </w:r>
      <w:r w:rsidR="00384478" w:rsidRPr="005217E7">
        <w:t>y</w:t>
      </w:r>
      <w:r w:rsidRPr="005217E7">
        <w:t>.</w:t>
      </w:r>
    </w:p>
    <w:p w14:paraId="62196146" w14:textId="77777777" w:rsidR="00513970" w:rsidRPr="005217E7" w:rsidRDefault="00513970">
      <w:pPr>
        <w:spacing w:after="160" w:line="259" w:lineRule="auto"/>
      </w:pPr>
      <w:r w:rsidRPr="005217E7">
        <w:br w:type="page"/>
      </w:r>
    </w:p>
    <w:p w14:paraId="5B400B81" w14:textId="77777777" w:rsidR="000157A2" w:rsidRPr="005217E7" w:rsidRDefault="000157A2" w:rsidP="000157A2">
      <w:pPr>
        <w:rPr>
          <w:b/>
          <w:bCs/>
          <w:u w:val="single"/>
        </w:rPr>
      </w:pPr>
    </w:p>
    <w:p w14:paraId="79DE7598" w14:textId="77777777" w:rsidR="000157A2" w:rsidRPr="005217E7" w:rsidRDefault="000157A2" w:rsidP="000157A2">
      <w:pPr>
        <w:rPr>
          <w:b/>
          <w:bCs/>
          <w:u w:val="single"/>
        </w:rPr>
      </w:pPr>
      <w:r w:rsidRPr="005217E7">
        <w:rPr>
          <w:b/>
          <w:bCs/>
          <w:u w:val="single"/>
        </w:rPr>
        <w:t>Table A–1 - Assigned amount per member to the agreement</w:t>
      </w:r>
    </w:p>
    <w:tbl>
      <w:tblPr>
        <w:tblW w:w="0" w:type="auto"/>
        <w:tblInd w:w="60" w:type="dxa"/>
        <w:tblLayout w:type="fixed"/>
        <w:tblLook w:val="04A0" w:firstRow="1" w:lastRow="0" w:firstColumn="1" w:lastColumn="0" w:noHBand="0" w:noVBand="1"/>
      </w:tblPr>
      <w:tblGrid>
        <w:gridCol w:w="3630"/>
        <w:gridCol w:w="5207"/>
      </w:tblGrid>
      <w:tr w:rsidR="000157A2" w:rsidRPr="005217E7" w14:paraId="6CCC9F1B" w14:textId="77777777" w:rsidTr="005130EA">
        <w:trPr>
          <w:trHeight w:val="1191"/>
        </w:trPr>
        <w:tc>
          <w:tcPr>
            <w:tcW w:w="3630" w:type="dxa"/>
            <w:tcBorders>
              <w:top w:val="single" w:sz="6" w:space="0" w:color="auto"/>
              <w:left w:val="single" w:sz="6" w:space="0" w:color="auto"/>
              <w:bottom w:val="single" w:sz="6" w:space="0" w:color="auto"/>
              <w:right w:val="single" w:sz="6" w:space="0" w:color="auto"/>
            </w:tcBorders>
            <w:vAlign w:val="center"/>
          </w:tcPr>
          <w:p w14:paraId="6652524F" w14:textId="77777777" w:rsidR="000157A2" w:rsidRPr="005217E7" w:rsidRDefault="000157A2" w:rsidP="005130EA">
            <w:pPr>
              <w:pStyle w:val="Text2"/>
              <w:jc w:val="left"/>
              <w:rPr>
                <w:szCs w:val="24"/>
              </w:rPr>
            </w:pPr>
            <w:r w:rsidRPr="005217E7">
              <w:rPr>
                <w:b/>
                <w:bCs/>
                <w:szCs w:val="24"/>
              </w:rPr>
              <w:t>Country</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center"/>
          </w:tcPr>
          <w:p w14:paraId="7F2C97E8" w14:textId="77777777" w:rsidR="000157A2" w:rsidRPr="005217E7" w:rsidRDefault="000157A2" w:rsidP="005130EA">
            <w:pPr>
              <w:pStyle w:val="Text2"/>
              <w:jc w:val="left"/>
              <w:rPr>
                <w:szCs w:val="24"/>
              </w:rPr>
            </w:pPr>
            <w:r w:rsidRPr="005217E7">
              <w:rPr>
                <w:b/>
                <w:bCs/>
                <w:szCs w:val="24"/>
              </w:rPr>
              <w:t>Assigned amount in tonnes CO</w:t>
            </w:r>
            <w:r w:rsidRPr="005217E7">
              <w:rPr>
                <w:b/>
                <w:bCs/>
                <w:szCs w:val="24"/>
                <w:vertAlign w:val="subscript"/>
              </w:rPr>
              <w:t>2</w:t>
            </w:r>
            <w:r w:rsidRPr="005217E7">
              <w:rPr>
                <w:b/>
                <w:bCs/>
                <w:szCs w:val="24"/>
              </w:rPr>
              <w:t xml:space="preserve"> eq. considering Article 3 (7bis)</w:t>
            </w:r>
          </w:p>
        </w:tc>
      </w:tr>
      <w:tr w:rsidR="000157A2" w:rsidRPr="005217E7" w14:paraId="620B5BA9"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0100CA85" w14:textId="77777777" w:rsidR="000157A2" w:rsidRPr="005217E7" w:rsidRDefault="000157A2" w:rsidP="005130EA">
            <w:pPr>
              <w:pStyle w:val="Text2"/>
              <w:rPr>
                <w:szCs w:val="24"/>
              </w:rPr>
            </w:pPr>
            <w:r w:rsidRPr="005217E7">
              <w:rPr>
                <w:szCs w:val="24"/>
              </w:rPr>
              <w:t>Austria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1665FF99" w14:textId="77777777" w:rsidR="000157A2" w:rsidRPr="005217E7" w:rsidRDefault="000157A2" w:rsidP="005130EA">
            <w:pPr>
              <w:pStyle w:val="Text2"/>
              <w:rPr>
                <w:szCs w:val="24"/>
              </w:rPr>
            </w:pPr>
            <w:r w:rsidRPr="005217E7">
              <w:rPr>
                <w:szCs w:val="24"/>
              </w:rPr>
              <w:t>405.712.317</w:t>
            </w:r>
          </w:p>
        </w:tc>
      </w:tr>
      <w:tr w:rsidR="000157A2" w:rsidRPr="005217E7" w14:paraId="080EE5EC"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68C847E2" w14:textId="77777777" w:rsidR="000157A2" w:rsidRPr="005217E7" w:rsidRDefault="000157A2" w:rsidP="005130EA">
            <w:pPr>
              <w:pStyle w:val="Text2"/>
              <w:rPr>
                <w:szCs w:val="24"/>
              </w:rPr>
            </w:pPr>
            <w:r w:rsidRPr="005217E7">
              <w:rPr>
                <w:szCs w:val="24"/>
              </w:rPr>
              <w:t>Belgium</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667A9765" w14:textId="77777777" w:rsidR="000157A2" w:rsidRPr="005217E7" w:rsidRDefault="000157A2" w:rsidP="005130EA">
            <w:pPr>
              <w:pStyle w:val="Text2"/>
              <w:rPr>
                <w:szCs w:val="24"/>
              </w:rPr>
            </w:pPr>
            <w:r w:rsidRPr="005217E7">
              <w:rPr>
                <w:szCs w:val="24"/>
              </w:rPr>
              <w:t>584.228.513</w:t>
            </w:r>
          </w:p>
        </w:tc>
      </w:tr>
      <w:tr w:rsidR="000157A2" w:rsidRPr="005217E7" w14:paraId="152DD831"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3E97353F" w14:textId="77777777" w:rsidR="000157A2" w:rsidRPr="005217E7" w:rsidRDefault="000157A2" w:rsidP="005130EA">
            <w:pPr>
              <w:pStyle w:val="Text2"/>
              <w:rPr>
                <w:szCs w:val="24"/>
              </w:rPr>
            </w:pPr>
            <w:r w:rsidRPr="005217E7">
              <w:rPr>
                <w:szCs w:val="24"/>
              </w:rPr>
              <w:t>Bulgaria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49E299AA" w14:textId="77777777" w:rsidR="000157A2" w:rsidRPr="005217E7" w:rsidRDefault="000157A2" w:rsidP="005130EA">
            <w:pPr>
              <w:pStyle w:val="Text2"/>
              <w:rPr>
                <w:szCs w:val="24"/>
              </w:rPr>
            </w:pPr>
            <w:r w:rsidRPr="005217E7">
              <w:rPr>
                <w:szCs w:val="24"/>
              </w:rPr>
              <w:t>222.945.983</w:t>
            </w:r>
          </w:p>
        </w:tc>
      </w:tr>
      <w:tr w:rsidR="000157A2" w:rsidRPr="005217E7" w14:paraId="2D9CB22F"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1ACB8394" w14:textId="77777777" w:rsidR="000157A2" w:rsidRPr="005217E7" w:rsidRDefault="000157A2" w:rsidP="005130EA">
            <w:pPr>
              <w:pStyle w:val="Text2"/>
              <w:rPr>
                <w:szCs w:val="24"/>
              </w:rPr>
            </w:pPr>
            <w:r w:rsidRPr="005217E7">
              <w:rPr>
                <w:szCs w:val="24"/>
              </w:rPr>
              <w:t>Croatia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0C838BF3" w14:textId="77777777" w:rsidR="000157A2" w:rsidRPr="005217E7" w:rsidRDefault="000157A2" w:rsidP="005130EA">
            <w:pPr>
              <w:pStyle w:val="Text2"/>
              <w:rPr>
                <w:szCs w:val="24"/>
              </w:rPr>
            </w:pPr>
            <w:r w:rsidRPr="005217E7">
              <w:rPr>
                <w:szCs w:val="24"/>
              </w:rPr>
              <w:t>162.271.086</w:t>
            </w:r>
          </w:p>
        </w:tc>
      </w:tr>
      <w:tr w:rsidR="000157A2" w:rsidRPr="005217E7" w14:paraId="0307AD71"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6F6C84CC" w14:textId="77777777" w:rsidR="000157A2" w:rsidRPr="005217E7" w:rsidRDefault="000157A2" w:rsidP="005130EA">
            <w:pPr>
              <w:pStyle w:val="Text2"/>
              <w:rPr>
                <w:szCs w:val="24"/>
              </w:rPr>
            </w:pPr>
            <w:r w:rsidRPr="005217E7">
              <w:rPr>
                <w:szCs w:val="24"/>
              </w:rPr>
              <w:t>Cyprus</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312F6A24" w14:textId="77777777" w:rsidR="000157A2" w:rsidRPr="005217E7" w:rsidRDefault="000157A2" w:rsidP="005130EA">
            <w:pPr>
              <w:pStyle w:val="Text2"/>
              <w:rPr>
                <w:szCs w:val="24"/>
              </w:rPr>
            </w:pPr>
            <w:r w:rsidRPr="005217E7">
              <w:rPr>
                <w:szCs w:val="24"/>
              </w:rPr>
              <w:t>47.450.128</w:t>
            </w:r>
          </w:p>
        </w:tc>
      </w:tr>
      <w:tr w:rsidR="000157A2" w:rsidRPr="005217E7" w14:paraId="203B3A7A"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58956AAB" w14:textId="77777777" w:rsidR="000157A2" w:rsidRPr="005217E7" w:rsidRDefault="000157A2" w:rsidP="005130EA">
            <w:pPr>
              <w:pStyle w:val="Text2"/>
              <w:rPr>
                <w:szCs w:val="24"/>
              </w:rPr>
            </w:pPr>
            <w:r w:rsidRPr="005217E7">
              <w:rPr>
                <w:szCs w:val="24"/>
              </w:rPr>
              <w:t>Czech Republic</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7729F8D0" w14:textId="77777777" w:rsidR="000157A2" w:rsidRPr="005217E7" w:rsidRDefault="000157A2" w:rsidP="005130EA">
            <w:pPr>
              <w:pStyle w:val="Text2"/>
              <w:rPr>
                <w:szCs w:val="24"/>
              </w:rPr>
            </w:pPr>
            <w:r w:rsidRPr="005217E7">
              <w:rPr>
                <w:szCs w:val="24"/>
              </w:rPr>
              <w:t>520.515.203</w:t>
            </w:r>
          </w:p>
        </w:tc>
      </w:tr>
      <w:tr w:rsidR="000157A2" w:rsidRPr="005217E7" w14:paraId="24223F2E"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1B3F17FD" w14:textId="77777777" w:rsidR="000157A2" w:rsidRPr="005217E7" w:rsidRDefault="000157A2" w:rsidP="005130EA">
            <w:pPr>
              <w:pStyle w:val="Text2"/>
              <w:rPr>
                <w:szCs w:val="24"/>
              </w:rPr>
            </w:pPr>
            <w:r w:rsidRPr="005217E7">
              <w:rPr>
                <w:szCs w:val="24"/>
              </w:rPr>
              <w:t>Denmark</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5E880B31" w14:textId="77777777" w:rsidR="000157A2" w:rsidRPr="005217E7" w:rsidRDefault="000157A2" w:rsidP="005130EA">
            <w:pPr>
              <w:pStyle w:val="Text2"/>
              <w:rPr>
                <w:szCs w:val="24"/>
              </w:rPr>
            </w:pPr>
            <w:r w:rsidRPr="005217E7">
              <w:rPr>
                <w:szCs w:val="24"/>
              </w:rPr>
              <w:t>269.377.890</w:t>
            </w:r>
          </w:p>
        </w:tc>
      </w:tr>
      <w:tr w:rsidR="000157A2" w:rsidRPr="005217E7" w14:paraId="07D91625"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50DE7C29" w14:textId="77777777" w:rsidR="000157A2" w:rsidRPr="005217E7" w:rsidRDefault="000157A2" w:rsidP="005130EA">
            <w:pPr>
              <w:pStyle w:val="Text2"/>
              <w:rPr>
                <w:szCs w:val="24"/>
              </w:rPr>
            </w:pPr>
            <w:r w:rsidRPr="005217E7">
              <w:rPr>
                <w:szCs w:val="24"/>
              </w:rPr>
              <w:t>Estonia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024E106F" w14:textId="77777777" w:rsidR="000157A2" w:rsidRPr="005217E7" w:rsidRDefault="000157A2" w:rsidP="005130EA">
            <w:pPr>
              <w:pStyle w:val="Text2"/>
              <w:rPr>
                <w:szCs w:val="24"/>
              </w:rPr>
            </w:pPr>
            <w:r w:rsidRPr="005217E7">
              <w:rPr>
                <w:szCs w:val="24"/>
              </w:rPr>
              <w:t>51.056.976</w:t>
            </w:r>
          </w:p>
        </w:tc>
      </w:tr>
      <w:tr w:rsidR="000157A2" w:rsidRPr="005217E7" w14:paraId="390EC28D"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2E33362D" w14:textId="77777777" w:rsidR="000157A2" w:rsidRPr="005217E7" w:rsidRDefault="000157A2" w:rsidP="005130EA">
            <w:pPr>
              <w:pStyle w:val="Text2"/>
              <w:rPr>
                <w:szCs w:val="24"/>
              </w:rPr>
            </w:pPr>
            <w:r w:rsidRPr="005217E7">
              <w:rPr>
                <w:szCs w:val="24"/>
              </w:rPr>
              <w:t>Finland</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7DB237AC" w14:textId="77777777" w:rsidR="000157A2" w:rsidRPr="005217E7" w:rsidRDefault="000157A2" w:rsidP="005130EA">
            <w:pPr>
              <w:pStyle w:val="Text2"/>
              <w:rPr>
                <w:szCs w:val="24"/>
              </w:rPr>
            </w:pPr>
            <w:r w:rsidRPr="005217E7">
              <w:rPr>
                <w:szCs w:val="24"/>
              </w:rPr>
              <w:t>240.544.599</w:t>
            </w:r>
          </w:p>
        </w:tc>
      </w:tr>
      <w:tr w:rsidR="000157A2" w:rsidRPr="005217E7" w14:paraId="6A2FBD34"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064A5D3D" w14:textId="77777777" w:rsidR="000157A2" w:rsidRPr="005217E7" w:rsidRDefault="000157A2" w:rsidP="005130EA">
            <w:pPr>
              <w:pStyle w:val="Text2"/>
              <w:rPr>
                <w:szCs w:val="24"/>
              </w:rPr>
            </w:pPr>
            <w:r w:rsidRPr="005217E7">
              <w:rPr>
                <w:szCs w:val="24"/>
              </w:rPr>
              <w:t>France</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6DE7A19C" w14:textId="77777777" w:rsidR="000157A2" w:rsidRPr="005217E7" w:rsidRDefault="000157A2" w:rsidP="005130EA">
            <w:pPr>
              <w:pStyle w:val="Text2"/>
              <w:rPr>
                <w:szCs w:val="24"/>
              </w:rPr>
            </w:pPr>
            <w:r w:rsidRPr="005217E7">
              <w:rPr>
                <w:szCs w:val="24"/>
              </w:rPr>
              <w:t>3.014.714.832</w:t>
            </w:r>
          </w:p>
        </w:tc>
      </w:tr>
      <w:tr w:rsidR="000157A2" w:rsidRPr="005217E7" w14:paraId="7E616275"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447A6482" w14:textId="77777777" w:rsidR="000157A2" w:rsidRPr="005217E7" w:rsidRDefault="000157A2" w:rsidP="005130EA">
            <w:pPr>
              <w:pStyle w:val="Text2"/>
              <w:rPr>
                <w:szCs w:val="24"/>
              </w:rPr>
            </w:pPr>
            <w:r w:rsidRPr="005217E7">
              <w:rPr>
                <w:szCs w:val="24"/>
              </w:rPr>
              <w:t>Germany</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266EA94B" w14:textId="77777777" w:rsidR="000157A2" w:rsidRPr="005217E7" w:rsidRDefault="000157A2" w:rsidP="005130EA">
            <w:pPr>
              <w:pStyle w:val="Text2"/>
              <w:rPr>
                <w:szCs w:val="24"/>
              </w:rPr>
            </w:pPr>
            <w:r w:rsidRPr="005217E7">
              <w:rPr>
                <w:szCs w:val="24"/>
              </w:rPr>
              <w:t>3.592.699.888</w:t>
            </w:r>
          </w:p>
        </w:tc>
      </w:tr>
      <w:tr w:rsidR="000157A2" w:rsidRPr="005217E7" w14:paraId="5D34B2C2"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790B15E4" w14:textId="77777777" w:rsidR="000157A2" w:rsidRPr="005217E7" w:rsidRDefault="000157A2" w:rsidP="005130EA">
            <w:pPr>
              <w:pStyle w:val="Text2"/>
              <w:rPr>
                <w:szCs w:val="24"/>
              </w:rPr>
            </w:pPr>
            <w:r w:rsidRPr="005217E7">
              <w:rPr>
                <w:szCs w:val="24"/>
              </w:rPr>
              <w:t>Greece</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3953C18B" w14:textId="77777777" w:rsidR="000157A2" w:rsidRPr="005217E7" w:rsidRDefault="000157A2" w:rsidP="005130EA">
            <w:pPr>
              <w:pStyle w:val="Text2"/>
              <w:rPr>
                <w:szCs w:val="24"/>
              </w:rPr>
            </w:pPr>
            <w:r w:rsidRPr="005217E7">
              <w:rPr>
                <w:szCs w:val="24"/>
              </w:rPr>
              <w:t>480.791.166</w:t>
            </w:r>
          </w:p>
        </w:tc>
      </w:tr>
      <w:tr w:rsidR="000157A2" w:rsidRPr="005217E7" w14:paraId="4D2BA1C6"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49BA9E55" w14:textId="77777777" w:rsidR="000157A2" w:rsidRPr="005217E7" w:rsidRDefault="000157A2" w:rsidP="005130EA">
            <w:pPr>
              <w:pStyle w:val="Text2"/>
              <w:rPr>
                <w:szCs w:val="24"/>
              </w:rPr>
            </w:pPr>
            <w:r w:rsidRPr="005217E7">
              <w:rPr>
                <w:szCs w:val="24"/>
              </w:rPr>
              <w:t>Hungary</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17590543" w14:textId="77777777" w:rsidR="000157A2" w:rsidRPr="005217E7" w:rsidRDefault="000157A2" w:rsidP="005130EA">
            <w:pPr>
              <w:pStyle w:val="Text2"/>
              <w:rPr>
                <w:szCs w:val="24"/>
              </w:rPr>
            </w:pPr>
            <w:r w:rsidRPr="005217E7">
              <w:rPr>
                <w:szCs w:val="24"/>
              </w:rPr>
              <w:t>434.486.280</w:t>
            </w:r>
          </w:p>
        </w:tc>
      </w:tr>
      <w:tr w:rsidR="000157A2" w:rsidRPr="005217E7" w14:paraId="244890FC"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1DE9F8E1" w14:textId="77777777" w:rsidR="000157A2" w:rsidRPr="005217E7" w:rsidRDefault="000157A2" w:rsidP="005130EA">
            <w:pPr>
              <w:pStyle w:val="Text2"/>
              <w:rPr>
                <w:szCs w:val="24"/>
              </w:rPr>
            </w:pPr>
            <w:r w:rsidRPr="005217E7">
              <w:rPr>
                <w:szCs w:val="24"/>
              </w:rPr>
              <w:t>Ireland</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33FDA24F" w14:textId="77777777" w:rsidR="000157A2" w:rsidRPr="005217E7" w:rsidRDefault="000157A2" w:rsidP="005130EA">
            <w:pPr>
              <w:pStyle w:val="Text2"/>
              <w:rPr>
                <w:szCs w:val="24"/>
              </w:rPr>
            </w:pPr>
            <w:r w:rsidRPr="005217E7">
              <w:rPr>
                <w:szCs w:val="24"/>
              </w:rPr>
              <w:t>343.519.892</w:t>
            </w:r>
          </w:p>
        </w:tc>
      </w:tr>
      <w:tr w:rsidR="000157A2" w:rsidRPr="005217E7" w14:paraId="7B34B1BB"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0EEED6B0" w14:textId="77777777" w:rsidR="000157A2" w:rsidRPr="005217E7" w:rsidRDefault="000157A2" w:rsidP="005130EA">
            <w:pPr>
              <w:pStyle w:val="Text2"/>
              <w:rPr>
                <w:szCs w:val="24"/>
              </w:rPr>
            </w:pPr>
            <w:r w:rsidRPr="005217E7">
              <w:rPr>
                <w:szCs w:val="24"/>
              </w:rPr>
              <w:t>Italy</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7BAEC7D2" w14:textId="77777777" w:rsidR="000157A2" w:rsidRPr="005217E7" w:rsidRDefault="000157A2" w:rsidP="005130EA">
            <w:pPr>
              <w:pStyle w:val="Text2"/>
              <w:rPr>
                <w:szCs w:val="24"/>
              </w:rPr>
            </w:pPr>
            <w:r w:rsidRPr="005217E7">
              <w:rPr>
                <w:szCs w:val="24"/>
              </w:rPr>
              <w:t>2.410.291.421</w:t>
            </w:r>
          </w:p>
        </w:tc>
      </w:tr>
      <w:tr w:rsidR="000157A2" w:rsidRPr="005217E7" w14:paraId="4EB2F0A8"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2F93493F" w14:textId="77777777" w:rsidR="000157A2" w:rsidRPr="005217E7" w:rsidRDefault="000157A2" w:rsidP="005130EA">
            <w:pPr>
              <w:pStyle w:val="Text2"/>
              <w:rPr>
                <w:szCs w:val="24"/>
              </w:rPr>
            </w:pPr>
            <w:r w:rsidRPr="005217E7">
              <w:rPr>
                <w:szCs w:val="24"/>
              </w:rPr>
              <w:t>Latvia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406DC888" w14:textId="77777777" w:rsidR="000157A2" w:rsidRPr="005217E7" w:rsidRDefault="000157A2" w:rsidP="005130EA">
            <w:pPr>
              <w:pStyle w:val="Text2"/>
              <w:rPr>
                <w:szCs w:val="24"/>
              </w:rPr>
            </w:pPr>
            <w:r w:rsidRPr="005217E7">
              <w:rPr>
                <w:szCs w:val="24"/>
              </w:rPr>
              <w:t>76.633.439</w:t>
            </w:r>
          </w:p>
        </w:tc>
      </w:tr>
      <w:tr w:rsidR="000157A2" w:rsidRPr="005217E7" w14:paraId="307DF821"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41C74269" w14:textId="77777777" w:rsidR="000157A2" w:rsidRPr="005217E7" w:rsidRDefault="000157A2" w:rsidP="005130EA">
            <w:pPr>
              <w:pStyle w:val="Text2"/>
              <w:rPr>
                <w:szCs w:val="24"/>
              </w:rPr>
            </w:pPr>
            <w:r w:rsidRPr="005217E7">
              <w:rPr>
                <w:szCs w:val="24"/>
              </w:rPr>
              <w:t>Lithuania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144B86C5" w14:textId="77777777" w:rsidR="000157A2" w:rsidRPr="005217E7" w:rsidRDefault="000157A2" w:rsidP="005130EA">
            <w:pPr>
              <w:pStyle w:val="Text2"/>
              <w:rPr>
                <w:szCs w:val="24"/>
              </w:rPr>
            </w:pPr>
            <w:r w:rsidRPr="005217E7">
              <w:rPr>
                <w:szCs w:val="24"/>
              </w:rPr>
              <w:t>113.600.821</w:t>
            </w:r>
          </w:p>
        </w:tc>
      </w:tr>
      <w:tr w:rsidR="000157A2" w:rsidRPr="005217E7" w14:paraId="072BC520"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6BA4C52E" w14:textId="77777777" w:rsidR="000157A2" w:rsidRPr="005217E7" w:rsidRDefault="000157A2" w:rsidP="005130EA">
            <w:pPr>
              <w:pStyle w:val="Text2"/>
              <w:rPr>
                <w:szCs w:val="24"/>
              </w:rPr>
            </w:pPr>
            <w:r w:rsidRPr="005217E7">
              <w:rPr>
                <w:szCs w:val="24"/>
              </w:rPr>
              <w:t>Luxembourg</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2B2D6295" w14:textId="77777777" w:rsidR="000157A2" w:rsidRPr="005217E7" w:rsidRDefault="000157A2" w:rsidP="005130EA">
            <w:pPr>
              <w:pStyle w:val="Text2"/>
              <w:rPr>
                <w:szCs w:val="24"/>
              </w:rPr>
            </w:pPr>
            <w:r w:rsidRPr="005217E7">
              <w:rPr>
                <w:szCs w:val="24"/>
              </w:rPr>
              <w:t>72.454.473</w:t>
            </w:r>
          </w:p>
        </w:tc>
      </w:tr>
      <w:tr w:rsidR="000157A2" w:rsidRPr="005217E7" w14:paraId="2255FBBE"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35360BAE" w14:textId="77777777" w:rsidR="000157A2" w:rsidRPr="005217E7" w:rsidRDefault="000157A2" w:rsidP="005130EA">
            <w:pPr>
              <w:pStyle w:val="Text2"/>
              <w:rPr>
                <w:szCs w:val="24"/>
              </w:rPr>
            </w:pPr>
            <w:r w:rsidRPr="005217E7">
              <w:rPr>
                <w:szCs w:val="24"/>
              </w:rPr>
              <w:t>Malta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756AEEBF" w14:textId="77777777" w:rsidR="000157A2" w:rsidRPr="005217E7" w:rsidRDefault="000157A2" w:rsidP="005130EA">
            <w:pPr>
              <w:pStyle w:val="Text2"/>
              <w:rPr>
                <w:szCs w:val="24"/>
              </w:rPr>
            </w:pPr>
            <w:r w:rsidRPr="005217E7">
              <w:rPr>
                <w:szCs w:val="24"/>
              </w:rPr>
              <w:t>9.299.769</w:t>
            </w:r>
          </w:p>
        </w:tc>
      </w:tr>
      <w:tr w:rsidR="000157A2" w:rsidRPr="005217E7" w14:paraId="0CE35D61"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57A7604B" w14:textId="77777777" w:rsidR="000157A2" w:rsidRPr="005217E7" w:rsidRDefault="000157A2" w:rsidP="005130EA">
            <w:pPr>
              <w:pStyle w:val="Text2"/>
              <w:rPr>
                <w:szCs w:val="24"/>
              </w:rPr>
            </w:pPr>
            <w:r w:rsidRPr="005217E7">
              <w:rPr>
                <w:szCs w:val="24"/>
              </w:rPr>
              <w:t>Netherlands</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4B2606E5" w14:textId="77777777" w:rsidR="000157A2" w:rsidRPr="005217E7" w:rsidRDefault="000157A2" w:rsidP="005130EA">
            <w:pPr>
              <w:pStyle w:val="Text2"/>
              <w:rPr>
                <w:szCs w:val="24"/>
              </w:rPr>
            </w:pPr>
            <w:r w:rsidRPr="005217E7">
              <w:rPr>
                <w:szCs w:val="24"/>
              </w:rPr>
              <w:t>924.777.902</w:t>
            </w:r>
          </w:p>
        </w:tc>
      </w:tr>
      <w:tr w:rsidR="000157A2" w:rsidRPr="005217E7" w14:paraId="350E6485"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09821215" w14:textId="77777777" w:rsidR="000157A2" w:rsidRPr="005217E7" w:rsidRDefault="000157A2" w:rsidP="005130EA">
            <w:pPr>
              <w:pStyle w:val="Text2"/>
              <w:rPr>
                <w:szCs w:val="24"/>
              </w:rPr>
            </w:pPr>
            <w:r w:rsidRPr="005217E7">
              <w:rPr>
                <w:szCs w:val="24"/>
              </w:rPr>
              <w:t>Poland</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5DFC59D0" w14:textId="77777777" w:rsidR="000157A2" w:rsidRPr="005217E7" w:rsidRDefault="000157A2" w:rsidP="005130EA">
            <w:pPr>
              <w:pStyle w:val="Text2"/>
              <w:rPr>
                <w:szCs w:val="24"/>
              </w:rPr>
            </w:pPr>
            <w:r w:rsidRPr="005217E7">
              <w:rPr>
                <w:szCs w:val="24"/>
              </w:rPr>
              <w:t>1.583.938.824</w:t>
            </w:r>
          </w:p>
        </w:tc>
      </w:tr>
      <w:tr w:rsidR="000157A2" w:rsidRPr="005217E7" w14:paraId="2A38C2FD"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043301A3" w14:textId="77777777" w:rsidR="000157A2" w:rsidRPr="005217E7" w:rsidRDefault="000157A2" w:rsidP="005130EA">
            <w:pPr>
              <w:pStyle w:val="Text2"/>
              <w:rPr>
                <w:szCs w:val="24"/>
              </w:rPr>
            </w:pPr>
            <w:r w:rsidRPr="005217E7">
              <w:rPr>
                <w:szCs w:val="24"/>
              </w:rPr>
              <w:t>Portugal</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33D269FC" w14:textId="77777777" w:rsidR="000157A2" w:rsidRPr="005217E7" w:rsidRDefault="000157A2" w:rsidP="005130EA">
            <w:pPr>
              <w:pStyle w:val="Text2"/>
              <w:rPr>
                <w:szCs w:val="24"/>
              </w:rPr>
            </w:pPr>
            <w:r w:rsidRPr="005217E7">
              <w:rPr>
                <w:szCs w:val="24"/>
              </w:rPr>
              <w:t>429.581.969</w:t>
            </w:r>
          </w:p>
        </w:tc>
      </w:tr>
      <w:tr w:rsidR="000157A2" w:rsidRPr="005217E7" w14:paraId="7721E127"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5E9D209A" w14:textId="77777777" w:rsidR="000157A2" w:rsidRPr="005217E7" w:rsidRDefault="000157A2" w:rsidP="005130EA">
            <w:pPr>
              <w:pStyle w:val="Text2"/>
              <w:rPr>
                <w:szCs w:val="24"/>
              </w:rPr>
            </w:pPr>
            <w:r w:rsidRPr="005217E7">
              <w:rPr>
                <w:szCs w:val="24"/>
              </w:rPr>
              <w:lastRenderedPageBreak/>
              <w:t>Romania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4CF892BB" w14:textId="77777777" w:rsidR="000157A2" w:rsidRPr="005217E7" w:rsidRDefault="000157A2" w:rsidP="005130EA">
            <w:pPr>
              <w:pStyle w:val="Text2"/>
              <w:rPr>
                <w:szCs w:val="24"/>
              </w:rPr>
            </w:pPr>
            <w:r w:rsidRPr="005217E7">
              <w:rPr>
                <w:szCs w:val="24"/>
              </w:rPr>
              <w:t>656.059.490</w:t>
            </w:r>
          </w:p>
        </w:tc>
      </w:tr>
      <w:tr w:rsidR="000157A2" w:rsidRPr="005217E7" w14:paraId="23665506"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69C79179" w14:textId="77777777" w:rsidR="000157A2" w:rsidRPr="005217E7" w:rsidRDefault="000157A2" w:rsidP="005130EA">
            <w:pPr>
              <w:pStyle w:val="Text2"/>
              <w:rPr>
                <w:szCs w:val="24"/>
              </w:rPr>
            </w:pPr>
            <w:r w:rsidRPr="005217E7">
              <w:rPr>
                <w:szCs w:val="24"/>
              </w:rPr>
              <w:t>Slovakia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2824B5FC" w14:textId="77777777" w:rsidR="000157A2" w:rsidRPr="005217E7" w:rsidRDefault="000157A2" w:rsidP="005130EA">
            <w:pPr>
              <w:pStyle w:val="Text2"/>
              <w:rPr>
                <w:szCs w:val="24"/>
              </w:rPr>
            </w:pPr>
            <w:r w:rsidRPr="005217E7">
              <w:rPr>
                <w:szCs w:val="24"/>
              </w:rPr>
              <w:t>202.268.939</w:t>
            </w:r>
          </w:p>
        </w:tc>
      </w:tr>
      <w:tr w:rsidR="000157A2" w:rsidRPr="005217E7" w14:paraId="54404230"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27D87DCE" w14:textId="77777777" w:rsidR="000157A2" w:rsidRPr="005217E7" w:rsidRDefault="000157A2" w:rsidP="005130EA">
            <w:pPr>
              <w:pStyle w:val="Text2"/>
              <w:rPr>
                <w:szCs w:val="24"/>
              </w:rPr>
            </w:pPr>
            <w:r w:rsidRPr="005217E7">
              <w:rPr>
                <w:szCs w:val="24"/>
              </w:rPr>
              <w:t>Slovenia</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375F0B46" w14:textId="77777777" w:rsidR="000157A2" w:rsidRPr="005217E7" w:rsidRDefault="000157A2" w:rsidP="005130EA">
            <w:pPr>
              <w:pStyle w:val="Text2"/>
              <w:rPr>
                <w:szCs w:val="24"/>
              </w:rPr>
            </w:pPr>
            <w:r w:rsidRPr="005217E7">
              <w:rPr>
                <w:szCs w:val="24"/>
              </w:rPr>
              <w:t>99.425.782</w:t>
            </w:r>
          </w:p>
        </w:tc>
      </w:tr>
      <w:tr w:rsidR="000157A2" w:rsidRPr="005217E7" w14:paraId="21CFDC9C"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40380966" w14:textId="77777777" w:rsidR="000157A2" w:rsidRPr="005217E7" w:rsidRDefault="000157A2" w:rsidP="005130EA">
            <w:pPr>
              <w:pStyle w:val="Text2"/>
              <w:rPr>
                <w:szCs w:val="24"/>
              </w:rPr>
            </w:pPr>
            <w:r w:rsidRPr="005217E7">
              <w:rPr>
                <w:szCs w:val="24"/>
              </w:rPr>
              <w:t>Spain</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40CD5F5A" w14:textId="77777777" w:rsidR="000157A2" w:rsidRPr="005217E7" w:rsidRDefault="000157A2" w:rsidP="005130EA">
            <w:pPr>
              <w:pStyle w:val="Text2"/>
              <w:rPr>
                <w:szCs w:val="24"/>
              </w:rPr>
            </w:pPr>
            <w:r w:rsidRPr="005217E7">
              <w:rPr>
                <w:szCs w:val="24"/>
              </w:rPr>
              <w:t>1.766.877.232</w:t>
            </w:r>
          </w:p>
        </w:tc>
      </w:tr>
      <w:tr w:rsidR="000157A2" w:rsidRPr="005217E7" w14:paraId="20535B97"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3E4F0924" w14:textId="77777777" w:rsidR="000157A2" w:rsidRPr="005217E7" w:rsidRDefault="000157A2" w:rsidP="005130EA">
            <w:pPr>
              <w:pStyle w:val="Text2"/>
              <w:rPr>
                <w:szCs w:val="24"/>
              </w:rPr>
            </w:pPr>
            <w:r w:rsidRPr="005217E7">
              <w:rPr>
                <w:szCs w:val="24"/>
              </w:rPr>
              <w:t>Sweden</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791E73F4" w14:textId="77777777" w:rsidR="000157A2" w:rsidRPr="005217E7" w:rsidRDefault="000157A2" w:rsidP="005130EA">
            <w:pPr>
              <w:pStyle w:val="Text2"/>
              <w:rPr>
                <w:szCs w:val="24"/>
              </w:rPr>
            </w:pPr>
            <w:r w:rsidRPr="005217E7">
              <w:rPr>
                <w:szCs w:val="24"/>
              </w:rPr>
              <w:t>315.554.578</w:t>
            </w:r>
          </w:p>
        </w:tc>
      </w:tr>
      <w:tr w:rsidR="000157A2" w:rsidRPr="005217E7" w14:paraId="2EA4C6D9"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38ED84C0" w14:textId="77777777" w:rsidR="000157A2" w:rsidRPr="005217E7" w:rsidRDefault="000157A2" w:rsidP="005130EA">
            <w:pPr>
              <w:pStyle w:val="Text2"/>
              <w:rPr>
                <w:szCs w:val="24"/>
              </w:rPr>
            </w:pPr>
            <w:r w:rsidRPr="005217E7">
              <w:rPr>
                <w:szCs w:val="24"/>
              </w:rPr>
              <w:t>United Kingdom</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0B0A8BE0" w14:textId="77777777" w:rsidR="000157A2" w:rsidRPr="005217E7" w:rsidRDefault="000157A2" w:rsidP="005130EA">
            <w:pPr>
              <w:pStyle w:val="Text2"/>
              <w:rPr>
                <w:szCs w:val="24"/>
              </w:rPr>
            </w:pPr>
            <w:r w:rsidRPr="005217E7">
              <w:rPr>
                <w:szCs w:val="24"/>
              </w:rPr>
              <w:t>2.744.937.332</w:t>
            </w:r>
          </w:p>
        </w:tc>
      </w:tr>
      <w:tr w:rsidR="000157A2" w:rsidRPr="005217E7" w14:paraId="2101E6F9"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026D4EB3" w14:textId="77777777" w:rsidR="000157A2" w:rsidRPr="005217E7" w:rsidRDefault="000157A2" w:rsidP="005130EA">
            <w:pPr>
              <w:pStyle w:val="Text2"/>
              <w:rPr>
                <w:szCs w:val="24"/>
              </w:rPr>
            </w:pPr>
            <w:r w:rsidRPr="005217E7">
              <w:rPr>
                <w:szCs w:val="24"/>
              </w:rPr>
              <w:t>Iceland</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bottom"/>
          </w:tcPr>
          <w:p w14:paraId="3670D0AA" w14:textId="77777777" w:rsidR="000157A2" w:rsidRPr="005217E7" w:rsidRDefault="000157A2" w:rsidP="005130EA">
            <w:pPr>
              <w:pStyle w:val="Text2"/>
              <w:rPr>
                <w:szCs w:val="24"/>
              </w:rPr>
            </w:pPr>
            <w:r w:rsidRPr="005217E7">
              <w:rPr>
                <w:szCs w:val="24"/>
              </w:rPr>
              <w:t>15.327.217</w:t>
            </w:r>
          </w:p>
        </w:tc>
      </w:tr>
      <w:tr w:rsidR="000157A2" w:rsidRPr="005217E7" w14:paraId="0AFC4B26" w14:textId="77777777" w:rsidTr="005130EA">
        <w:trPr>
          <w:trHeight w:val="300"/>
        </w:trPr>
        <w:tc>
          <w:tcPr>
            <w:tcW w:w="3630" w:type="dxa"/>
            <w:tcBorders>
              <w:top w:val="single" w:sz="6" w:space="0" w:color="auto"/>
              <w:left w:val="single" w:sz="6" w:space="0" w:color="auto"/>
              <w:bottom w:val="single" w:sz="6" w:space="0" w:color="auto"/>
              <w:right w:val="single" w:sz="6" w:space="0" w:color="auto"/>
            </w:tcBorders>
            <w:vAlign w:val="center"/>
          </w:tcPr>
          <w:p w14:paraId="6106A76F" w14:textId="77777777" w:rsidR="000157A2" w:rsidRPr="005217E7" w:rsidRDefault="000157A2" w:rsidP="005130EA">
            <w:pPr>
              <w:pStyle w:val="Text2"/>
              <w:rPr>
                <w:szCs w:val="24"/>
              </w:rPr>
            </w:pPr>
            <w:r w:rsidRPr="005217E7">
              <w:rPr>
                <w:szCs w:val="24"/>
              </w:rPr>
              <w:t>Total</w:t>
            </w:r>
          </w:p>
        </w:tc>
        <w:tc>
          <w:tcPr>
            <w:tcW w:w="5207" w:type="dxa"/>
            <w:tcBorders>
              <w:top w:val="single" w:sz="6" w:space="0" w:color="auto"/>
              <w:left w:val="single" w:sz="6" w:space="0" w:color="auto"/>
              <w:bottom w:val="single" w:sz="6" w:space="0" w:color="auto"/>
              <w:right w:val="single" w:sz="6" w:space="0" w:color="auto"/>
            </w:tcBorders>
            <w:shd w:val="clear" w:color="auto" w:fill="auto"/>
            <w:vAlign w:val="center"/>
          </w:tcPr>
          <w:p w14:paraId="57524A61" w14:textId="77777777" w:rsidR="000157A2" w:rsidRPr="005217E7" w:rsidRDefault="000157A2" w:rsidP="005130EA">
            <w:pPr>
              <w:pStyle w:val="Text2"/>
              <w:rPr>
                <w:szCs w:val="24"/>
              </w:rPr>
            </w:pPr>
            <w:r w:rsidRPr="005217E7">
              <w:rPr>
                <w:szCs w:val="24"/>
              </w:rPr>
              <w:t>21 791 343 942</w:t>
            </w:r>
          </w:p>
        </w:tc>
      </w:tr>
    </w:tbl>
    <w:p w14:paraId="0BDBB777" w14:textId="77777777" w:rsidR="000157A2" w:rsidRPr="005217E7" w:rsidRDefault="000157A2" w:rsidP="000157A2">
      <w:pPr>
        <w:rPr>
          <w:rFonts w:eastAsia="Times New Roman"/>
          <w:i/>
          <w:iCs/>
        </w:rPr>
      </w:pPr>
    </w:p>
    <w:p w14:paraId="17EEE24E" w14:textId="77777777" w:rsidR="00935A83" w:rsidRPr="005217E7" w:rsidRDefault="00935A83"/>
    <w:sectPr w:rsidR="00935A83" w:rsidRPr="005217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8131" w14:textId="77777777" w:rsidR="000157A2" w:rsidRDefault="000157A2" w:rsidP="000157A2">
      <w:pPr>
        <w:spacing w:after="0" w:line="240" w:lineRule="auto"/>
      </w:pPr>
      <w:r>
        <w:separator/>
      </w:r>
    </w:p>
  </w:endnote>
  <w:endnote w:type="continuationSeparator" w:id="0">
    <w:p w14:paraId="67CB86C6" w14:textId="77777777" w:rsidR="000157A2" w:rsidRDefault="000157A2" w:rsidP="0001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56B7" w14:textId="77777777" w:rsidR="000157A2" w:rsidRDefault="000157A2" w:rsidP="000157A2">
      <w:pPr>
        <w:spacing w:after="0" w:line="240" w:lineRule="auto"/>
      </w:pPr>
      <w:r>
        <w:separator/>
      </w:r>
    </w:p>
  </w:footnote>
  <w:footnote w:type="continuationSeparator" w:id="0">
    <w:p w14:paraId="51F44275" w14:textId="77777777" w:rsidR="000157A2" w:rsidRDefault="000157A2" w:rsidP="000157A2">
      <w:pPr>
        <w:spacing w:after="0" w:line="240" w:lineRule="auto"/>
      </w:pPr>
      <w:r>
        <w:continuationSeparator/>
      </w:r>
    </w:p>
  </w:footnote>
  <w:footnote w:id="1">
    <w:p w14:paraId="071A0EB9" w14:textId="3895AD81" w:rsidR="000157A2" w:rsidRPr="00DF4B39" w:rsidRDefault="000157A2" w:rsidP="000157A2">
      <w:pPr>
        <w:pStyle w:val="FootnoteText"/>
        <w:rPr>
          <w:sz w:val="16"/>
          <w:szCs w:val="16"/>
          <w:lang w:val="en-IE"/>
        </w:rPr>
      </w:pPr>
      <w:r>
        <w:rPr>
          <w:rStyle w:val="FootnoteReference"/>
        </w:rPr>
        <w:footnoteRef/>
      </w:r>
      <w:r>
        <w:t xml:space="preserve"> </w:t>
      </w:r>
      <w:r w:rsidRPr="00DF4B39">
        <w:rPr>
          <w:sz w:val="16"/>
          <w:szCs w:val="16"/>
          <w:lang w:val="en-IE"/>
        </w:rPr>
        <w:t xml:space="preserve">In this Annex, </w:t>
      </w:r>
      <w:r w:rsidR="00613C1B">
        <w:rPr>
          <w:sz w:val="16"/>
          <w:szCs w:val="16"/>
          <w:lang w:val="en-IE"/>
        </w:rPr>
        <w:t>‘</w:t>
      </w:r>
      <w:r w:rsidRPr="00DF4B39">
        <w:rPr>
          <w:sz w:val="16"/>
          <w:szCs w:val="16"/>
          <w:lang w:val="en-IE"/>
        </w:rPr>
        <w:t>Member States</w:t>
      </w:r>
      <w:r w:rsidR="00613C1B">
        <w:rPr>
          <w:sz w:val="16"/>
          <w:szCs w:val="16"/>
          <w:lang w:val="en-IE"/>
        </w:rPr>
        <w:t>’</w:t>
      </w:r>
      <w:r w:rsidRPr="00DF4B39">
        <w:rPr>
          <w:sz w:val="16"/>
          <w:szCs w:val="16"/>
          <w:lang w:val="en-IE"/>
        </w:rPr>
        <w:t xml:space="preserve"> should be understood as the current 27 EU Member States and the United Kingdom</w:t>
      </w:r>
      <w:r>
        <w:rPr>
          <w:sz w:val="16"/>
          <w:szCs w:val="16"/>
          <w:lang w:val="en-IE"/>
        </w:rPr>
        <w:t>.</w:t>
      </w:r>
    </w:p>
  </w:footnote>
  <w:footnote w:id="2">
    <w:p w14:paraId="0DB3956B" w14:textId="77777777" w:rsidR="000157A2" w:rsidRPr="00FE2E86" w:rsidRDefault="000157A2" w:rsidP="000157A2">
      <w:pPr>
        <w:pStyle w:val="FootnoteText"/>
        <w:rPr>
          <w:lang w:val="en-IE"/>
        </w:rPr>
      </w:pPr>
      <w:r>
        <w:rPr>
          <w:rStyle w:val="FootnoteReference"/>
        </w:rPr>
        <w:footnoteRef/>
      </w:r>
      <w:r>
        <w:t xml:space="preserve"> </w:t>
      </w:r>
      <w:hyperlink r:id="rId1" w:history="1">
        <w:r w:rsidRPr="00F87210">
          <w:rPr>
            <w:rStyle w:val="Hyperlink"/>
          </w:rPr>
          <w:t>https://unfccc.int/process/transparency-and-reporting/reporting-and-review-under-the-kyoto-protocol/second-commitment-period/initial-reports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A2"/>
    <w:rsid w:val="000157A2"/>
    <w:rsid w:val="00054356"/>
    <w:rsid w:val="001227A0"/>
    <w:rsid w:val="00296CB8"/>
    <w:rsid w:val="00384478"/>
    <w:rsid w:val="003A63A2"/>
    <w:rsid w:val="003D0BF4"/>
    <w:rsid w:val="003E3830"/>
    <w:rsid w:val="00513970"/>
    <w:rsid w:val="0051540A"/>
    <w:rsid w:val="005217E7"/>
    <w:rsid w:val="00613C1B"/>
    <w:rsid w:val="006E5342"/>
    <w:rsid w:val="00725A13"/>
    <w:rsid w:val="007E3803"/>
    <w:rsid w:val="00920079"/>
    <w:rsid w:val="00935A83"/>
    <w:rsid w:val="00A11765"/>
    <w:rsid w:val="00BE0408"/>
    <w:rsid w:val="00CA7415"/>
    <w:rsid w:val="00D80B8B"/>
    <w:rsid w:val="00EA6E84"/>
    <w:rsid w:val="00FF2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DFE"/>
  <w15:chartTrackingRefBased/>
  <w15:docId w15:val="{D4DC92C7-E64A-426F-A001-F57C2825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A2"/>
    <w:pPr>
      <w:spacing w:after="200" w:line="276" w:lineRule="auto"/>
    </w:pPr>
  </w:style>
  <w:style w:type="paragraph" w:styleId="Heading1">
    <w:name w:val="heading 1"/>
    <w:basedOn w:val="Normal"/>
    <w:next w:val="Normal"/>
    <w:link w:val="Heading1Char"/>
    <w:uiPriority w:val="9"/>
    <w:qFormat/>
    <w:rsid w:val="00D80B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57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7A2"/>
    <w:rPr>
      <w:sz w:val="20"/>
      <w:szCs w:val="20"/>
    </w:rPr>
  </w:style>
  <w:style w:type="character" w:styleId="FootnoteReference">
    <w:name w:val="footnote reference"/>
    <w:basedOn w:val="DefaultParagraphFont"/>
    <w:uiPriority w:val="99"/>
    <w:semiHidden/>
    <w:unhideWhenUsed/>
    <w:rsid w:val="000157A2"/>
    <w:rPr>
      <w:vertAlign w:val="superscript"/>
    </w:rPr>
  </w:style>
  <w:style w:type="character" w:styleId="Hyperlink">
    <w:name w:val="Hyperlink"/>
    <w:basedOn w:val="DefaultParagraphFont"/>
    <w:uiPriority w:val="99"/>
    <w:unhideWhenUsed/>
    <w:rsid w:val="000157A2"/>
    <w:rPr>
      <w:color w:val="0000FF"/>
      <w:u w:val="single"/>
    </w:rPr>
  </w:style>
  <w:style w:type="paragraph" w:customStyle="1" w:styleId="Text2">
    <w:name w:val="Text 2"/>
    <w:basedOn w:val="Normal"/>
    <w:uiPriority w:val="1"/>
    <w:qFormat/>
    <w:rsid w:val="000157A2"/>
    <w:pPr>
      <w:spacing w:after="240" w:line="240" w:lineRule="auto"/>
      <w:ind w:left="1077"/>
      <w:jc w:val="both"/>
    </w:pPr>
    <w:rPr>
      <w:rFonts w:ascii="Times New Roman" w:eastAsia="Times New Roman" w:hAnsi="Times New Roman" w:cs="Times New Roman"/>
      <w:sz w:val="24"/>
      <w:szCs w:val="20"/>
      <w:lang w:eastAsia="en-IE"/>
    </w:rPr>
  </w:style>
  <w:style w:type="paragraph" w:styleId="Revision">
    <w:name w:val="Revision"/>
    <w:hidden/>
    <w:uiPriority w:val="99"/>
    <w:semiHidden/>
    <w:rsid w:val="00FF2574"/>
    <w:pPr>
      <w:spacing w:after="0" w:line="240" w:lineRule="auto"/>
    </w:pPr>
  </w:style>
  <w:style w:type="character" w:styleId="UnresolvedMention">
    <w:name w:val="Unresolved Mention"/>
    <w:basedOn w:val="DefaultParagraphFont"/>
    <w:uiPriority w:val="99"/>
    <w:semiHidden/>
    <w:unhideWhenUsed/>
    <w:rsid w:val="00920079"/>
    <w:rPr>
      <w:color w:val="605E5C"/>
      <w:shd w:val="clear" w:color="auto" w:fill="E1DFDD"/>
    </w:rPr>
  </w:style>
  <w:style w:type="character" w:styleId="FollowedHyperlink">
    <w:name w:val="FollowedHyperlink"/>
    <w:basedOn w:val="DefaultParagraphFont"/>
    <w:uiPriority w:val="99"/>
    <w:semiHidden/>
    <w:unhideWhenUsed/>
    <w:rsid w:val="00920079"/>
    <w:rPr>
      <w:color w:val="954F72" w:themeColor="followedHyperlink"/>
      <w:u w:val="single"/>
    </w:rPr>
  </w:style>
  <w:style w:type="character" w:customStyle="1" w:styleId="Heading1Char">
    <w:name w:val="Heading 1 Char"/>
    <w:basedOn w:val="DefaultParagraphFont"/>
    <w:link w:val="Heading1"/>
    <w:uiPriority w:val="9"/>
    <w:rsid w:val="00D80B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lex.europa.eu/legal-content/EN/TXT/PDF/?uri=CELEX:32003L00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EN/TXT/PDF/?uri=CELEX:32009D04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transparency-and-reporting/reporting-and-review-under-the-kyoto-protocol/second-commitment-period/initi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SALAY Jurgen (CLIMA)</dc:creator>
  <cp:keywords/>
  <dc:description/>
  <cp:lastModifiedBy>Pieter Baeten (SPF Santé Publique - FOD Volksgezondheid)</cp:lastModifiedBy>
  <cp:revision>4</cp:revision>
  <cp:lastPrinted>2023-07-11T09:39:00Z</cp:lastPrinted>
  <dcterms:created xsi:type="dcterms:W3CDTF">2023-09-25T07:59:00Z</dcterms:created>
  <dcterms:modified xsi:type="dcterms:W3CDTF">2023-09-25T07:59:00Z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2023-07-11T09:11:44Z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bca1f194-af10-4cbd-8079-05d88864ab88</vt:lpwstr>
  </property>
  <property fmtid="{D5CDD505-2E9C-101B-9397-08002B2CF9AE}" pid="8" name="MSIP_Label_6bd9ddd1-4d20-43f6-abfa-fc3c07406f94_ContentBits">
    <vt:lpwstr>0</vt:lpwstr>
  </property>
</Properties>
</file>